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呼图壁县卫生健康委员会</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bidi w:val="0"/>
        <w:jc w:val="left"/>
        <w:rPr>
          <w:rFonts w:hint="eastAsia"/>
          <w:lang w:val="en-US" w:eastAsia="zh-CN"/>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2024年单位</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2024年单位</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呼图壁县卫生健康委员会2024年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呼图壁县卫生健康委员会2024年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呼图壁县卫生健康委员会2024年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呼图壁县卫生健康委员会2024年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ind w:firstLine="480" w:firstLineChars="150"/>
        <w:rPr>
          <w:rFonts w:ascii="仿宋" w:hAnsi="仿宋" w:eastAsia="仿宋" w:cs="仿宋_GB2312"/>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 w:hAnsi="仿宋" w:eastAsia="仿宋" w:cs="仿宋_GB2312"/>
          <w:sz w:val="32"/>
          <w:szCs w:val="32"/>
        </w:rPr>
        <w:t>1.以贯彻执行国家卫生和计划生育，中医药事业发展的法律法规。政策规划和标准规范。推进医药卫生体制改革，研究，拟订全县卫生改革发展的目标规划和政策措施。依法对全县，各级各类医疗卫生机构实施监督管理。</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2.统筹规划全县卫生和计划生育服务资源配置，指导全县卫生和计划生育规划的编制和实施。</w:t>
      </w:r>
    </w:p>
    <w:p>
      <w:pPr>
        <w:ind w:firstLine="640" w:firstLineChars="200"/>
        <w:rPr>
          <w:rFonts w:ascii="仿宋_GB2312" w:hAnsi="仿宋_GB2312" w:eastAsia="仿宋_GB2312" w:cs="仿宋_GB2312"/>
          <w:sz w:val="32"/>
          <w:szCs w:val="32"/>
        </w:rPr>
      </w:pPr>
      <w:r>
        <w:rPr>
          <w:rFonts w:hint="eastAsia" w:ascii="仿宋" w:hAnsi="仿宋" w:eastAsia="仿宋" w:cs="仿宋_GB2312"/>
          <w:sz w:val="32"/>
          <w:szCs w:val="32"/>
        </w:rPr>
        <w:t>3.负责疾病预防控制工作，贯彻实施疾病预防控制规划与策略，组织实施免疫规划及政策措施，制定并实施实施严重，</w:t>
      </w:r>
      <w:r>
        <w:rPr>
          <w:rFonts w:hint="eastAsia" w:ascii="仿宋_GB2312" w:hAnsi="仿宋_GB2312" w:eastAsia="仿宋_GB2312" w:cs="仿宋_GB2312"/>
          <w:sz w:val="32"/>
          <w:szCs w:val="32"/>
        </w:rPr>
        <w:t xml:space="preserve">危险，危害人民群众，危害人民健康的公共卫生问题的干预措施，协调有关部门对重大疾病实施，防控与干预。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负责卫生应急工作，贯彻执行卫生应急政策措施，制定卫生应急和紧急医学救援预案，负责突发公共卫生事件监测和风险评估。组织和指导突发事，突发公共卫生事件预防控制，和各类突发公共事件的医疗卫生救援，负责上报突发公共卫生事件应急处置信息。</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指导规范卫生行政执法工作，按照职责分工，负责职业卫生放射卫生，环境卫生和学校卫生的监督管理，负责公共场所卫生和饮用水卫生的安全监督管理，负责传染病防治监督，组织实施食品安全风险监测，评估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组织拟订并实施基层卫生和计划生育服务，妇幼卫生发展规划和政策措施，负责新型农村合作医疗的综合管理，负责全县妇幼保健综合管理和监督，直到全县基层卫生和计划生育，妇幼卫生服务体系建设，推进基本公共卫生和计划生育服务均等化，完善基层运行新机制和乡村医生管理制度。</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负责医疗机构医疗服务，医疗技术，医疗质量，医疗安全以及采，供血机构的行业监督管理。组织实施医疗卫生职业道德规范，会同有关部门，贯彻执行国家卫生专业技术人员准入，资格标准，组织实施，卫生专业技术人员，执业规则和服务规范，建立医疗服务评价和监督管理体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制定和管理全县卫生和计划生育，医学科技发展规划，组织市卫生和计划生育相关科项项目，贯彻中西医并重的方针，协调有关部门共同发展全县的现代医药和传统医药，中医药民族医药，事业，组织实施继续医学教育。</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9.负责组织推进公立医院改革，建立以公益性为导向的绩效考核和评价运行机制。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10.贯彻执行国家基本药物制度和国家药物政策，组织实施药品法典，国家基本药物目录和基本药物采购，配送和使用的政策措施。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11.组织制定全县卫生和计划生育中医药人才发展规划，直到卫生和计划生育人才队伍建设，加强全科医生等急需紧缺专业人才培养，贯彻落实国家住院医师和专科医师规范化培训制度。</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组织实施促进出生人口讯别平衡的政策措施，组织监测计划生育发展动态，提出发布计划生育安全预警预报信息建议，制定计划生育技术服务管理制度并监督实施，制定优生优育和提高出生人口素质的政策措施，并组织实施，推动实施计划生育生殖健康促进计划，降低出生缺陷人口数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组织建立计划生育利益导向计划生育特殊困难家庭扶助和促进计划生育家庭发展等机制，负责协调推进有关部门和群众团体，履行计划生育工作相关职责，建立与经济社会发展感情，政策的。衔接机制，提出稳定低生育水平政策措施的建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14.负责卫生和计划生育信息化建设，依法组织实施统计调查，参与全县人口基础信息库建设。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15.组织落实流动人口计划生育服务管理制度，推动建立流动人口卫生和计划生育信息共享和公共服务工作机制。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16.指导全县卫生和计划生育工作，完善综合监督执法体系，规范执法行为监督检查，法律法规和政策措施的落实，监督落实计划生育一票否决制度。</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17.承担呼图壁县级，医院管理委员会办公室。简称医管办日常工作。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18.承担县政府交办的其他事项。</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jc w:val="left"/>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sz w:val="32"/>
          <w:szCs w:val="32"/>
        </w:rPr>
        <w:t>呼图壁县卫生健康委员会</w:t>
      </w:r>
      <w:r>
        <w:rPr>
          <w:rFonts w:hint="eastAsia" w:ascii="仿宋_GB2312" w:hAnsi="黑体" w:eastAsia="仿宋_GB2312" w:cs="宋体"/>
          <w:bCs/>
          <w:sz w:val="32"/>
          <w:szCs w:val="32"/>
        </w:rPr>
        <w:t>无下属预算单位，下设</w:t>
      </w:r>
      <w:r>
        <w:rPr>
          <w:rFonts w:hint="eastAsia" w:ascii="仿宋_GB2312" w:hAnsi="黑体" w:eastAsia="仿宋_GB2312" w:cs="宋体"/>
          <w:bCs/>
          <w:sz w:val="32"/>
          <w:szCs w:val="32"/>
          <w:lang w:val="en-US" w:eastAsia="zh-CN"/>
        </w:rPr>
        <w:t>4</w:t>
      </w:r>
      <w:r>
        <w:rPr>
          <w:rFonts w:hint="eastAsia" w:ascii="仿宋_GB2312" w:hAnsi="黑体" w:eastAsia="仿宋_GB2312" w:cs="宋体"/>
          <w:bCs/>
          <w:sz w:val="32"/>
          <w:szCs w:val="32"/>
        </w:rPr>
        <w:t>个处室，分别是：</w:t>
      </w:r>
      <w:r>
        <w:rPr>
          <w:rFonts w:hint="eastAsia" w:ascii="仿宋_GB2312" w:hAnsi="黑体" w:eastAsia="仿宋_GB2312" w:cs="宋体"/>
          <w:bCs/>
          <w:sz w:val="32"/>
          <w:szCs w:val="32"/>
          <w:lang w:eastAsia="zh-CN"/>
        </w:rPr>
        <w:t>办公室（组织人事科）、妇幼与计生健康科、疾病预防控制科、医政药政科教科（行政审批科）。</w:t>
      </w:r>
    </w:p>
    <w:p>
      <w:pPr>
        <w:spacing w:line="560" w:lineRule="exact"/>
        <w:ind w:firstLine="640"/>
        <w:jc w:val="left"/>
        <w:rPr>
          <w:rFonts w:hint="eastAsia" w:ascii="仿宋_GB2312" w:hAnsi="宋体" w:eastAsia="仿宋_GB2312" w:cs="宋体"/>
          <w:sz w:val="32"/>
          <w:szCs w:val="32"/>
        </w:rPr>
      </w:pPr>
      <w:r>
        <w:rPr>
          <w:rFonts w:hint="eastAsia" w:ascii="仿宋_GB2312" w:hAnsi="宋体" w:eastAsia="仿宋_GB2312"/>
          <w:sz w:val="32"/>
          <w:szCs w:val="32"/>
        </w:rPr>
        <w:t>呼图壁县卫生健康委员会</w:t>
      </w:r>
      <w:r>
        <w:rPr>
          <w:rFonts w:hint="eastAsia" w:ascii="仿宋_GB2312" w:hAnsi="仿宋" w:eastAsia="仿宋_GB2312"/>
          <w:sz w:val="32"/>
          <w:szCs w:val="32"/>
        </w:rPr>
        <w:t>行政编制14人，</w:t>
      </w:r>
      <w:r>
        <w:rPr>
          <w:rFonts w:hint="eastAsia" w:ascii="仿宋_GB2312" w:hAnsi="仿宋" w:eastAsia="仿宋_GB2312"/>
          <w:sz w:val="32"/>
          <w:szCs w:val="32"/>
          <w:lang w:eastAsia="zh-CN"/>
        </w:rPr>
        <w:t>统筹编制</w:t>
      </w:r>
      <w:r>
        <w:rPr>
          <w:rFonts w:hint="eastAsia" w:ascii="仿宋_GB2312" w:hAnsi="仿宋" w:eastAsia="仿宋_GB2312"/>
          <w:sz w:val="32"/>
          <w:szCs w:val="32"/>
          <w:lang w:val="en-US" w:eastAsia="zh-CN"/>
        </w:rPr>
        <w:t>3人，</w:t>
      </w:r>
      <w:r>
        <w:rPr>
          <w:rFonts w:hint="eastAsia" w:ascii="仿宋_GB2312" w:hAnsi="宋体" w:eastAsia="仿宋_GB2312"/>
          <w:sz w:val="32"/>
          <w:szCs w:val="32"/>
        </w:rPr>
        <w:t>事业</w:t>
      </w:r>
      <w:r>
        <w:rPr>
          <w:rFonts w:hint="eastAsia" w:ascii="仿宋_GB2312" w:hAnsi="宋体" w:eastAsia="仿宋_GB2312" w:cs="宋体"/>
          <w:sz w:val="32"/>
          <w:szCs w:val="32"/>
        </w:rPr>
        <w:t>编制数3人</w:t>
      </w:r>
      <w:r>
        <w:rPr>
          <w:rFonts w:hint="eastAsia" w:ascii="仿宋_GB2312" w:hAnsi="宋体" w:eastAsia="仿宋_GB2312" w:cs="宋体"/>
          <w:sz w:val="32"/>
          <w:szCs w:val="32"/>
          <w:lang w:val="en-US" w:eastAsia="zh-CN"/>
        </w:rPr>
        <w:t>,</w:t>
      </w:r>
      <w:r>
        <w:rPr>
          <w:rFonts w:hint="eastAsia" w:ascii="仿宋_GB2312" w:hAnsi="仿宋" w:eastAsia="仿宋_GB2312"/>
          <w:sz w:val="32"/>
          <w:szCs w:val="32"/>
        </w:rPr>
        <w:t>实有</w:t>
      </w:r>
      <w:r>
        <w:rPr>
          <w:rFonts w:hint="eastAsia" w:ascii="仿宋_GB2312" w:hAnsi="仿宋" w:eastAsia="仿宋_GB2312"/>
          <w:sz w:val="32"/>
          <w:szCs w:val="32"/>
          <w:lang w:val="en-US" w:eastAsia="zh-CN"/>
        </w:rPr>
        <w:t>32</w:t>
      </w:r>
      <w:r>
        <w:rPr>
          <w:rFonts w:hint="eastAsia" w:ascii="仿宋_GB2312" w:hAnsi="仿宋" w:eastAsia="仿宋_GB2312"/>
          <w:sz w:val="32"/>
          <w:szCs w:val="32"/>
        </w:rPr>
        <w:t>人，</w:t>
      </w:r>
      <w:r>
        <w:rPr>
          <w:rFonts w:hint="eastAsia" w:ascii="仿宋_GB2312" w:hAnsi="宋体" w:eastAsia="仿宋_GB2312" w:cs="宋体"/>
          <w:sz w:val="32"/>
          <w:szCs w:val="32"/>
        </w:rPr>
        <w:t>其中：在职</w:t>
      </w:r>
      <w:r>
        <w:rPr>
          <w:rFonts w:hint="eastAsia" w:ascii="仿宋_GB2312" w:hAnsi="宋体" w:eastAsia="仿宋_GB2312" w:cs="宋体"/>
          <w:sz w:val="32"/>
          <w:szCs w:val="32"/>
          <w:lang w:val="en-US" w:eastAsia="zh-CN"/>
        </w:rPr>
        <w:t>16</w:t>
      </w:r>
      <w:r>
        <w:rPr>
          <w:rFonts w:hint="eastAsia" w:ascii="仿宋_GB2312" w:hAnsi="宋体" w:eastAsia="仿宋_GB2312" w:cs="宋体"/>
          <w:sz w:val="32"/>
          <w:szCs w:val="32"/>
        </w:rPr>
        <w:t>人，退休1</w:t>
      </w: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 xml:space="preserve">人，增加 </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人</w:t>
      </w:r>
      <w:r>
        <w:rPr>
          <w:rFonts w:hint="eastAsia" w:ascii="仿宋_GB2312" w:hAnsi="宋体" w:eastAsia="仿宋_GB2312" w:cs="宋体"/>
          <w:sz w:val="32"/>
          <w:szCs w:val="32"/>
          <w:lang w:eastAsia="zh-CN"/>
        </w:rPr>
        <w:t>，减少</w:t>
      </w:r>
      <w:r>
        <w:rPr>
          <w:rFonts w:hint="eastAsia" w:ascii="仿宋_GB2312" w:hAnsi="宋体" w:eastAsia="仿宋_GB2312" w:cs="宋体"/>
          <w:sz w:val="32"/>
          <w:szCs w:val="32"/>
          <w:lang w:val="en-US" w:eastAsia="zh-CN"/>
        </w:rPr>
        <w:t>0人</w:t>
      </w:r>
      <w:r>
        <w:rPr>
          <w:rFonts w:hint="eastAsia" w:ascii="仿宋_GB2312" w:hAnsi="宋体" w:eastAsia="仿宋_GB2312" w:cs="宋体"/>
          <w:sz w:val="32"/>
          <w:szCs w:val="32"/>
        </w:rPr>
        <w:t>；离休 0人，增加0人</w:t>
      </w:r>
      <w:r>
        <w:rPr>
          <w:rFonts w:hint="eastAsia" w:ascii="仿宋_GB2312" w:hAnsi="宋体" w:eastAsia="仿宋_GB2312" w:cs="宋体"/>
          <w:sz w:val="32"/>
          <w:szCs w:val="32"/>
          <w:lang w:eastAsia="zh-CN"/>
        </w:rPr>
        <w:t>，减少</w:t>
      </w:r>
      <w:r>
        <w:rPr>
          <w:rFonts w:hint="eastAsia" w:ascii="仿宋_GB2312" w:hAnsi="宋体" w:eastAsia="仿宋_GB2312" w:cs="宋体"/>
          <w:sz w:val="32"/>
          <w:szCs w:val="32"/>
          <w:lang w:val="en-US" w:eastAsia="zh-CN"/>
        </w:rPr>
        <w:t>0人</w:t>
      </w:r>
      <w:r>
        <w:rPr>
          <w:rFonts w:hint="eastAsia" w:ascii="仿宋_GB2312" w:hAnsi="宋体" w:eastAsia="仿宋_GB2312" w:cs="宋体"/>
          <w:sz w:val="32"/>
          <w:szCs w:val="32"/>
        </w:rPr>
        <w:t>。</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0000FF"/>
          <w:kern w:val="0"/>
          <w:sz w:val="32"/>
          <w:szCs w:val="32"/>
          <w:highlight w:val="none"/>
        </w:rPr>
      </w:pPr>
      <w:r>
        <w:rPr>
          <w:rFonts w:hint="eastAsia" w:ascii="仿宋_GB2312" w:hAnsi="宋体" w:eastAsia="仿宋_GB2312" w:cs="宋体"/>
          <w:color w:val="0000FF"/>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0000FF"/>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预算公开表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收支总体情况表</w:t>
      </w:r>
    </w:p>
    <w:p>
      <w:pPr>
        <w:widowControl/>
        <w:spacing w:line="280" w:lineRule="exact"/>
        <w:jc w:val="distribute"/>
        <w:outlineLvl w:val="1"/>
        <w:rPr>
          <w:rFonts w:hint="eastAsia" w:ascii="仿宋_GB2312" w:hAnsi="宋体" w:eastAsia="仿宋_GB2312"/>
          <w:color w:val="auto"/>
          <w:kern w:val="0"/>
          <w:sz w:val="24"/>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编制单位：呼图壁县卫生健康委员会</w:t>
      </w:r>
      <w:r>
        <w:rPr>
          <w:rFonts w:hint="eastAsia" w:ascii="仿宋_GB2312" w:hAnsi="宋体" w:eastAsia="仿宋_GB2312"/>
          <w:color w:val="auto"/>
          <w:kern w:val="0"/>
          <w:sz w:val="24"/>
          <w:highlight w:val="none"/>
          <w:lang w:val="en-US" w:eastAsia="zh-CN"/>
        </w:rPr>
        <w:t xml:space="preserve">                          单位:万元</w:t>
      </w:r>
      <w:r>
        <w:rPr>
          <w:rFonts w:hint="eastAsia" w:ascii="仿宋_GB2312" w:hAnsi="宋体" w:eastAsia="仿宋_GB2312"/>
          <w:color w:val="auto"/>
          <w:kern w:val="0"/>
          <w:sz w:val="24"/>
          <w:highlight w:val="none"/>
        </w:rPr>
        <w:t xml:space="preserve">                        </w:t>
      </w:r>
    </w:p>
    <w:tbl>
      <w:tblPr>
        <w:tblStyle w:val="7"/>
        <w:tblW w:w="8662" w:type="dxa"/>
        <w:tblInd w:w="91"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4195.00</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30.00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widowControl/>
              <w:tabs>
                <w:tab w:val="center" w:pos="443"/>
                <w:tab w:val="right" w:pos="1187"/>
              </w:tabs>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3586.30</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widowControl/>
              <w:tabs>
                <w:tab w:val="left" w:pos="358"/>
                <w:tab w:val="right" w:pos="1187"/>
              </w:tabs>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1544.39</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2041.91</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12.80</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92.40</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5036.90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167.35</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595.90</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1468.47</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1468.47</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1468.47</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62.82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12.80</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rPr>
            </w:pP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1103" w:type="dxa"/>
            <w:tcBorders>
              <w:top w:val="nil"/>
              <w:left w:val="nil"/>
              <w:bottom w:val="single" w:color="auto" w:sz="4" w:space="0"/>
              <w:right w:val="single" w:color="auto" w:sz="4" w:space="0"/>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top"/>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top"/>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top"/>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top"/>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top"/>
          </w:tcPr>
          <w:p>
            <w:pPr>
              <w:widowControl/>
              <w:spacing w:line="280" w:lineRule="exact"/>
              <w:jc w:val="both"/>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5234.92</w:t>
            </w:r>
          </w:p>
        </w:tc>
        <w:tc>
          <w:tcPr>
            <w:tcW w:w="2693" w:type="dxa"/>
            <w:tcBorders>
              <w:top w:val="nil"/>
              <w:left w:val="nil"/>
              <w:bottom w:val="single" w:color="auto" w:sz="4" w:space="0"/>
              <w:right w:val="nil"/>
            </w:tcBorders>
            <w:noWrap w:val="0"/>
            <w:vAlign w:val="top"/>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5234.92</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单位</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编制单位：呼图壁县卫生健康委员会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单元：万元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737" w:type="dxa"/>
        <w:tblInd w:w="-450" w:type="dxa"/>
        <w:tblLayout w:type="fixed"/>
        <w:tblCellMar>
          <w:top w:w="0" w:type="dxa"/>
          <w:left w:w="108" w:type="dxa"/>
          <w:bottom w:w="0" w:type="dxa"/>
          <w:right w:w="108" w:type="dxa"/>
        </w:tblCellMar>
      </w:tblPr>
      <w:tblGrid>
        <w:gridCol w:w="598"/>
        <w:gridCol w:w="344"/>
        <w:gridCol w:w="430"/>
        <w:gridCol w:w="1097"/>
        <w:gridCol w:w="566"/>
        <w:gridCol w:w="604"/>
        <w:gridCol w:w="579"/>
        <w:gridCol w:w="781"/>
        <w:gridCol w:w="643"/>
        <w:gridCol w:w="604"/>
        <w:gridCol w:w="378"/>
        <w:gridCol w:w="696"/>
        <w:gridCol w:w="542"/>
        <w:gridCol w:w="765"/>
        <w:gridCol w:w="599"/>
        <w:gridCol w:w="511"/>
      </w:tblGrid>
      <w:tr>
        <w:tblPrEx>
          <w:tblCellMar>
            <w:top w:w="0" w:type="dxa"/>
            <w:left w:w="108" w:type="dxa"/>
            <w:bottom w:w="0" w:type="dxa"/>
            <w:right w:w="108" w:type="dxa"/>
          </w:tblCellMar>
        </w:tblPrEx>
        <w:trPr>
          <w:trHeight w:val="742" w:hRule="atLeast"/>
        </w:trPr>
        <w:tc>
          <w:tcPr>
            <w:tcW w:w="137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13"/>
                <w:szCs w:val="13"/>
                <w:highlight w:val="none"/>
              </w:rPr>
            </w:pPr>
            <w:r>
              <w:rPr>
                <w:rFonts w:hint="eastAsia" w:ascii="仿宋_GB2312" w:eastAsia="仿宋_GB2312"/>
                <w:b/>
                <w:color w:val="auto"/>
                <w:sz w:val="18"/>
                <w:szCs w:val="18"/>
                <w:highlight w:val="none"/>
              </w:rPr>
              <w:t>功能分类科目编码</w:t>
            </w:r>
          </w:p>
        </w:tc>
        <w:tc>
          <w:tcPr>
            <w:tcW w:w="109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13"/>
                <w:szCs w:val="13"/>
                <w:highlight w:val="none"/>
              </w:rPr>
            </w:pPr>
            <w:r>
              <w:rPr>
                <w:rFonts w:hint="eastAsia" w:ascii="仿宋_GB2312" w:eastAsia="仿宋_GB2312"/>
                <w:b/>
                <w:color w:val="auto"/>
                <w:sz w:val="13"/>
                <w:szCs w:val="13"/>
                <w:highlight w:val="none"/>
              </w:rPr>
              <w:t>功能分类科目名称</w:t>
            </w:r>
          </w:p>
        </w:tc>
        <w:tc>
          <w:tcPr>
            <w:tcW w:w="56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13"/>
                <w:szCs w:val="13"/>
                <w:highlight w:val="none"/>
              </w:rPr>
            </w:pPr>
            <w:r>
              <w:rPr>
                <w:rFonts w:hint="eastAsia" w:ascii="仿宋_GB2312" w:eastAsia="仿宋_GB2312"/>
                <w:b/>
                <w:bCs w:val="0"/>
                <w:color w:val="auto"/>
                <w:sz w:val="13"/>
                <w:szCs w:val="13"/>
                <w:highlight w:val="none"/>
              </w:rPr>
              <w:t>总  计</w:t>
            </w:r>
          </w:p>
        </w:tc>
        <w:tc>
          <w:tcPr>
            <w:tcW w:w="42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13"/>
                <w:szCs w:val="13"/>
                <w:highlight w:val="none"/>
              </w:rPr>
            </w:pPr>
            <w:r>
              <w:rPr>
                <w:rFonts w:hint="eastAsia" w:ascii="仿宋_GB2312" w:hAnsi="宋体" w:eastAsia="仿宋_GB2312" w:cs="宋体"/>
                <w:b/>
                <w:bCs w:val="0"/>
                <w:color w:val="auto"/>
                <w:sz w:val="18"/>
                <w:szCs w:val="18"/>
                <w:highlight w:val="none"/>
              </w:rPr>
              <w:t>财  政  拨  款  (  补  助  )</w:t>
            </w:r>
          </w:p>
        </w:tc>
        <w:tc>
          <w:tcPr>
            <w:tcW w:w="54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13"/>
                <w:szCs w:val="13"/>
                <w:highlight w:val="none"/>
              </w:rPr>
            </w:pPr>
            <w:r>
              <w:rPr>
                <w:rFonts w:hint="eastAsia" w:ascii="仿宋_GB2312" w:eastAsia="仿宋_GB2312"/>
                <w:b/>
                <w:bCs w:val="0"/>
                <w:color w:val="auto"/>
                <w:sz w:val="13"/>
                <w:szCs w:val="13"/>
                <w:highlight w:val="none"/>
              </w:rPr>
              <w:t>财政专户（教育收费）</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3"/>
                <w:szCs w:val="13"/>
                <w:highlight w:val="none"/>
              </w:rPr>
            </w:pPr>
            <w:r>
              <w:rPr>
                <w:rFonts w:hint="eastAsia" w:ascii="仿宋_GB2312" w:eastAsia="仿宋_GB2312"/>
                <w:b/>
                <w:color w:val="auto"/>
                <w:sz w:val="13"/>
                <w:szCs w:val="13"/>
                <w:highlight w:val="none"/>
              </w:rPr>
              <w:t>单位资金</w:t>
            </w:r>
          </w:p>
        </w:tc>
        <w:tc>
          <w:tcPr>
            <w:tcW w:w="59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3"/>
                <w:szCs w:val="13"/>
                <w:highlight w:val="none"/>
              </w:rPr>
            </w:pPr>
            <w:r>
              <w:rPr>
                <w:rFonts w:hint="eastAsia" w:ascii="仿宋_GB2312" w:eastAsia="仿宋_GB2312"/>
                <w:b/>
                <w:color w:val="auto"/>
                <w:sz w:val="13"/>
                <w:szCs w:val="13"/>
                <w:highlight w:val="none"/>
              </w:rPr>
              <w:t>财政拨款结转</w:t>
            </w:r>
          </w:p>
        </w:tc>
        <w:tc>
          <w:tcPr>
            <w:tcW w:w="51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3"/>
                <w:szCs w:val="13"/>
                <w:highlight w:val="none"/>
              </w:rPr>
            </w:pPr>
            <w:r>
              <w:rPr>
                <w:rFonts w:hint="eastAsia" w:ascii="仿宋_GB2312" w:eastAsia="仿宋_GB2312"/>
                <w:b/>
                <w:color w:val="auto"/>
                <w:sz w:val="13"/>
                <w:szCs w:val="13"/>
                <w:highlight w:val="none"/>
              </w:rPr>
              <w:t>非财政拨款结转结余</w:t>
            </w:r>
          </w:p>
        </w:tc>
      </w:tr>
      <w:tr>
        <w:tblPrEx>
          <w:tblCellMar>
            <w:top w:w="0" w:type="dxa"/>
            <w:left w:w="108" w:type="dxa"/>
            <w:bottom w:w="0" w:type="dxa"/>
            <w:right w:w="108" w:type="dxa"/>
          </w:tblCellMar>
        </w:tblPrEx>
        <w:trPr>
          <w:trHeight w:val="1425" w:hRule="atLeast"/>
        </w:trPr>
        <w:tc>
          <w:tcPr>
            <w:tcW w:w="598"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13"/>
                <w:szCs w:val="13"/>
                <w:highlight w:val="none"/>
                <w:lang w:val="en-US" w:eastAsia="zh-Hans"/>
              </w:rPr>
            </w:pPr>
            <w:r>
              <w:rPr>
                <w:rFonts w:hint="eastAsia" w:ascii="仿宋_GB2312" w:eastAsia="仿宋_GB2312"/>
                <w:b/>
                <w:color w:val="auto"/>
                <w:sz w:val="13"/>
                <w:szCs w:val="13"/>
                <w:highlight w:val="none"/>
                <w:lang w:val="en-US" w:eastAsia="zh-Hans"/>
              </w:rPr>
              <w:t>类</w:t>
            </w:r>
          </w:p>
        </w:tc>
        <w:tc>
          <w:tcPr>
            <w:tcW w:w="34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3"/>
                <w:szCs w:val="13"/>
                <w:highlight w:val="none"/>
                <w:lang w:val="en-US" w:eastAsia="zh-Hans"/>
              </w:rPr>
            </w:pPr>
            <w:r>
              <w:rPr>
                <w:rFonts w:hint="eastAsia" w:ascii="仿宋_GB2312" w:eastAsia="仿宋_GB2312"/>
                <w:b/>
                <w:color w:val="auto"/>
                <w:sz w:val="13"/>
                <w:szCs w:val="13"/>
                <w:highlight w:val="none"/>
                <w:lang w:val="en-US" w:eastAsia="zh-Hans"/>
              </w:rPr>
              <w:t>款</w:t>
            </w:r>
          </w:p>
        </w:tc>
        <w:tc>
          <w:tcPr>
            <w:tcW w:w="43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3"/>
                <w:szCs w:val="13"/>
                <w:highlight w:val="none"/>
                <w:lang w:val="en-US" w:eastAsia="zh-Hans"/>
              </w:rPr>
            </w:pPr>
            <w:r>
              <w:rPr>
                <w:rFonts w:hint="eastAsia" w:ascii="仿宋_GB2312" w:eastAsia="仿宋_GB2312"/>
                <w:b/>
                <w:color w:val="auto"/>
                <w:sz w:val="13"/>
                <w:szCs w:val="13"/>
                <w:highlight w:val="none"/>
                <w:lang w:val="en-US" w:eastAsia="zh-Hans"/>
              </w:rPr>
              <w:t>项</w:t>
            </w:r>
          </w:p>
        </w:tc>
        <w:tc>
          <w:tcPr>
            <w:tcW w:w="109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3"/>
                <w:szCs w:val="13"/>
                <w:highlight w:val="none"/>
              </w:rPr>
            </w:pPr>
          </w:p>
        </w:tc>
        <w:tc>
          <w:tcPr>
            <w:tcW w:w="56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3"/>
                <w:szCs w:val="13"/>
                <w:highlight w:val="none"/>
              </w:rPr>
            </w:pPr>
          </w:p>
        </w:tc>
        <w:tc>
          <w:tcPr>
            <w:tcW w:w="60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财政拨款(补助)小计</w:t>
            </w:r>
          </w:p>
        </w:tc>
        <w:tc>
          <w:tcPr>
            <w:tcW w:w="5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一般公共预算</w:t>
            </w:r>
          </w:p>
        </w:tc>
        <w:tc>
          <w:tcPr>
            <w:tcW w:w="78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上级一般公共预算安排的转移支付</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政府性基金预算</w:t>
            </w:r>
          </w:p>
        </w:tc>
        <w:tc>
          <w:tcPr>
            <w:tcW w:w="60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上级政府性基金安排的转移支付</w:t>
            </w:r>
          </w:p>
        </w:tc>
        <w:tc>
          <w:tcPr>
            <w:tcW w:w="37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国有资本经营预算</w:t>
            </w:r>
          </w:p>
        </w:tc>
        <w:tc>
          <w:tcPr>
            <w:tcW w:w="69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上级国有资本经营预算安排的转移支付</w:t>
            </w:r>
          </w:p>
        </w:tc>
        <w:tc>
          <w:tcPr>
            <w:tcW w:w="54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3"/>
                <w:szCs w:val="13"/>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3"/>
                <w:szCs w:val="13"/>
                <w:highlight w:val="none"/>
              </w:rPr>
            </w:pPr>
          </w:p>
        </w:tc>
        <w:tc>
          <w:tcPr>
            <w:tcW w:w="59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3"/>
                <w:szCs w:val="13"/>
                <w:highlight w:val="none"/>
              </w:rPr>
            </w:pPr>
          </w:p>
        </w:tc>
        <w:tc>
          <w:tcPr>
            <w:tcW w:w="51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3"/>
                <w:szCs w:val="13"/>
                <w:highlight w:val="none"/>
              </w:rPr>
            </w:pPr>
          </w:p>
        </w:tc>
      </w:tr>
      <w:tr>
        <w:tblPrEx>
          <w:tblCellMar>
            <w:top w:w="0" w:type="dxa"/>
            <w:left w:w="108" w:type="dxa"/>
            <w:bottom w:w="0" w:type="dxa"/>
            <w:right w:w="108" w:type="dxa"/>
          </w:tblCellMar>
        </w:tblPrEx>
        <w:trPr>
          <w:trHeight w:val="183" w:hRule="atLeast"/>
        </w:trPr>
        <w:tc>
          <w:tcPr>
            <w:tcW w:w="598"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201</w:t>
            </w:r>
          </w:p>
        </w:tc>
        <w:tc>
          <w:tcPr>
            <w:tcW w:w="34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43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000000"/>
                <w:kern w:val="0"/>
                <w:sz w:val="13"/>
                <w:szCs w:val="13"/>
              </w:rPr>
            </w:pPr>
            <w:r>
              <w:rPr>
                <w:rFonts w:hint="default" w:ascii="Calibri" w:hAnsi="Calibri" w:eastAsia="宋体" w:cs="Calibri"/>
                <w:i w:val="0"/>
                <w:iCs w:val="0"/>
                <w:color w:val="000000"/>
                <w:kern w:val="0"/>
                <w:sz w:val="10"/>
                <w:szCs w:val="10"/>
                <w:u w:val="none"/>
                <w:lang w:val="en-US" w:eastAsia="zh-CN" w:bidi="ar"/>
              </w:rPr>
              <w:t>一般公共服务支出</w:t>
            </w:r>
          </w:p>
        </w:tc>
        <w:tc>
          <w:tcPr>
            <w:tcW w:w="566"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30.00</w:t>
            </w:r>
          </w:p>
        </w:tc>
        <w:tc>
          <w:tcPr>
            <w:tcW w:w="604"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79"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81" w:type="dxa"/>
            <w:tcBorders>
              <w:top w:val="nil"/>
              <w:left w:val="nil"/>
              <w:bottom w:val="single" w:color="auto" w:sz="4" w:space="0"/>
              <w:right w:val="single" w:color="auto" w:sz="4" w:space="0"/>
            </w:tcBorders>
            <w:shd w:val="clear" w:color="000000" w:fill="FFFFFF"/>
            <w:noWrap w:val="0"/>
            <w:vAlign w:val="center"/>
          </w:tcPr>
          <w:p>
            <w:pPr>
              <w:jc w:val="both"/>
              <w:rPr>
                <w:rFonts w:hint="default"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30.00</w:t>
            </w:r>
          </w:p>
        </w:tc>
        <w:tc>
          <w:tcPr>
            <w:tcW w:w="511"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145" w:hRule="atLeast"/>
        </w:trPr>
        <w:tc>
          <w:tcPr>
            <w:tcW w:w="598"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201</w:t>
            </w:r>
          </w:p>
        </w:tc>
        <w:tc>
          <w:tcPr>
            <w:tcW w:w="34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04</w:t>
            </w:r>
          </w:p>
        </w:tc>
        <w:tc>
          <w:tcPr>
            <w:tcW w:w="43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发展与改革事务</w:t>
            </w:r>
          </w:p>
        </w:tc>
        <w:tc>
          <w:tcPr>
            <w:tcW w:w="566"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30.00</w:t>
            </w:r>
          </w:p>
        </w:tc>
        <w:tc>
          <w:tcPr>
            <w:tcW w:w="604"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79"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81"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30.00</w:t>
            </w:r>
          </w:p>
        </w:tc>
        <w:tc>
          <w:tcPr>
            <w:tcW w:w="511"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82" w:hRule="atLeast"/>
        </w:trPr>
        <w:tc>
          <w:tcPr>
            <w:tcW w:w="598"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201</w:t>
            </w:r>
          </w:p>
        </w:tc>
        <w:tc>
          <w:tcPr>
            <w:tcW w:w="34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04</w:t>
            </w:r>
          </w:p>
        </w:tc>
        <w:tc>
          <w:tcPr>
            <w:tcW w:w="43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99</w:t>
            </w:r>
          </w:p>
        </w:tc>
        <w:tc>
          <w:tcPr>
            <w:tcW w:w="109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其他发展与改革事务支出</w:t>
            </w:r>
          </w:p>
        </w:tc>
        <w:tc>
          <w:tcPr>
            <w:tcW w:w="566"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30.00</w:t>
            </w:r>
          </w:p>
        </w:tc>
        <w:tc>
          <w:tcPr>
            <w:tcW w:w="604"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79"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81"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30.00</w:t>
            </w:r>
          </w:p>
        </w:tc>
        <w:tc>
          <w:tcPr>
            <w:tcW w:w="511"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314" w:hRule="atLeast"/>
        </w:trPr>
        <w:tc>
          <w:tcPr>
            <w:tcW w:w="598"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208</w:t>
            </w:r>
          </w:p>
        </w:tc>
        <w:tc>
          <w:tcPr>
            <w:tcW w:w="344"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43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nil"/>
              <w:left w:val="nil"/>
              <w:bottom w:val="single" w:color="auto" w:sz="4" w:space="0"/>
              <w:right w:val="single" w:color="auto" w:sz="4" w:space="0"/>
            </w:tcBorders>
            <w:shd w:val="clear" w:color="auto" w:fill="auto"/>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社会保障和就业支出</w:t>
            </w:r>
          </w:p>
        </w:tc>
        <w:tc>
          <w:tcPr>
            <w:tcW w:w="566"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92.40</w:t>
            </w:r>
          </w:p>
        </w:tc>
        <w:tc>
          <w:tcPr>
            <w:tcW w:w="604"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40.56</w:t>
            </w:r>
          </w:p>
        </w:tc>
        <w:tc>
          <w:tcPr>
            <w:tcW w:w="579"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40.56</w:t>
            </w:r>
          </w:p>
        </w:tc>
        <w:tc>
          <w:tcPr>
            <w:tcW w:w="781"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48.69</w:t>
            </w:r>
          </w:p>
        </w:tc>
        <w:tc>
          <w:tcPr>
            <w:tcW w:w="599"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3.15</w:t>
            </w:r>
          </w:p>
        </w:tc>
        <w:tc>
          <w:tcPr>
            <w:tcW w:w="511"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82" w:hRule="atLeast"/>
        </w:trPr>
        <w:tc>
          <w:tcPr>
            <w:tcW w:w="5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208</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05</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行政事业单位养老支出</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89.25</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40.56</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40.56</w:t>
            </w:r>
          </w:p>
        </w:tc>
        <w:tc>
          <w:tcPr>
            <w:tcW w:w="781"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48.69</w:t>
            </w: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145" w:hRule="atLeast"/>
        </w:trPr>
        <w:tc>
          <w:tcPr>
            <w:tcW w:w="5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208</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05</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行政单位离退休</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14.35</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14.35</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14.35</w:t>
            </w:r>
          </w:p>
        </w:tc>
        <w:tc>
          <w:tcPr>
            <w:tcW w:w="781"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301" w:hRule="atLeast"/>
        </w:trPr>
        <w:tc>
          <w:tcPr>
            <w:tcW w:w="5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208　</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05　</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05　</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机关事业单位基本养老保险缴费支出</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66.90</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26.21</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26.21</w:t>
            </w:r>
          </w:p>
        </w:tc>
        <w:tc>
          <w:tcPr>
            <w:tcW w:w="781"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40.69</w:t>
            </w: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88" w:hRule="atLeast"/>
        </w:trPr>
        <w:tc>
          <w:tcPr>
            <w:tcW w:w="59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208</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05　</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06　</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机关事业单位职业年金缴费支出</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8.00</w:t>
            </w: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79"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81"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8.00</w:t>
            </w: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09"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208</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10</w:t>
            </w:r>
            <w:r>
              <w:rPr>
                <w:rFonts w:hint="eastAsia" w:ascii="Calibri" w:hAnsi="Calibri" w:eastAsia="宋体" w:cs="Calibri"/>
                <w:i w:val="0"/>
                <w:iCs w:val="0"/>
                <w:color w:val="000000"/>
                <w:kern w:val="0"/>
                <w:sz w:val="10"/>
                <w:szCs w:val="10"/>
                <w:u w:val="none"/>
                <w:lang w:val="en-US" w:eastAsia="zh-CN" w:bidi="ar"/>
              </w:rPr>
              <w:t>　</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　</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社会福利</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3.15</w:t>
            </w: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79"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81"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3.15</w:t>
            </w: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24"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208</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10　</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　</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儿童福利</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3.15</w:t>
            </w: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79"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81"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3.15</w:t>
            </w: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182"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　</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　</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卫生健康支出</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5036.90</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3523.98</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3523.98</w:t>
            </w:r>
          </w:p>
        </w:tc>
        <w:tc>
          <w:tcPr>
            <w:tcW w:w="78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2041.91</w:t>
            </w: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77.60</w:t>
            </w:r>
          </w:p>
        </w:tc>
        <w:tc>
          <w:tcPr>
            <w:tcW w:w="599"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1435.32</w:t>
            </w: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62"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　</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卫生健康管理事务</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535.12</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484.94</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484.94</w:t>
            </w:r>
          </w:p>
        </w:tc>
        <w:tc>
          <w:tcPr>
            <w:tcW w:w="78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36.00</w:t>
            </w: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50.18</w:t>
            </w: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62"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　</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　</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行政运行</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458.10</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407.92</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407.92</w:t>
            </w:r>
          </w:p>
        </w:tc>
        <w:tc>
          <w:tcPr>
            <w:tcW w:w="781"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50.18</w:t>
            </w: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09"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02</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一般行政管理事务</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41.02</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41.02</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41.02</w:t>
            </w:r>
          </w:p>
        </w:tc>
        <w:tc>
          <w:tcPr>
            <w:tcW w:w="781"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82"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99</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其他卫生健康管理事务支出</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36.00</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36.00</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36.00</w:t>
            </w:r>
          </w:p>
        </w:tc>
        <w:tc>
          <w:tcPr>
            <w:tcW w:w="78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36.00</w:t>
            </w: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36"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w:t>
            </w:r>
            <w:r>
              <w:rPr>
                <w:rFonts w:hint="eastAsia" w:ascii="Calibri" w:hAnsi="Calibri" w:eastAsia="宋体" w:cs="Calibri"/>
                <w:i w:val="0"/>
                <w:iCs w:val="0"/>
                <w:color w:val="000000"/>
                <w:kern w:val="0"/>
                <w:sz w:val="10"/>
                <w:szCs w:val="10"/>
                <w:u w:val="none"/>
                <w:lang w:val="en-US" w:eastAsia="zh-CN" w:bidi="ar"/>
              </w:rPr>
              <w:t>0</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02</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公立医院</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105.75</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105.75</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105.75</w:t>
            </w:r>
          </w:p>
        </w:tc>
        <w:tc>
          <w:tcPr>
            <w:tcW w:w="78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105.75</w:t>
            </w: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145"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02</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w:t>
            </w: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综合医院</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105.75</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105.75</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105.75</w:t>
            </w:r>
          </w:p>
        </w:tc>
        <w:tc>
          <w:tcPr>
            <w:tcW w:w="78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105.75</w:t>
            </w: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48" w:hRule="atLeast"/>
        </w:trPr>
        <w:tc>
          <w:tcPr>
            <w:tcW w:w="598"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03</w:t>
            </w:r>
          </w:p>
        </w:tc>
        <w:tc>
          <w:tcPr>
            <w:tcW w:w="43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基层医疗卫生机构</w:t>
            </w:r>
          </w:p>
        </w:tc>
        <w:tc>
          <w:tcPr>
            <w:tcW w:w="566"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312.48</w:t>
            </w:r>
          </w:p>
        </w:tc>
        <w:tc>
          <w:tcPr>
            <w:tcW w:w="60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312.48</w:t>
            </w:r>
          </w:p>
        </w:tc>
        <w:tc>
          <w:tcPr>
            <w:tcW w:w="579"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312.48</w:t>
            </w:r>
          </w:p>
        </w:tc>
        <w:tc>
          <w:tcPr>
            <w:tcW w:w="78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312.48</w:t>
            </w:r>
          </w:p>
        </w:tc>
        <w:tc>
          <w:tcPr>
            <w:tcW w:w="643"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nil"/>
              <w:left w:val="nil"/>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99"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11" w:type="dxa"/>
            <w:tcBorders>
              <w:top w:val="nil"/>
              <w:left w:val="single" w:color="auto" w:sz="4" w:space="0"/>
              <w:bottom w:val="single" w:color="auto" w:sz="4" w:space="0"/>
              <w:right w:val="single" w:color="auto" w:sz="4" w:space="0"/>
            </w:tcBorders>
            <w:noWrap w:val="0"/>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82"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03</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99</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其他基层医疗卫生机构支出</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312.48</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312.48</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312.48</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312.48</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161"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04</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公共卫生</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3371.93</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1965.90</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1965.90</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1171.18</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1406.03</w:t>
            </w: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90"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04</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08</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基本公共卫生服务</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1112.02</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1112.02</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1112.02</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1012.75</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51"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04</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09</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重大公共卫生服务</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153.13</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151.43</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151.43</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151.43</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1.70</w:t>
            </w: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82"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04　</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10　</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突发公共卫生事件应急处置</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1404.33</w:t>
            </w: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79"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1404.33</w:t>
            </w: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13"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04　</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99　</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其他公共卫生支出</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702.45</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702.45</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702.45</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7.00</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25"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07</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计划生育事务</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467.39</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438.10</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438.10</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216.50</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29.29</w:t>
            </w: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212"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07</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17</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计划生育服务</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467.39</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438.10</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438.10</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216.50</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29.29</w:t>
            </w:r>
          </w:p>
        </w:tc>
        <w:tc>
          <w:tcPr>
            <w:tcW w:w="0" w:type="auto"/>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r>
      <w:tr>
        <w:tblPrEx>
          <w:tblCellMar>
            <w:top w:w="0" w:type="dxa"/>
            <w:left w:w="108" w:type="dxa"/>
            <w:bottom w:w="0" w:type="dxa"/>
            <w:right w:w="108" w:type="dxa"/>
          </w:tblCellMar>
        </w:tblPrEx>
        <w:trPr>
          <w:trHeight w:val="188"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11</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行政事业单位医疗</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44.23</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16.81</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16.81</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27.42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209"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11</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行政单位医疗</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32.34</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11.48</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11.48</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20.86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239"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11</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02</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事业单位医疗</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1.62</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1.62</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1.62</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149"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11</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03</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公务员医疗补助</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10.17</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3.60</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3.60</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6.56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344"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11</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99</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其他行政事业单位医疗支出</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0.10</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0.10</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0.10</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202"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17</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中医药事务</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200.00</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200.00</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200.00</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200.00</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282"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210</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17</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04</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中医（民族医）药专项</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200.00</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200.00</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200.00</w:t>
            </w:r>
          </w:p>
        </w:tc>
        <w:tc>
          <w:tcPr>
            <w:tcW w:w="78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200.00</w:t>
            </w: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201"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221</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住房保障支出</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62.82</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21.76</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21.76</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41.06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145"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221</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02</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住房改革支出</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62.82</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21.76</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21.76</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41.06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175"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221</w:t>
            </w: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02</w:t>
            </w: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eastAsia" w:ascii="Calibri" w:hAnsi="Calibri" w:eastAsia="宋体" w:cs="Calibri"/>
                <w:i w:val="0"/>
                <w:iCs w:val="0"/>
                <w:color w:val="000000"/>
                <w:kern w:val="0"/>
                <w:sz w:val="10"/>
                <w:szCs w:val="10"/>
                <w:u w:val="none"/>
                <w:lang w:val="en-US" w:eastAsia="zh-CN" w:bidi="ar"/>
              </w:rPr>
              <w:t>01</w:t>
            </w: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0"/>
                <w:szCs w:val="10"/>
                <w:u w:val="none"/>
                <w:lang w:val="en-US" w:eastAsia="zh-CN" w:bidi="ar"/>
              </w:rPr>
            </w:pPr>
            <w:r>
              <w:rPr>
                <w:rFonts w:hint="default" w:ascii="Calibri" w:hAnsi="Calibri" w:eastAsia="宋体" w:cs="Calibri"/>
                <w:i w:val="0"/>
                <w:iCs w:val="0"/>
                <w:color w:val="000000"/>
                <w:kern w:val="0"/>
                <w:sz w:val="10"/>
                <w:szCs w:val="10"/>
                <w:u w:val="none"/>
                <w:lang w:val="en-US" w:eastAsia="zh-CN" w:bidi="ar"/>
              </w:rPr>
              <w:t>住房公积金</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62.82</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21.76</w:t>
            </w:r>
          </w:p>
        </w:tc>
        <w:tc>
          <w:tcPr>
            <w:tcW w:w="5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21.76</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i w:val="0"/>
                <w:iCs w:val="0"/>
                <w:color w:val="000000"/>
                <w:kern w:val="2"/>
                <w:sz w:val="10"/>
                <w:szCs w:val="10"/>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2"/>
                <w:sz w:val="10"/>
                <w:szCs w:val="10"/>
                <w:u w:val="none"/>
                <w:lang w:val="en-US" w:eastAsia="zh-CN" w:bidi="ar-SA"/>
              </w:rPr>
            </w:pPr>
            <w:r>
              <w:rPr>
                <w:rFonts w:hint="default" w:ascii="Calibri" w:hAnsi="Calibri" w:eastAsia="宋体" w:cs="Calibri"/>
                <w:i w:val="0"/>
                <w:iCs w:val="0"/>
                <w:color w:val="000000"/>
                <w:kern w:val="0"/>
                <w:sz w:val="10"/>
                <w:szCs w:val="10"/>
                <w:u w:val="none"/>
                <w:lang w:val="en-US" w:eastAsia="zh-CN" w:bidi="ar"/>
              </w:rPr>
              <w:t>41.06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0"/>
                <w:szCs w:val="10"/>
                <w:u w:val="none"/>
                <w:lang w:val="en-US" w:eastAsia="zh-CN" w:bidi="ar"/>
              </w:rPr>
            </w:pPr>
          </w:p>
        </w:tc>
      </w:tr>
      <w:tr>
        <w:tblPrEx>
          <w:tblCellMar>
            <w:top w:w="0" w:type="dxa"/>
            <w:left w:w="108" w:type="dxa"/>
            <w:bottom w:w="0" w:type="dxa"/>
            <w:right w:w="108" w:type="dxa"/>
          </w:tblCellMar>
        </w:tblPrEx>
        <w:trPr>
          <w:trHeight w:val="353" w:hRule="atLeast"/>
        </w:trPr>
        <w:tc>
          <w:tcPr>
            <w:tcW w:w="59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b w:val="0"/>
                <w:bCs w:val="0"/>
                <w:i w:val="0"/>
                <w:iCs w:val="0"/>
                <w:color w:val="000000"/>
                <w:kern w:val="0"/>
                <w:sz w:val="13"/>
                <w:szCs w:val="13"/>
                <w:u w:val="none"/>
                <w:lang w:val="en-US" w:eastAsia="zh-CN" w:bidi="ar"/>
              </w:rPr>
            </w:pPr>
          </w:p>
        </w:tc>
        <w:tc>
          <w:tcPr>
            <w:tcW w:w="34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b w:val="0"/>
                <w:bCs w:val="0"/>
                <w:i w:val="0"/>
                <w:iCs w:val="0"/>
                <w:color w:val="000000"/>
                <w:kern w:val="0"/>
                <w:sz w:val="13"/>
                <w:szCs w:val="13"/>
                <w:u w:val="none"/>
                <w:lang w:val="en-US" w:eastAsia="zh-CN" w:bidi="ar"/>
              </w:rPr>
            </w:pPr>
          </w:p>
        </w:tc>
        <w:tc>
          <w:tcPr>
            <w:tcW w:w="4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top"/>
              <w:rPr>
                <w:rFonts w:hint="eastAsia" w:ascii="Calibri" w:hAnsi="Calibri" w:eastAsia="宋体" w:cs="Calibri"/>
                <w:b/>
                <w:bCs/>
                <w:i w:val="0"/>
                <w:iCs w:val="0"/>
                <w:color w:val="000000"/>
                <w:kern w:val="0"/>
                <w:sz w:val="13"/>
                <w:szCs w:val="13"/>
                <w:u w:val="none"/>
                <w:lang w:val="en-US" w:eastAsia="zh-CN" w:bidi="ar"/>
              </w:rPr>
            </w:pPr>
          </w:p>
        </w:tc>
        <w:tc>
          <w:tcPr>
            <w:tcW w:w="10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b/>
                <w:bCs/>
                <w:i w:val="0"/>
                <w:iCs w:val="0"/>
                <w:color w:val="000000"/>
                <w:kern w:val="0"/>
                <w:sz w:val="13"/>
                <w:szCs w:val="13"/>
                <w:u w:val="none"/>
                <w:lang w:val="en-US" w:eastAsia="zh-CN" w:bidi="ar"/>
              </w:rPr>
            </w:pPr>
            <w:r>
              <w:rPr>
                <w:rFonts w:hint="eastAsia" w:ascii="Calibri" w:hAnsi="Calibri" w:cs="Calibri"/>
                <w:b/>
                <w:bCs/>
                <w:i w:val="0"/>
                <w:iCs w:val="0"/>
                <w:color w:val="000000"/>
                <w:kern w:val="0"/>
                <w:sz w:val="13"/>
                <w:szCs w:val="13"/>
                <w:u w:val="none"/>
                <w:lang w:val="en-US" w:eastAsia="zh-CN" w:bidi="ar"/>
              </w:rPr>
              <w:t>合计</w:t>
            </w:r>
          </w:p>
        </w:tc>
        <w:tc>
          <w:tcPr>
            <w:tcW w:w="5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default" w:ascii="Calibri" w:hAnsi="Calibri" w:eastAsia="宋体" w:cs="Calibri"/>
                <w:b w:val="0"/>
                <w:bCs w:val="0"/>
                <w:i w:val="0"/>
                <w:iCs w:val="0"/>
                <w:color w:val="000000"/>
                <w:kern w:val="0"/>
                <w:sz w:val="13"/>
                <w:szCs w:val="13"/>
                <w:u w:val="none"/>
                <w:lang w:val="en-US" w:eastAsia="zh-CN" w:bidi="ar"/>
              </w:rPr>
            </w:pPr>
            <w:r>
              <w:rPr>
                <w:rFonts w:hint="eastAsia" w:ascii="Calibri" w:hAnsi="Calibri" w:cs="Calibri"/>
                <w:b w:val="0"/>
                <w:bCs w:val="0"/>
                <w:i w:val="0"/>
                <w:iCs w:val="0"/>
                <w:color w:val="000000"/>
                <w:kern w:val="0"/>
                <w:sz w:val="13"/>
                <w:szCs w:val="13"/>
                <w:u w:val="none"/>
                <w:lang w:val="en-US" w:eastAsia="zh-CN" w:bidi="ar"/>
              </w:rPr>
              <w:t>5222.12</w:t>
            </w: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default" w:ascii="Calibri" w:hAnsi="Calibri" w:eastAsia="宋体" w:cs="Calibri"/>
                <w:b w:val="0"/>
                <w:bCs w:val="0"/>
                <w:i w:val="0"/>
                <w:iCs w:val="0"/>
                <w:color w:val="000000"/>
                <w:kern w:val="0"/>
                <w:sz w:val="13"/>
                <w:szCs w:val="13"/>
                <w:u w:val="none"/>
                <w:lang w:val="en-US" w:eastAsia="zh-CN" w:bidi="ar"/>
              </w:rPr>
            </w:pPr>
            <w:r>
              <w:rPr>
                <w:rFonts w:hint="default" w:ascii="Calibri" w:hAnsi="Calibri" w:eastAsia="宋体" w:cs="Calibri"/>
                <w:b w:val="0"/>
                <w:bCs w:val="0"/>
                <w:i w:val="0"/>
                <w:iCs w:val="0"/>
                <w:color w:val="000000"/>
                <w:kern w:val="0"/>
                <w:sz w:val="13"/>
                <w:szCs w:val="13"/>
                <w:u w:val="none"/>
                <w:lang w:val="en-US" w:eastAsia="zh-CN" w:bidi="ar"/>
              </w:rPr>
              <w:t>3</w:t>
            </w:r>
            <w:r>
              <w:rPr>
                <w:rFonts w:hint="eastAsia" w:ascii="Calibri" w:hAnsi="Calibri" w:cs="Calibri"/>
                <w:b w:val="0"/>
                <w:bCs w:val="0"/>
                <w:i w:val="0"/>
                <w:iCs w:val="0"/>
                <w:color w:val="000000"/>
                <w:kern w:val="0"/>
                <w:sz w:val="13"/>
                <w:szCs w:val="13"/>
                <w:u w:val="none"/>
                <w:lang w:val="en-US" w:eastAsia="zh-CN" w:bidi="ar"/>
              </w:rPr>
              <w:t>586.3</w:t>
            </w:r>
          </w:p>
        </w:tc>
        <w:tc>
          <w:tcPr>
            <w:tcW w:w="579"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b w:val="0"/>
                <w:bCs w:val="0"/>
                <w:i w:val="0"/>
                <w:iCs w:val="0"/>
                <w:color w:val="000000"/>
                <w:kern w:val="2"/>
                <w:sz w:val="13"/>
                <w:szCs w:val="13"/>
                <w:u w:val="none"/>
                <w:lang w:val="en-US" w:eastAsia="zh-CN" w:bidi="ar-SA"/>
              </w:rPr>
            </w:pPr>
            <w:r>
              <w:rPr>
                <w:rFonts w:hint="default" w:ascii="Calibri" w:hAnsi="Calibri" w:eastAsia="宋体" w:cs="Calibri"/>
                <w:b w:val="0"/>
                <w:bCs w:val="0"/>
                <w:i w:val="0"/>
                <w:iCs w:val="0"/>
                <w:color w:val="000000"/>
                <w:kern w:val="0"/>
                <w:sz w:val="13"/>
                <w:szCs w:val="13"/>
                <w:u w:val="none"/>
                <w:lang w:val="en-US" w:eastAsia="zh-CN" w:bidi="ar"/>
              </w:rPr>
              <w:t>3586.30</w:t>
            </w:r>
          </w:p>
        </w:tc>
        <w:tc>
          <w:tcPr>
            <w:tcW w:w="781"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b w:val="0"/>
                <w:bCs w:val="0"/>
                <w:i w:val="0"/>
                <w:iCs w:val="0"/>
                <w:color w:val="000000"/>
                <w:kern w:val="2"/>
                <w:sz w:val="13"/>
                <w:szCs w:val="13"/>
                <w:u w:val="none"/>
                <w:lang w:val="en-US" w:eastAsia="zh-CN" w:bidi="ar-SA"/>
              </w:rPr>
            </w:pPr>
            <w:r>
              <w:rPr>
                <w:rFonts w:hint="default" w:ascii="Calibri" w:hAnsi="Calibri" w:eastAsia="宋体" w:cs="Calibri"/>
                <w:b w:val="0"/>
                <w:bCs w:val="0"/>
                <w:i w:val="0"/>
                <w:iCs w:val="0"/>
                <w:color w:val="000000"/>
                <w:kern w:val="0"/>
                <w:sz w:val="13"/>
                <w:szCs w:val="13"/>
                <w:u w:val="none"/>
                <w:lang w:val="en-US" w:eastAsia="zh-CN" w:bidi="ar"/>
              </w:rPr>
              <w:t>2041.91</w:t>
            </w:r>
          </w:p>
        </w:tc>
        <w:tc>
          <w:tcPr>
            <w:tcW w:w="64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default" w:ascii="Calibri" w:hAnsi="Calibri" w:eastAsia="宋体" w:cs="Calibri"/>
                <w:b w:val="0"/>
                <w:bCs w:val="0"/>
                <w:i w:val="0"/>
                <w:iCs w:val="0"/>
                <w:color w:val="000000"/>
                <w:kern w:val="0"/>
                <w:sz w:val="13"/>
                <w:szCs w:val="13"/>
                <w:u w:val="none"/>
                <w:lang w:val="en-US" w:eastAsia="zh-CN" w:bidi="ar"/>
              </w:rPr>
            </w:pPr>
          </w:p>
        </w:tc>
        <w:tc>
          <w:tcPr>
            <w:tcW w:w="6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default" w:ascii="Calibri" w:hAnsi="Calibri" w:eastAsia="宋体" w:cs="Calibri"/>
                <w:b w:val="0"/>
                <w:bCs w:val="0"/>
                <w:i w:val="0"/>
                <w:iCs w:val="0"/>
                <w:color w:val="000000"/>
                <w:kern w:val="0"/>
                <w:sz w:val="13"/>
                <w:szCs w:val="13"/>
                <w:u w:val="none"/>
                <w:lang w:val="en-US" w:eastAsia="zh-CN" w:bidi="ar"/>
              </w:rPr>
            </w:pPr>
          </w:p>
        </w:tc>
        <w:tc>
          <w:tcPr>
            <w:tcW w:w="378"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b w:val="0"/>
                <w:bCs w:val="0"/>
                <w:i w:val="0"/>
                <w:iCs w:val="0"/>
                <w:color w:val="000000"/>
                <w:kern w:val="2"/>
                <w:sz w:val="13"/>
                <w:szCs w:val="13"/>
                <w:u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b w:val="0"/>
                <w:bCs w:val="0"/>
                <w:i w:val="0"/>
                <w:iCs w:val="0"/>
                <w:color w:val="000000"/>
                <w:kern w:val="2"/>
                <w:sz w:val="13"/>
                <w:szCs w:val="13"/>
                <w:u w:val="none"/>
                <w:lang w:val="en-US" w:eastAsia="zh-CN" w:bidi="ar-SA"/>
              </w:rPr>
            </w:pPr>
          </w:p>
        </w:tc>
        <w:tc>
          <w:tcPr>
            <w:tcW w:w="542"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b w:val="0"/>
                <w:bCs w:val="0"/>
                <w:i w:val="0"/>
                <w:iCs w:val="0"/>
                <w:color w:val="000000"/>
                <w:kern w:val="2"/>
                <w:sz w:val="13"/>
                <w:szCs w:val="13"/>
                <w:u w:val="none"/>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jc w:val="both"/>
              <w:rPr>
                <w:rFonts w:hint="eastAsia" w:ascii="Calibri" w:hAnsi="Calibri" w:eastAsia="宋体" w:cs="Calibri"/>
                <w:b w:val="0"/>
                <w:bCs w:val="0"/>
                <w:i w:val="0"/>
                <w:iCs w:val="0"/>
                <w:color w:val="000000"/>
                <w:kern w:val="2"/>
                <w:sz w:val="13"/>
                <w:szCs w:val="13"/>
                <w:u w:val="none"/>
                <w:lang w:val="en-US" w:eastAsia="zh-CN" w:bidi="ar-SA"/>
              </w:rPr>
            </w:pPr>
            <w:r>
              <w:rPr>
                <w:rFonts w:hint="default" w:ascii="Calibri" w:hAnsi="Calibri" w:eastAsia="宋体" w:cs="Calibri"/>
                <w:b w:val="0"/>
                <w:bCs w:val="0"/>
                <w:i w:val="0"/>
                <w:iCs w:val="0"/>
                <w:color w:val="000000"/>
                <w:kern w:val="0"/>
                <w:sz w:val="13"/>
                <w:szCs w:val="13"/>
                <w:u w:val="none"/>
                <w:lang w:val="en-US" w:eastAsia="zh-CN" w:bidi="ar"/>
              </w:rPr>
              <w:t>167.35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b w:val="0"/>
                <w:bCs w:val="0"/>
                <w:i w:val="0"/>
                <w:iCs w:val="0"/>
                <w:color w:val="000000"/>
                <w:kern w:val="0"/>
                <w:sz w:val="13"/>
                <w:szCs w:val="13"/>
                <w:u w:val="none"/>
                <w:lang w:val="en-US" w:eastAsia="zh-CN" w:bidi="ar"/>
              </w:rPr>
            </w:pPr>
            <w:r>
              <w:rPr>
                <w:rFonts w:hint="default" w:ascii="Calibri" w:hAnsi="Calibri" w:eastAsia="宋体" w:cs="Calibri"/>
                <w:b w:val="0"/>
                <w:bCs w:val="0"/>
                <w:i w:val="0"/>
                <w:iCs w:val="0"/>
                <w:color w:val="000000"/>
                <w:kern w:val="0"/>
                <w:sz w:val="13"/>
                <w:szCs w:val="13"/>
                <w:u w:val="none"/>
                <w:lang w:val="en-US" w:eastAsia="zh-CN" w:bidi="ar"/>
              </w:rPr>
              <w:t>1468.47</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Calibri" w:hAnsi="Calibri" w:eastAsia="宋体" w:cs="Calibri"/>
                <w:b w:val="0"/>
                <w:bCs w:val="0"/>
                <w:i w:val="0"/>
                <w:iCs w:val="0"/>
                <w:color w:val="000000"/>
                <w:kern w:val="0"/>
                <w:sz w:val="13"/>
                <w:szCs w:val="13"/>
                <w:u w:val="none"/>
                <w:lang w:val="en-US" w:eastAsia="zh-CN" w:bidi="ar"/>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编制单位：呼图壁县卫生健康委员会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9420" w:type="dxa"/>
        <w:tblInd w:w="-238" w:type="dxa"/>
        <w:tblLayout w:type="autofit"/>
        <w:tblCellMar>
          <w:top w:w="0" w:type="dxa"/>
          <w:left w:w="108" w:type="dxa"/>
          <w:bottom w:w="0" w:type="dxa"/>
          <w:right w:w="108" w:type="dxa"/>
        </w:tblCellMar>
      </w:tblPr>
      <w:tblGrid>
        <w:gridCol w:w="774"/>
        <w:gridCol w:w="417"/>
        <w:gridCol w:w="417"/>
        <w:gridCol w:w="2557"/>
        <w:gridCol w:w="1738"/>
        <w:gridCol w:w="1734"/>
        <w:gridCol w:w="1783"/>
      </w:tblGrid>
      <w:tr>
        <w:tblPrEx>
          <w:tblCellMar>
            <w:top w:w="0" w:type="dxa"/>
            <w:left w:w="108" w:type="dxa"/>
            <w:bottom w:w="0" w:type="dxa"/>
            <w:right w:w="108" w:type="dxa"/>
          </w:tblCellMar>
        </w:tblPrEx>
        <w:trPr>
          <w:trHeight w:val="455" w:hRule="atLeast"/>
        </w:trPr>
        <w:tc>
          <w:tcPr>
            <w:tcW w:w="407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lang w:val="en-US" w:eastAsia="zh-CN"/>
              </w:rPr>
              <w:t>科</w:t>
            </w:r>
            <w:r>
              <w:rPr>
                <w:rFonts w:hint="eastAsia" w:ascii="仿宋_GB2312" w:hAnsi="仿宋_GB2312" w:eastAsia="仿宋_GB2312" w:cs="仿宋_GB2312"/>
                <w:b/>
                <w:bCs/>
                <w:color w:val="auto"/>
                <w:kern w:val="0"/>
                <w:sz w:val="22"/>
                <w:szCs w:val="22"/>
                <w:highlight w:val="none"/>
              </w:rPr>
              <w:t xml:space="preserve">    目</w:t>
            </w:r>
          </w:p>
        </w:tc>
        <w:tc>
          <w:tcPr>
            <w:tcW w:w="534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支出预算</w:t>
            </w:r>
          </w:p>
        </w:tc>
      </w:tr>
      <w:tr>
        <w:tblPrEx>
          <w:tblCellMar>
            <w:top w:w="0" w:type="dxa"/>
            <w:left w:w="108" w:type="dxa"/>
            <w:bottom w:w="0" w:type="dxa"/>
            <w:right w:w="108" w:type="dxa"/>
          </w:tblCellMar>
        </w:tblPrEx>
        <w:trPr>
          <w:trHeight w:val="410" w:hRule="atLeast"/>
        </w:trPr>
        <w:tc>
          <w:tcPr>
            <w:tcW w:w="161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b/>
                <w:bCs/>
                <w:color w:val="auto"/>
                <w:kern w:val="0"/>
                <w:sz w:val="16"/>
                <w:szCs w:val="16"/>
                <w:highlight w:val="none"/>
              </w:rPr>
              <w:t>功能分类科目编码</w:t>
            </w:r>
          </w:p>
        </w:tc>
        <w:tc>
          <w:tcPr>
            <w:tcW w:w="245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b/>
                <w:bCs/>
                <w:color w:val="auto"/>
                <w:kern w:val="0"/>
                <w:sz w:val="16"/>
                <w:szCs w:val="16"/>
                <w:highlight w:val="none"/>
              </w:rPr>
              <w:t>功能分类科目名称</w:t>
            </w:r>
          </w:p>
        </w:tc>
        <w:tc>
          <w:tcPr>
            <w:tcW w:w="176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b/>
                <w:bCs/>
                <w:color w:val="auto"/>
                <w:kern w:val="0"/>
                <w:sz w:val="16"/>
                <w:szCs w:val="16"/>
                <w:highlight w:val="none"/>
              </w:rPr>
              <w:t>合  计</w:t>
            </w:r>
          </w:p>
        </w:tc>
        <w:tc>
          <w:tcPr>
            <w:tcW w:w="176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b/>
                <w:bCs/>
                <w:color w:val="auto"/>
                <w:kern w:val="0"/>
                <w:sz w:val="16"/>
                <w:szCs w:val="16"/>
                <w:highlight w:val="none"/>
              </w:rPr>
              <w:t>基本支出</w:t>
            </w:r>
          </w:p>
        </w:tc>
        <w:tc>
          <w:tcPr>
            <w:tcW w:w="181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6"/>
                <w:szCs w:val="16"/>
                <w:highlight w:val="none"/>
              </w:rPr>
            </w:pPr>
            <w:r>
              <w:rPr>
                <w:rFonts w:hint="eastAsia" w:ascii="仿宋_GB2312" w:hAnsi="仿宋_GB2312" w:eastAsia="仿宋_GB2312" w:cs="仿宋_GB2312"/>
                <w:b/>
                <w:bCs/>
                <w:color w:val="auto"/>
                <w:kern w:val="0"/>
                <w:sz w:val="16"/>
                <w:szCs w:val="16"/>
                <w:highlight w:val="none"/>
              </w:rPr>
              <w:t>项目支出</w:t>
            </w:r>
          </w:p>
        </w:tc>
      </w:tr>
      <w:tr>
        <w:tblPrEx>
          <w:tblCellMar>
            <w:top w:w="0" w:type="dxa"/>
            <w:left w:w="108" w:type="dxa"/>
            <w:bottom w:w="0" w:type="dxa"/>
            <w:right w:w="108" w:type="dxa"/>
          </w:tblCellMar>
        </w:tblPrEx>
        <w:trPr>
          <w:trHeight w:val="90" w:hRule="atLeast"/>
        </w:trPr>
        <w:tc>
          <w:tcPr>
            <w:tcW w:w="78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5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6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6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1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一般公共服务支出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30.00</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30.00</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04</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发展与改革事务</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30.00</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30.00</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04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99　</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其他发展与改革事务支出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30.00</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30.00</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社会保障和就业支出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92.40</w:t>
            </w:r>
          </w:p>
        </w:tc>
        <w:tc>
          <w:tcPr>
            <w:tcW w:w="17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89.25</w:t>
            </w: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3.15</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05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行政事业单位养老支出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89.25</w:t>
            </w:r>
          </w:p>
        </w:tc>
        <w:tc>
          <w:tcPr>
            <w:tcW w:w="17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89.25</w:t>
            </w:r>
          </w:p>
        </w:tc>
        <w:tc>
          <w:tcPr>
            <w:tcW w:w="181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01</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行政单位离退休</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14.35</w:t>
            </w:r>
          </w:p>
        </w:tc>
        <w:tc>
          <w:tcPr>
            <w:tcW w:w="17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14.35</w:t>
            </w:r>
          </w:p>
        </w:tc>
        <w:tc>
          <w:tcPr>
            <w:tcW w:w="181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w:t>
            </w:r>
            <w:r>
              <w:rPr>
                <w:rFonts w:hint="eastAsia" w:ascii="Calibri" w:hAnsi="Calibri" w:cs="Calibri"/>
                <w:i w:val="0"/>
                <w:iCs w:val="0"/>
                <w:color w:val="000000"/>
                <w:kern w:val="0"/>
                <w:sz w:val="13"/>
                <w:szCs w:val="13"/>
                <w:u w:val="none"/>
                <w:lang w:val="en-US" w:eastAsia="zh-CN" w:bidi="ar"/>
              </w:rPr>
              <w:t>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05</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机关事业单位基本养老保险缴费支出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66.90</w:t>
            </w:r>
          </w:p>
        </w:tc>
        <w:tc>
          <w:tcPr>
            <w:tcW w:w="17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66.90</w:t>
            </w:r>
          </w:p>
        </w:tc>
        <w:tc>
          <w:tcPr>
            <w:tcW w:w="181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06</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机关事业单位职业年金缴费支出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8.00</w:t>
            </w:r>
          </w:p>
        </w:tc>
        <w:tc>
          <w:tcPr>
            <w:tcW w:w="17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8.00</w:t>
            </w:r>
          </w:p>
        </w:tc>
        <w:tc>
          <w:tcPr>
            <w:tcW w:w="181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10</w:t>
            </w:r>
            <w:r>
              <w:rPr>
                <w:rFonts w:hint="eastAsia" w:ascii="Calibri" w:hAnsi="Calibri" w:eastAsia="宋体" w:cs="Calibri"/>
                <w:i w:val="0"/>
                <w:iCs w:val="0"/>
                <w:color w:val="000000"/>
                <w:kern w:val="0"/>
                <w:sz w:val="13"/>
                <w:szCs w:val="13"/>
                <w:u w:val="none"/>
                <w:lang w:val="en-US" w:eastAsia="zh-CN" w:bidi="ar"/>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社会福利</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3.15</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3.15</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儿童福利</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3.15</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3.15</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卫生健康支出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5036.90</w:t>
            </w:r>
          </w:p>
        </w:tc>
        <w:tc>
          <w:tcPr>
            <w:tcW w:w="17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655.93</w:t>
            </w: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4380.97</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卫生健康管理事务</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535.12</w:t>
            </w:r>
          </w:p>
        </w:tc>
        <w:tc>
          <w:tcPr>
            <w:tcW w:w="17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458.10</w:t>
            </w: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77.02</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行政运行</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458.10</w:t>
            </w:r>
          </w:p>
        </w:tc>
        <w:tc>
          <w:tcPr>
            <w:tcW w:w="17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458.10</w:t>
            </w:r>
          </w:p>
        </w:tc>
        <w:tc>
          <w:tcPr>
            <w:tcW w:w="181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02</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一般行政管理事务</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41.02</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41.02</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w:t>
            </w:r>
            <w:r>
              <w:rPr>
                <w:rFonts w:hint="eastAsia" w:ascii="Calibri" w:hAnsi="Calibri" w:cs="Calibri"/>
                <w:i w:val="0"/>
                <w:iCs w:val="0"/>
                <w:color w:val="000000"/>
                <w:kern w:val="0"/>
                <w:sz w:val="13"/>
                <w:szCs w:val="13"/>
                <w:u w:val="none"/>
                <w:lang w:val="en-US" w:eastAsia="zh-CN" w:bidi="ar"/>
              </w:rPr>
              <w:t>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99</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其他卫生健康管理事务支出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36.00</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36.00</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公立医院</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w:t>
            </w:r>
            <w:r>
              <w:rPr>
                <w:rFonts w:hint="eastAsia" w:ascii="Calibri" w:hAnsi="Calibri" w:cs="Calibri"/>
                <w:i w:val="0"/>
                <w:iCs w:val="0"/>
                <w:color w:val="000000"/>
                <w:kern w:val="0"/>
                <w:sz w:val="13"/>
                <w:szCs w:val="13"/>
                <w:u w:val="none"/>
                <w:lang w:val="en-US" w:eastAsia="zh-CN" w:bidi="ar"/>
              </w:rPr>
              <w:t>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综合医院</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03</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基层医疗卫生机构</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312.48</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312.48</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03</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99</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其他基层医疗卫生机构支出</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312.48</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312.48</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04</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公共卫生</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3371.93</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3371.93</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04</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08</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基本公共卫生服务</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1112.02</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1112.02</w:t>
            </w:r>
          </w:p>
        </w:tc>
      </w:tr>
      <w:tr>
        <w:tblPrEx>
          <w:tblCellMar>
            <w:top w:w="0" w:type="dxa"/>
            <w:left w:w="108" w:type="dxa"/>
            <w:bottom w:w="0" w:type="dxa"/>
            <w:right w:w="108" w:type="dxa"/>
          </w:tblCellMar>
        </w:tblPrEx>
        <w:trPr>
          <w:trHeight w:val="23" w:hRule="atLeast"/>
        </w:trPr>
        <w:tc>
          <w:tcPr>
            <w:tcW w:w="78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04</w:t>
            </w:r>
            <w:r>
              <w:rPr>
                <w:rFonts w:hint="eastAsia" w:ascii="Calibri" w:hAnsi="Calibri" w:eastAsia="宋体" w:cs="Calibri"/>
                <w:i w:val="0"/>
                <w:iCs w:val="0"/>
                <w:color w:val="000000"/>
                <w:kern w:val="0"/>
                <w:sz w:val="13"/>
                <w:szCs w:val="13"/>
                <w:u w:val="none"/>
                <w:lang w:val="en-US" w:eastAsia="zh-CN" w:bidi="ar"/>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eastAsia="宋体" w:cs="Calibri"/>
                <w:i w:val="0"/>
                <w:iCs w:val="0"/>
                <w:color w:val="000000"/>
                <w:kern w:val="0"/>
                <w:sz w:val="13"/>
                <w:szCs w:val="13"/>
                <w:u w:val="none"/>
                <w:lang w:val="en-US" w:eastAsia="zh-CN" w:bidi="ar"/>
              </w:rPr>
              <w:t>　</w:t>
            </w:r>
            <w:r>
              <w:rPr>
                <w:rFonts w:hint="eastAsia" w:ascii="Calibri" w:hAnsi="Calibri" w:cs="Calibri"/>
                <w:i w:val="0"/>
                <w:iCs w:val="0"/>
                <w:color w:val="000000"/>
                <w:kern w:val="0"/>
                <w:sz w:val="13"/>
                <w:szCs w:val="13"/>
                <w:u w:val="none"/>
                <w:lang w:val="en-US" w:eastAsia="zh-CN" w:bidi="ar"/>
              </w:rPr>
              <w:t>09</w:t>
            </w:r>
          </w:p>
        </w:tc>
        <w:tc>
          <w:tcPr>
            <w:tcW w:w="2457"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重大公共卫生服务</w:t>
            </w:r>
          </w:p>
        </w:tc>
        <w:tc>
          <w:tcPr>
            <w:tcW w:w="176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153.13</w:t>
            </w:r>
          </w:p>
        </w:tc>
        <w:tc>
          <w:tcPr>
            <w:tcW w:w="176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181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153.13</w:t>
            </w:r>
          </w:p>
        </w:tc>
      </w:tr>
      <w:tr>
        <w:tblPrEx>
          <w:tblCellMar>
            <w:top w:w="0" w:type="dxa"/>
            <w:left w:w="108" w:type="dxa"/>
            <w:bottom w:w="0" w:type="dxa"/>
            <w:right w:w="108" w:type="dxa"/>
          </w:tblCellMar>
        </w:tblPrEx>
        <w:trPr>
          <w:trHeight w:val="195"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04</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突发公共卫生事件应急处置</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1404.33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1404.33</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04</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99</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其他公共卫生支出</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702.45</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702.45</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07</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计划生育事务</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467.39</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153.60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313.79</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07</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17</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计划生育服务</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467.39</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153.60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313.79</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11</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行政事业单位医疗</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44.23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44.23</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11</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行政单位医疗</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32.34</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32.34</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11</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02</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事业单位医疗</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1.62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1.62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11</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03</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公务员医疗补助</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10.17</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10.17</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11</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99</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其他行政事业单位医疗支出</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0.10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0.10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17</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中医药事务</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200.00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200.00</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210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17</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04</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中医（民族医）药专项</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200.00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200.00</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221</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住房保障支出</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62.82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62.82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221</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02</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住房改革支出</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62.82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62.82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221</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02</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01</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住房公积金</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62.82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62.82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229</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其他支出</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229</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60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彩票公益金安排的支出</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229</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60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02</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用于社会福利的彩票公益金支出</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8.80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8.80</w:t>
            </w:r>
          </w:p>
        </w:tc>
      </w:tr>
      <w:tr>
        <w:tblPrEx>
          <w:tblCellMar>
            <w:top w:w="0" w:type="dxa"/>
            <w:left w:w="108" w:type="dxa"/>
            <w:bottom w:w="0" w:type="dxa"/>
            <w:right w:w="108" w:type="dxa"/>
          </w:tblCellMar>
        </w:tblPrEx>
        <w:trPr>
          <w:trHeight w:val="23"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default" w:ascii="Calibri" w:hAnsi="Calibri" w:eastAsia="宋体" w:cs="Calibri"/>
                <w:i w:val="0"/>
                <w:iCs w:val="0"/>
                <w:color w:val="000000"/>
                <w:kern w:val="0"/>
                <w:sz w:val="13"/>
                <w:szCs w:val="13"/>
                <w:u w:val="none"/>
                <w:lang w:val="en-US" w:eastAsia="zh-CN" w:bidi="ar"/>
              </w:rPr>
              <w:t>229</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60</w:t>
            </w: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default" w:ascii="Calibri" w:hAnsi="Calibri" w:eastAsia="宋体" w:cs="Calibri"/>
                <w:i w:val="0"/>
                <w:iCs w:val="0"/>
                <w:color w:val="000000"/>
                <w:kern w:val="0"/>
                <w:sz w:val="13"/>
                <w:szCs w:val="13"/>
                <w:u w:val="none"/>
                <w:lang w:val="en-US" w:eastAsia="zh-CN" w:bidi="ar"/>
              </w:rPr>
            </w:pPr>
            <w:r>
              <w:rPr>
                <w:rFonts w:hint="eastAsia" w:ascii="Calibri" w:hAnsi="Calibri" w:cs="Calibri"/>
                <w:i w:val="0"/>
                <w:iCs w:val="0"/>
                <w:color w:val="000000"/>
                <w:kern w:val="0"/>
                <w:sz w:val="13"/>
                <w:szCs w:val="13"/>
                <w:u w:val="none"/>
                <w:lang w:val="en-US" w:eastAsia="zh-CN" w:bidi="ar"/>
              </w:rPr>
              <w:t>13</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用于城乡医疗救助的彩票公益金支出</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4.00</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4.00</w:t>
            </w:r>
          </w:p>
        </w:tc>
      </w:tr>
      <w:tr>
        <w:tblPrEx>
          <w:tblCellMar>
            <w:top w:w="0" w:type="dxa"/>
            <w:left w:w="108" w:type="dxa"/>
            <w:bottom w:w="0" w:type="dxa"/>
            <w:right w:w="108" w:type="dxa"/>
          </w:tblCellMar>
        </w:tblPrEx>
        <w:trPr>
          <w:trHeight w:val="181" w:hRule="atLeast"/>
        </w:trPr>
        <w:tc>
          <w:tcPr>
            <w:tcW w:w="784"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eastAsia" w:ascii="Calibri" w:hAnsi="Calibri" w:cs="Calibri"/>
                <w:i w:val="0"/>
                <w:iCs w:val="0"/>
                <w:color w:val="000000"/>
                <w:kern w:val="0"/>
                <w:sz w:val="22"/>
                <w:szCs w:val="22"/>
                <w:u w:val="none"/>
                <w:lang w:val="en-US" w:eastAsia="zh-CN" w:bidi="ar"/>
              </w:rPr>
            </w:pPr>
          </w:p>
        </w:tc>
        <w:tc>
          <w:tcPr>
            <w:tcW w:w="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jc w:val="left"/>
              <w:textAlignment w:val="top"/>
              <w:rPr>
                <w:rFonts w:hint="eastAsia" w:ascii="Calibri" w:hAnsi="Calibri" w:cs="Calibri"/>
                <w:i w:val="0"/>
                <w:iCs w:val="0"/>
                <w:color w:val="000000"/>
                <w:kern w:val="0"/>
                <w:sz w:val="22"/>
                <w:szCs w:val="22"/>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合计</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b/>
                <w:bCs/>
                <w:i w:val="0"/>
                <w:iCs w:val="0"/>
                <w:color w:val="000000"/>
                <w:kern w:val="0"/>
                <w:sz w:val="15"/>
                <w:szCs w:val="15"/>
                <w:u w:val="none"/>
                <w:lang w:val="en-US" w:eastAsia="zh-CN" w:bidi="ar"/>
              </w:rPr>
            </w:pPr>
            <w:r>
              <w:rPr>
                <w:rFonts w:hint="default" w:ascii="宋体" w:hAnsi="宋体" w:eastAsia="宋体" w:cs="宋体"/>
                <w:b/>
                <w:bCs/>
                <w:i w:val="0"/>
                <w:iCs w:val="0"/>
                <w:color w:val="000000"/>
                <w:kern w:val="0"/>
                <w:sz w:val="15"/>
                <w:szCs w:val="15"/>
                <w:u w:val="none"/>
                <w:lang w:val="en-US" w:eastAsia="zh-CN" w:bidi="ar"/>
              </w:rPr>
              <w:t>5234.92</w:t>
            </w:r>
          </w:p>
        </w:tc>
        <w:tc>
          <w:tcPr>
            <w:tcW w:w="0" w:type="auto"/>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Calibri"/>
                <w:b/>
                <w:bCs/>
                <w:i w:val="0"/>
                <w:iCs w:val="0"/>
                <w:color w:val="000000"/>
                <w:kern w:val="2"/>
                <w:sz w:val="15"/>
                <w:szCs w:val="15"/>
                <w:u w:val="none"/>
                <w:lang w:val="en-US" w:eastAsia="zh-CN" w:bidi="ar-SA"/>
              </w:rPr>
            </w:pPr>
            <w:r>
              <w:rPr>
                <w:rFonts w:hint="default" w:ascii="宋体" w:hAnsi="宋体" w:eastAsia="宋体" w:cs="宋体"/>
                <w:b/>
                <w:bCs/>
                <w:i w:val="0"/>
                <w:iCs w:val="0"/>
                <w:color w:val="000000"/>
                <w:kern w:val="0"/>
                <w:sz w:val="15"/>
                <w:szCs w:val="15"/>
                <w:u w:val="none"/>
                <w:lang w:val="en-US" w:eastAsia="zh-CN" w:bidi="ar"/>
              </w:rPr>
              <w:t>808.00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default" w:ascii="Calibri" w:hAnsi="Calibri" w:eastAsia="宋体" w:cs="Calibri"/>
                <w:b/>
                <w:bCs/>
                <w:i w:val="0"/>
                <w:iCs w:val="0"/>
                <w:color w:val="000000"/>
                <w:kern w:val="0"/>
                <w:sz w:val="15"/>
                <w:szCs w:val="15"/>
                <w:u w:val="none"/>
                <w:lang w:val="en-US" w:eastAsia="zh-CN" w:bidi="ar"/>
              </w:rPr>
            </w:pPr>
            <w:r>
              <w:rPr>
                <w:rFonts w:hint="default" w:ascii="宋体" w:hAnsi="宋体" w:eastAsia="宋体" w:cs="宋体"/>
                <w:b/>
                <w:bCs/>
                <w:i w:val="0"/>
                <w:iCs w:val="0"/>
                <w:color w:val="000000"/>
                <w:kern w:val="0"/>
                <w:sz w:val="15"/>
                <w:szCs w:val="15"/>
                <w:u w:val="none"/>
                <w:lang w:val="en-US" w:eastAsia="zh-CN" w:bidi="ar"/>
              </w:rPr>
              <w:t>4426.92</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pStyle w:val="2"/>
        <w:ind w:left="0" w:leftChars="0" w:firstLine="0" w:firstLineChars="0"/>
        <w:rPr>
          <w:rFonts w:hint="default" w:ascii="仿宋_GB2312" w:hAnsi="宋体" w:eastAsia="仿宋_GB2312" w:cs="Times New Roman"/>
          <w:color w:val="auto"/>
          <w:kern w:val="0"/>
          <w:sz w:val="24"/>
          <w:szCs w:val="24"/>
          <w:highlight w:val="none"/>
          <w:lang w:val="en-US" w:eastAsia="zh-CN" w:bidi="ar-SA"/>
        </w:rPr>
      </w:pPr>
      <w:r>
        <w:rPr>
          <w:rFonts w:hint="eastAsia" w:ascii="仿宋_GB2312" w:hAnsi="宋体" w:eastAsia="仿宋_GB2312" w:cs="Times New Roman"/>
          <w:color w:val="auto"/>
          <w:kern w:val="0"/>
          <w:sz w:val="24"/>
          <w:szCs w:val="24"/>
          <w:highlight w:val="none"/>
          <w:lang w:val="en-US" w:eastAsia="zh-CN" w:bidi="ar-SA"/>
        </w:rPr>
        <w:t>编制单位：呼图壁县卫生健康委员会                             单位：万元</w:t>
      </w:r>
    </w:p>
    <w:tbl>
      <w:tblPr>
        <w:tblStyle w:val="7"/>
        <w:tblW w:w="9449" w:type="dxa"/>
        <w:tblInd w:w="-240" w:type="dxa"/>
        <w:tblLayout w:type="autofit"/>
        <w:tblCellMar>
          <w:top w:w="0" w:type="dxa"/>
          <w:left w:w="108" w:type="dxa"/>
          <w:bottom w:w="0" w:type="dxa"/>
          <w:right w:w="108" w:type="dxa"/>
        </w:tblCellMar>
      </w:tblPr>
      <w:tblGrid>
        <w:gridCol w:w="1933"/>
        <w:gridCol w:w="922"/>
        <w:gridCol w:w="2577"/>
        <w:gridCol w:w="900"/>
        <w:gridCol w:w="851"/>
        <w:gridCol w:w="1133"/>
        <w:gridCol w:w="1133"/>
      </w:tblGrid>
      <w:tr>
        <w:tblPrEx>
          <w:tblCellMar>
            <w:top w:w="0" w:type="dxa"/>
            <w:left w:w="108" w:type="dxa"/>
            <w:bottom w:w="0" w:type="dxa"/>
            <w:right w:w="108" w:type="dxa"/>
          </w:tblCellMar>
        </w:tblPrEx>
        <w:trPr>
          <w:trHeight w:val="285" w:hRule="atLeast"/>
        </w:trPr>
        <w:tc>
          <w:tcPr>
            <w:tcW w:w="2855"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4"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3599.10</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3586.30</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297"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w:t>
            </w:r>
            <w:r>
              <w:rPr>
                <w:rFonts w:hint="eastAsia" w:ascii="Calibri" w:hAnsi="Calibri" w:cs="Calibri"/>
                <w:i w:val="0"/>
                <w:iCs w:val="0"/>
                <w:color w:val="000000"/>
                <w:kern w:val="0"/>
                <w:sz w:val="16"/>
                <w:szCs w:val="16"/>
                <w:u w:val="none"/>
                <w:lang w:val="en-US" w:eastAsia="zh-CN" w:bidi="ar"/>
              </w:rPr>
              <w:t>0.56</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eastAsia" w:ascii="Calibri" w:hAnsi="Calibri" w:cs="Calibri"/>
                <w:i w:val="0"/>
                <w:iCs w:val="0"/>
                <w:color w:val="000000"/>
                <w:kern w:val="2"/>
                <w:sz w:val="16"/>
                <w:szCs w:val="16"/>
                <w:u w:val="none"/>
                <w:lang w:val="en-US" w:eastAsia="zh-CN" w:bidi="ar-SA"/>
              </w:rPr>
              <w:t>40.56</w:t>
            </w: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2"/>
                <w:szCs w:val="22"/>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eastAsia" w:ascii="Calibri" w:hAnsi="Calibri" w:cs="Calibri"/>
                <w:i w:val="0"/>
                <w:iCs w:val="0"/>
                <w:color w:val="000000"/>
                <w:kern w:val="2"/>
                <w:sz w:val="16"/>
                <w:szCs w:val="16"/>
                <w:u w:val="none"/>
                <w:lang w:val="en-US" w:eastAsia="zh-CN" w:bidi="ar-SA"/>
              </w:rPr>
              <w:t>3523.98</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eastAsia" w:ascii="Calibri" w:hAnsi="Calibri" w:cs="Calibri"/>
                <w:i w:val="0"/>
                <w:iCs w:val="0"/>
                <w:color w:val="000000"/>
                <w:kern w:val="2"/>
                <w:sz w:val="16"/>
                <w:szCs w:val="16"/>
                <w:u w:val="none"/>
                <w:lang w:val="en-US" w:eastAsia="zh-CN" w:bidi="ar-SA"/>
              </w:rPr>
              <w:t>3523.98</w:t>
            </w: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21.76</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21.76</w:t>
            </w: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2"/>
                <w:szCs w:val="22"/>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12.80</w:t>
            </w: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12.80</w:t>
            </w: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851"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2"/>
                <w:szCs w:val="22"/>
                <w:highlight w:val="none"/>
              </w:rPr>
            </w:pPr>
          </w:p>
        </w:tc>
      </w:tr>
      <w:tr>
        <w:tblPrEx>
          <w:tblCellMar>
            <w:top w:w="0" w:type="dxa"/>
            <w:left w:w="108" w:type="dxa"/>
            <w:bottom w:w="0" w:type="dxa"/>
            <w:right w:w="108" w:type="dxa"/>
          </w:tblCellMar>
        </w:tblPrEx>
        <w:trPr>
          <w:trHeight w:val="312" w:hRule="exact"/>
        </w:trPr>
        <w:tc>
          <w:tcPr>
            <w:tcW w:w="193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single" w:color="auto" w:sz="4" w:space="0"/>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Calibri"/>
                <w:i w:val="0"/>
                <w:iCs w:val="0"/>
                <w:color w:val="000000"/>
                <w:kern w:val="2"/>
                <w:sz w:val="16"/>
                <w:szCs w:val="16"/>
                <w:u w:val="none"/>
                <w:lang w:val="en-US" w:eastAsia="zh-CN" w:bidi="ar-SA"/>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2"/>
                <w:szCs w:val="22"/>
                <w:highlight w:val="none"/>
              </w:rPr>
            </w:pPr>
          </w:p>
        </w:tc>
      </w:tr>
      <w:tr>
        <w:tblPrEx>
          <w:tblCellMar>
            <w:top w:w="0" w:type="dxa"/>
            <w:left w:w="108" w:type="dxa"/>
            <w:bottom w:w="0" w:type="dxa"/>
            <w:right w:w="108" w:type="dxa"/>
          </w:tblCellMar>
        </w:tblPrEx>
        <w:trPr>
          <w:trHeight w:val="312" w:hRule="exact"/>
        </w:trPr>
        <w:tc>
          <w:tcPr>
            <w:tcW w:w="193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4"/>
                <w:szCs w:val="24"/>
                <w:highlight w:val="none"/>
                <w:lang w:eastAsia="zh-CN"/>
              </w:rPr>
            </w:pPr>
            <w:r>
              <w:rPr>
                <w:rFonts w:hint="eastAsia" w:ascii="仿宋_GB2312" w:hAnsi="仿宋_GB2312" w:eastAsia="仿宋_GB2312" w:cs="仿宋_GB2312"/>
                <w:b/>
                <w:bCs/>
                <w:color w:val="auto"/>
                <w:kern w:val="0"/>
                <w:sz w:val="18"/>
                <w:szCs w:val="18"/>
                <w:highlight w:val="none"/>
                <w:lang w:eastAsia="zh-CN"/>
              </w:rPr>
              <w:t>收入总计</w:t>
            </w:r>
          </w:p>
        </w:tc>
        <w:tc>
          <w:tcPr>
            <w:tcW w:w="922" w:type="dxa"/>
            <w:tcBorders>
              <w:top w:val="single" w:color="auto" w:sz="4" w:space="0"/>
              <w:left w:val="single" w:color="auto" w:sz="4" w:space="0"/>
              <w:bottom w:val="single" w:color="auto" w:sz="4" w:space="0"/>
              <w:right w:val="single" w:color="auto" w:sz="4" w:space="0"/>
            </w:tcBorders>
            <w:noWrap w:val="0"/>
            <w:vAlign w:val="bottom"/>
          </w:tcPr>
          <w:p>
            <w:pPr>
              <w:jc w:val="center"/>
              <w:rPr>
                <w:rFonts w:hint="default" w:ascii="Calibri" w:hAnsi="Calibri" w:cs="Calibri"/>
                <w:i w:val="0"/>
                <w:iCs w:val="0"/>
                <w:color w:val="000000"/>
                <w:kern w:val="2"/>
                <w:sz w:val="18"/>
                <w:szCs w:val="18"/>
                <w:u w:val="none"/>
                <w:lang w:val="en-US" w:eastAsia="zh-CN" w:bidi="ar-SA"/>
              </w:rPr>
            </w:pPr>
            <w:r>
              <w:rPr>
                <w:rFonts w:hint="eastAsia" w:ascii="Calibri" w:hAnsi="Calibri" w:cs="Calibri"/>
                <w:i w:val="0"/>
                <w:iCs w:val="0"/>
                <w:color w:val="000000"/>
                <w:kern w:val="2"/>
                <w:sz w:val="18"/>
                <w:szCs w:val="18"/>
                <w:u w:val="none"/>
                <w:lang w:val="en-US" w:eastAsia="zh-CN" w:bidi="ar-SA"/>
              </w:rPr>
              <w:t>3599.10</w:t>
            </w:r>
          </w:p>
        </w:tc>
        <w:tc>
          <w:tcPr>
            <w:tcW w:w="257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4"/>
                <w:szCs w:val="24"/>
                <w:highlight w:val="none"/>
                <w:lang w:eastAsia="zh-CN"/>
              </w:rPr>
            </w:pPr>
            <w:r>
              <w:rPr>
                <w:rFonts w:hint="eastAsia" w:ascii="仿宋_GB2312" w:hAnsi="仿宋_GB2312" w:eastAsia="仿宋_GB2312" w:cs="仿宋_GB2312"/>
                <w:b/>
                <w:bCs/>
                <w:color w:val="auto"/>
                <w:kern w:val="0"/>
                <w:sz w:val="18"/>
                <w:szCs w:val="18"/>
                <w:highlight w:val="none"/>
                <w:lang w:eastAsia="zh-CN"/>
              </w:rPr>
              <w:t>支出总计</w:t>
            </w:r>
          </w:p>
        </w:tc>
        <w:tc>
          <w:tcPr>
            <w:tcW w:w="9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8"/>
                <w:szCs w:val="18"/>
                <w:u w:val="none"/>
                <w:lang w:val="en-US" w:eastAsia="zh-CN" w:bidi="ar-SA"/>
              </w:rPr>
            </w:pPr>
            <w:r>
              <w:rPr>
                <w:rFonts w:hint="eastAsia" w:ascii="Calibri" w:hAnsi="Calibri" w:cs="Calibri"/>
                <w:i w:val="0"/>
                <w:iCs w:val="0"/>
                <w:color w:val="000000"/>
                <w:kern w:val="2"/>
                <w:sz w:val="18"/>
                <w:szCs w:val="18"/>
                <w:u w:val="none"/>
                <w:lang w:val="en-US" w:eastAsia="zh-CN" w:bidi="ar-SA"/>
              </w:rPr>
              <w:t>3599.10</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8"/>
                <w:szCs w:val="18"/>
                <w:u w:val="none"/>
                <w:lang w:val="en-US" w:eastAsia="zh-CN" w:bidi="ar-SA"/>
              </w:rPr>
            </w:pPr>
            <w:r>
              <w:rPr>
                <w:rFonts w:hint="eastAsia" w:ascii="Calibri" w:hAnsi="Calibri" w:cs="Calibri"/>
                <w:i w:val="0"/>
                <w:iCs w:val="0"/>
                <w:color w:val="000000"/>
                <w:kern w:val="2"/>
                <w:sz w:val="18"/>
                <w:szCs w:val="18"/>
                <w:u w:val="none"/>
                <w:lang w:val="en-US" w:eastAsia="zh-CN" w:bidi="ar-SA"/>
              </w:rPr>
              <w:t>3586.30</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2"/>
                <w:sz w:val="18"/>
                <w:szCs w:val="18"/>
                <w:u w:val="none"/>
                <w:lang w:val="en-US" w:eastAsia="zh-CN" w:bidi="ar-SA"/>
              </w:rPr>
            </w:pPr>
            <w:r>
              <w:rPr>
                <w:rFonts w:hint="eastAsia" w:ascii="Calibri" w:hAnsi="Calibri" w:cs="Calibri"/>
                <w:i w:val="0"/>
                <w:iCs w:val="0"/>
                <w:color w:val="000000"/>
                <w:kern w:val="2"/>
                <w:sz w:val="18"/>
                <w:szCs w:val="18"/>
                <w:u w:val="none"/>
                <w:lang w:val="en-US" w:eastAsia="zh-CN" w:bidi="ar-SA"/>
              </w:rPr>
              <w:t>12.80</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24"/>
                <w:szCs w:val="24"/>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997"/>
        <w:gridCol w:w="478"/>
        <w:gridCol w:w="482"/>
        <w:gridCol w:w="2661"/>
        <w:gridCol w:w="623"/>
        <w:gridCol w:w="874"/>
        <w:gridCol w:w="212"/>
        <w:gridCol w:w="1376"/>
        <w:gridCol w:w="151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18"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编制单位：呼图壁县卫生健康委员会</w:t>
            </w:r>
          </w:p>
        </w:tc>
        <w:tc>
          <w:tcPr>
            <w:tcW w:w="623"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08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8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618"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59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95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6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97"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58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1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99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7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8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6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97"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8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1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208</w:t>
            </w:r>
          </w:p>
        </w:tc>
        <w:tc>
          <w:tcPr>
            <w:tcW w:w="478"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482"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社会保障和就业支出</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ind w:firstLine="480" w:firstLineChars="300"/>
              <w:jc w:val="both"/>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40.56</w:t>
            </w:r>
          </w:p>
        </w:tc>
        <w:tc>
          <w:tcPr>
            <w:tcW w:w="15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40.56</w:t>
            </w:r>
          </w:p>
        </w:tc>
        <w:tc>
          <w:tcPr>
            <w:tcW w:w="1511"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208</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5</w:t>
            </w:r>
          </w:p>
        </w:tc>
        <w:tc>
          <w:tcPr>
            <w:tcW w:w="482"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行政事业单位养老支出</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40.56</w:t>
            </w:r>
          </w:p>
        </w:tc>
        <w:tc>
          <w:tcPr>
            <w:tcW w:w="15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40.56</w:t>
            </w:r>
          </w:p>
        </w:tc>
        <w:tc>
          <w:tcPr>
            <w:tcW w:w="1511"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208</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5</w:t>
            </w:r>
          </w:p>
        </w:tc>
        <w:tc>
          <w:tcPr>
            <w:tcW w:w="482"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行政单位离退休</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14.35</w:t>
            </w:r>
          </w:p>
        </w:tc>
        <w:tc>
          <w:tcPr>
            <w:tcW w:w="15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14.35</w:t>
            </w:r>
          </w:p>
        </w:tc>
        <w:tc>
          <w:tcPr>
            <w:tcW w:w="1511"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208</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5</w:t>
            </w:r>
          </w:p>
        </w:tc>
        <w:tc>
          <w:tcPr>
            <w:tcW w:w="482"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5</w:t>
            </w: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机关事业单位基本养老保险缴费支出</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26.21</w:t>
            </w:r>
          </w:p>
        </w:tc>
        <w:tc>
          <w:tcPr>
            <w:tcW w:w="15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26.21</w:t>
            </w:r>
          </w:p>
        </w:tc>
        <w:tc>
          <w:tcPr>
            <w:tcW w:w="1511"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482"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卫生健康支出</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3523.9</w:t>
            </w:r>
            <w:r>
              <w:rPr>
                <w:rFonts w:hint="eastAsia" w:ascii="Calibri" w:hAnsi="Calibri" w:cs="Calibri"/>
                <w:i w:val="0"/>
                <w:iCs w:val="0"/>
                <w:color w:val="000000"/>
                <w:kern w:val="0"/>
                <w:sz w:val="16"/>
                <w:szCs w:val="16"/>
                <w:u w:val="none"/>
                <w:lang w:val="en-US" w:eastAsia="zh-CN" w:bidi="ar"/>
              </w:rPr>
              <w:t>8</w:t>
            </w:r>
          </w:p>
        </w:tc>
        <w:tc>
          <w:tcPr>
            <w:tcW w:w="15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578.33</w:t>
            </w: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2945.65</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82"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卫生健康管理事务</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484.94</w:t>
            </w:r>
          </w:p>
        </w:tc>
        <w:tc>
          <w:tcPr>
            <w:tcW w:w="15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407.92</w:t>
            </w: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77.02</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82"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行政运行</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407.92</w:t>
            </w:r>
          </w:p>
        </w:tc>
        <w:tc>
          <w:tcPr>
            <w:tcW w:w="15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407.92</w:t>
            </w:r>
          </w:p>
        </w:tc>
        <w:tc>
          <w:tcPr>
            <w:tcW w:w="1511"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82"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一般行政管理事务</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41.02</w:t>
            </w:r>
          </w:p>
        </w:tc>
        <w:tc>
          <w:tcPr>
            <w:tcW w:w="1588"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41.02</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82"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99</w:t>
            </w: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其他卫生健康管理事务支出</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36</w:t>
            </w:r>
            <w:r>
              <w:rPr>
                <w:rFonts w:hint="eastAsia" w:ascii="Calibri" w:hAnsi="Calibri" w:cs="Calibri"/>
                <w:i w:val="0"/>
                <w:iCs w:val="0"/>
                <w:color w:val="000000"/>
                <w:kern w:val="0"/>
                <w:sz w:val="16"/>
                <w:szCs w:val="16"/>
                <w:u w:val="none"/>
                <w:lang w:val="en-US" w:eastAsia="zh-CN" w:bidi="ar"/>
              </w:rPr>
              <w:t>.00</w:t>
            </w:r>
          </w:p>
        </w:tc>
        <w:tc>
          <w:tcPr>
            <w:tcW w:w="1588"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36</w:t>
            </w:r>
            <w:r>
              <w:rPr>
                <w:rFonts w:hint="eastAsia" w:ascii="Calibri" w:hAnsi="Calibri" w:cs="Calibri"/>
                <w:i w:val="0"/>
                <w:iCs w:val="0"/>
                <w:color w:val="000000"/>
                <w:kern w:val="0"/>
                <w:sz w:val="16"/>
                <w:szCs w:val="16"/>
                <w:u w:val="none"/>
                <w:lang w:val="en-US" w:eastAsia="zh-CN" w:bidi="ar"/>
              </w:rPr>
              <w:t>.00</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482"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公立医院</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105.75</w:t>
            </w:r>
          </w:p>
        </w:tc>
        <w:tc>
          <w:tcPr>
            <w:tcW w:w="1588"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105.75</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482"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综合医院</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105.75</w:t>
            </w:r>
          </w:p>
        </w:tc>
        <w:tc>
          <w:tcPr>
            <w:tcW w:w="1588"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105.75</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3</w:t>
            </w:r>
          </w:p>
        </w:tc>
        <w:tc>
          <w:tcPr>
            <w:tcW w:w="482"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基层医疗卫生机构</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312.48</w:t>
            </w:r>
          </w:p>
        </w:tc>
        <w:tc>
          <w:tcPr>
            <w:tcW w:w="1588"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312.48</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3</w:t>
            </w:r>
          </w:p>
        </w:tc>
        <w:tc>
          <w:tcPr>
            <w:tcW w:w="482"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99</w:t>
            </w: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其他基层医疗卫生机构支出</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312.48</w:t>
            </w:r>
          </w:p>
        </w:tc>
        <w:tc>
          <w:tcPr>
            <w:tcW w:w="1588"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312.48</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82" w:type="dxa"/>
            <w:tcBorders>
              <w:top w:val="nil"/>
              <w:left w:val="nil"/>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公共卫生</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1965.9</w:t>
            </w:r>
            <w:r>
              <w:rPr>
                <w:rFonts w:hint="eastAsia" w:ascii="Calibri" w:hAnsi="Calibri" w:cs="Calibri"/>
                <w:i w:val="0"/>
                <w:iCs w:val="0"/>
                <w:color w:val="000000"/>
                <w:kern w:val="0"/>
                <w:sz w:val="16"/>
                <w:szCs w:val="16"/>
                <w:u w:val="none"/>
                <w:lang w:val="en-US" w:eastAsia="zh-CN" w:bidi="ar"/>
              </w:rPr>
              <w:t>0</w:t>
            </w:r>
          </w:p>
        </w:tc>
        <w:tc>
          <w:tcPr>
            <w:tcW w:w="1588"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1965.9</w:t>
            </w:r>
            <w:r>
              <w:rPr>
                <w:rFonts w:hint="eastAsia" w:ascii="Calibri" w:hAnsi="Calibri" w:cs="Calibri"/>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312" w:hRule="exact"/>
        </w:trPr>
        <w:tc>
          <w:tcPr>
            <w:tcW w:w="997"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82"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8</w:t>
            </w:r>
          </w:p>
        </w:tc>
        <w:tc>
          <w:tcPr>
            <w:tcW w:w="266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基本公共卫生服务</w:t>
            </w:r>
          </w:p>
        </w:tc>
        <w:tc>
          <w:tcPr>
            <w:tcW w:w="1497"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1112.02</w:t>
            </w:r>
          </w:p>
        </w:tc>
        <w:tc>
          <w:tcPr>
            <w:tcW w:w="1588"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1112.02</w:t>
            </w: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8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9</w:t>
            </w:r>
          </w:p>
        </w:tc>
        <w:tc>
          <w:tcPr>
            <w:tcW w:w="266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重大公共卫生服务</w:t>
            </w:r>
          </w:p>
        </w:tc>
        <w:tc>
          <w:tcPr>
            <w:tcW w:w="1497"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151.43</w:t>
            </w:r>
          </w:p>
        </w:tc>
        <w:tc>
          <w:tcPr>
            <w:tcW w:w="1588" w:type="dxa"/>
            <w:gridSpan w:val="2"/>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151.43</w:t>
            </w: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8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99</w:t>
            </w:r>
          </w:p>
        </w:tc>
        <w:tc>
          <w:tcPr>
            <w:tcW w:w="266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其他公共卫生支出</w:t>
            </w:r>
          </w:p>
        </w:tc>
        <w:tc>
          <w:tcPr>
            <w:tcW w:w="1497"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702.45</w:t>
            </w:r>
          </w:p>
        </w:tc>
        <w:tc>
          <w:tcPr>
            <w:tcW w:w="1588" w:type="dxa"/>
            <w:gridSpan w:val="2"/>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151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702.45</w:t>
            </w: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7</w:t>
            </w:r>
          </w:p>
        </w:tc>
        <w:tc>
          <w:tcPr>
            <w:tcW w:w="482"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266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计划生育事务</w:t>
            </w:r>
          </w:p>
        </w:tc>
        <w:tc>
          <w:tcPr>
            <w:tcW w:w="1497"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438.1</w:t>
            </w:r>
            <w:r>
              <w:rPr>
                <w:rFonts w:hint="eastAsia" w:ascii="Calibri" w:hAnsi="Calibri" w:cs="Calibri"/>
                <w:i w:val="0"/>
                <w:iCs w:val="0"/>
                <w:color w:val="000000"/>
                <w:kern w:val="0"/>
                <w:sz w:val="16"/>
                <w:szCs w:val="16"/>
                <w:u w:val="none"/>
                <w:lang w:val="en-US" w:eastAsia="zh-CN" w:bidi="ar"/>
              </w:rPr>
              <w:t>0</w:t>
            </w:r>
          </w:p>
        </w:tc>
        <w:tc>
          <w:tcPr>
            <w:tcW w:w="158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153.6</w:t>
            </w:r>
            <w:r>
              <w:rPr>
                <w:rFonts w:hint="eastAsia" w:ascii="Calibri" w:hAnsi="Calibri" w:cs="Calibri"/>
                <w:i w:val="0"/>
                <w:iCs w:val="0"/>
                <w:color w:val="000000"/>
                <w:kern w:val="0"/>
                <w:sz w:val="16"/>
                <w:szCs w:val="16"/>
                <w:u w:val="none"/>
                <w:lang w:val="en-US" w:eastAsia="zh-CN" w:bidi="ar"/>
              </w:rPr>
              <w:t>0</w:t>
            </w:r>
          </w:p>
        </w:tc>
        <w:tc>
          <w:tcPr>
            <w:tcW w:w="151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284.5</w:t>
            </w:r>
            <w:r>
              <w:rPr>
                <w:rFonts w:hint="eastAsia" w:ascii="Calibri" w:hAnsi="Calibri" w:cs="Calibri"/>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7</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17</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计划生育服务</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438.1</w:t>
            </w:r>
            <w:r>
              <w:rPr>
                <w:rFonts w:hint="eastAsia" w:ascii="Calibri" w:hAnsi="Calibri" w:cs="Calibri"/>
                <w:i w:val="0"/>
                <w:iCs w:val="0"/>
                <w:color w:val="000000"/>
                <w:kern w:val="0"/>
                <w:sz w:val="16"/>
                <w:szCs w:val="16"/>
                <w:u w:val="none"/>
                <w:lang w:val="en-US" w:eastAsia="zh-CN" w:bidi="ar"/>
              </w:rPr>
              <w:t>0</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153.6</w:t>
            </w:r>
            <w:r>
              <w:rPr>
                <w:rFonts w:hint="eastAsia" w:ascii="Calibri" w:hAnsi="Calibri" w:cs="Calibri"/>
                <w:i w:val="0"/>
                <w:iCs w:val="0"/>
                <w:color w:val="000000"/>
                <w:kern w:val="0"/>
                <w:sz w:val="16"/>
                <w:szCs w:val="16"/>
                <w:u w:val="none"/>
                <w:lang w:val="en-US" w:eastAsia="zh-CN" w:bidi="ar"/>
              </w:rPr>
              <w:t>0</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284.5</w:t>
            </w:r>
            <w:r>
              <w:rPr>
                <w:rFonts w:hint="eastAsia" w:ascii="Calibri" w:hAnsi="Calibri" w:cs="Calibri"/>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11</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行政事业单位医疗</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16.8</w:t>
            </w:r>
            <w:r>
              <w:rPr>
                <w:rFonts w:hint="eastAsia" w:ascii="Calibri" w:hAnsi="Calibri" w:cs="Calibri"/>
                <w:i w:val="0"/>
                <w:iCs w:val="0"/>
                <w:color w:val="000000"/>
                <w:kern w:val="0"/>
                <w:sz w:val="16"/>
                <w:szCs w:val="16"/>
                <w:u w:val="none"/>
                <w:lang w:val="en-US" w:eastAsia="zh-CN" w:bidi="ar"/>
              </w:rPr>
              <w:t>0</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16.81</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11</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行政单位医疗</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11.48</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11.48</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11</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事业单位医疗</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1.62</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1.62</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11</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公务员医疗补助</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3.6</w:t>
            </w:r>
            <w:r>
              <w:rPr>
                <w:rFonts w:hint="eastAsia" w:ascii="Calibri" w:hAnsi="Calibri" w:cs="Calibri"/>
                <w:i w:val="0"/>
                <w:iCs w:val="0"/>
                <w:color w:val="000000"/>
                <w:kern w:val="0"/>
                <w:sz w:val="16"/>
                <w:szCs w:val="16"/>
                <w:u w:val="none"/>
                <w:lang w:val="en-US" w:eastAsia="zh-CN" w:bidi="ar"/>
              </w:rPr>
              <w:t>0</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3.6</w:t>
            </w:r>
            <w:r>
              <w:rPr>
                <w:rFonts w:hint="eastAsia" w:ascii="Calibri" w:hAnsi="Calibri" w:cs="Calibri"/>
                <w:i w:val="0"/>
                <w:iCs w:val="0"/>
                <w:color w:val="000000"/>
                <w:kern w:val="0"/>
                <w:sz w:val="16"/>
                <w:szCs w:val="16"/>
                <w:u w:val="none"/>
                <w:lang w:val="en-US" w:eastAsia="zh-CN" w:bidi="ar"/>
              </w:rPr>
              <w:t>0</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11</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99</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其他行政事业单位医疗支出</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0.1</w:t>
            </w:r>
            <w:r>
              <w:rPr>
                <w:rFonts w:hint="eastAsia" w:ascii="Calibri" w:hAnsi="Calibri" w:cs="Calibri"/>
                <w:i w:val="0"/>
                <w:iCs w:val="0"/>
                <w:color w:val="000000"/>
                <w:kern w:val="0"/>
                <w:sz w:val="16"/>
                <w:szCs w:val="16"/>
                <w:u w:val="none"/>
                <w:lang w:val="en-US" w:eastAsia="zh-CN" w:bidi="ar"/>
              </w:rPr>
              <w:t>0</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0.1</w:t>
            </w:r>
            <w:r>
              <w:rPr>
                <w:rFonts w:hint="eastAsia" w:ascii="Calibri" w:hAnsi="Calibri" w:cs="Calibri"/>
                <w:i w:val="0"/>
                <w:iCs w:val="0"/>
                <w:color w:val="000000"/>
                <w:kern w:val="0"/>
                <w:sz w:val="16"/>
                <w:szCs w:val="16"/>
                <w:u w:val="none"/>
                <w:lang w:val="en-US" w:eastAsia="zh-CN" w:bidi="ar"/>
              </w:rPr>
              <w:t>0</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17</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中医药事务</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200</w:t>
            </w:r>
            <w:r>
              <w:rPr>
                <w:rFonts w:hint="eastAsia" w:ascii="Calibri" w:hAnsi="Calibri" w:cs="Calibri"/>
                <w:i w:val="0"/>
                <w:iCs w:val="0"/>
                <w:color w:val="000000"/>
                <w:kern w:val="0"/>
                <w:sz w:val="16"/>
                <w:szCs w:val="16"/>
                <w:u w:val="none"/>
                <w:lang w:val="en-US" w:eastAsia="zh-CN" w:bidi="ar"/>
              </w:rPr>
              <w:t>.00</w:t>
            </w:r>
          </w:p>
        </w:tc>
        <w:tc>
          <w:tcPr>
            <w:tcW w:w="0" w:type="auto"/>
            <w:gridSpan w:val="2"/>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200</w:t>
            </w:r>
            <w:r>
              <w:rPr>
                <w:rFonts w:hint="eastAsia" w:ascii="Calibri" w:hAnsi="Calibri" w:cs="Calibri"/>
                <w:i w:val="0"/>
                <w:iCs w:val="0"/>
                <w:color w:val="000000"/>
                <w:kern w:val="0"/>
                <w:sz w:val="16"/>
                <w:szCs w:val="16"/>
                <w:u w:val="none"/>
                <w:lang w:val="en-US" w:eastAsia="zh-CN" w:bidi="ar"/>
              </w:rPr>
              <w:t>.00</w:t>
            </w: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210</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17</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中医（民族医）药专项</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200</w:t>
            </w:r>
            <w:r>
              <w:rPr>
                <w:rFonts w:hint="eastAsia" w:ascii="Calibri" w:hAnsi="Calibri" w:cs="Calibri"/>
                <w:i w:val="0"/>
                <w:iCs w:val="0"/>
                <w:color w:val="000000"/>
                <w:kern w:val="0"/>
                <w:sz w:val="16"/>
                <w:szCs w:val="16"/>
                <w:u w:val="none"/>
                <w:lang w:val="en-US" w:eastAsia="zh-CN" w:bidi="ar"/>
              </w:rPr>
              <w:t>.00</w:t>
            </w:r>
          </w:p>
        </w:tc>
        <w:tc>
          <w:tcPr>
            <w:tcW w:w="0" w:type="auto"/>
            <w:gridSpan w:val="2"/>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200</w:t>
            </w:r>
            <w:r>
              <w:rPr>
                <w:rFonts w:hint="eastAsia" w:ascii="Calibri" w:hAnsi="Calibri" w:cs="Calibri"/>
                <w:i w:val="0"/>
                <w:iCs w:val="0"/>
                <w:color w:val="000000"/>
                <w:kern w:val="0"/>
                <w:sz w:val="16"/>
                <w:szCs w:val="16"/>
                <w:u w:val="none"/>
                <w:lang w:val="en-US" w:eastAsia="zh-CN" w:bidi="ar"/>
              </w:rPr>
              <w:t>.00</w:t>
            </w: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tabs>
                <w:tab w:val="left" w:pos="300"/>
              </w:tabs>
              <w:jc w:val="left"/>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ab/>
            </w:r>
            <w:r>
              <w:rPr>
                <w:rFonts w:hint="eastAsia" w:ascii="Calibri" w:hAnsi="Calibri" w:cs="Calibri"/>
                <w:i w:val="0"/>
                <w:iCs w:val="0"/>
                <w:color w:val="000000"/>
                <w:kern w:val="0"/>
                <w:sz w:val="16"/>
                <w:szCs w:val="16"/>
                <w:u w:val="none"/>
                <w:lang w:val="en-US" w:eastAsia="zh-CN" w:bidi="ar"/>
              </w:rPr>
              <w:t>221</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3"/>
                <w:szCs w:val="13"/>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6"/>
                <w:szCs w:val="16"/>
                <w:u w:val="none"/>
                <w:lang w:val="en-US" w:eastAsia="zh-CN" w:bidi="ar"/>
              </w:rPr>
            </w:pPr>
            <w:r>
              <w:rPr>
                <w:rFonts w:hint="eastAsia" w:ascii="宋体" w:hAnsi="宋体" w:cs="宋体"/>
                <w:i w:val="0"/>
                <w:iCs w:val="0"/>
                <w:color w:val="000000"/>
                <w:kern w:val="0"/>
                <w:sz w:val="16"/>
                <w:szCs w:val="16"/>
                <w:u w:val="none"/>
                <w:lang w:val="en-US" w:eastAsia="zh-CN" w:bidi="ar"/>
              </w:rPr>
              <w:t>住房保障支出</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21.76</w:t>
            </w:r>
          </w:p>
        </w:tc>
        <w:tc>
          <w:tcPr>
            <w:tcW w:w="0" w:type="auto"/>
            <w:gridSpan w:val="2"/>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r>
              <w:rPr>
                <w:rFonts w:hint="eastAsia" w:ascii="Calibri" w:hAnsi="Calibri" w:cs="Calibri"/>
                <w:i w:val="0"/>
                <w:iCs w:val="0"/>
                <w:color w:val="000000"/>
                <w:kern w:val="2"/>
                <w:sz w:val="16"/>
                <w:szCs w:val="16"/>
                <w:u w:val="none"/>
                <w:lang w:val="en-US" w:eastAsia="zh-CN" w:bidi="ar-SA"/>
              </w:rPr>
              <w:t>21.76</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0"/>
                <w:sz w:val="16"/>
                <w:szCs w:val="16"/>
                <w:u w:val="none"/>
                <w:lang w:val="en-US" w:eastAsia="zh-CN" w:bidi="ar"/>
              </w:rPr>
            </w:pP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221</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i w:val="0"/>
                <w:iCs w:val="0"/>
                <w:color w:val="000000"/>
                <w:kern w:val="2"/>
                <w:sz w:val="13"/>
                <w:szCs w:val="13"/>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住房改革支出</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21.76</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21.76</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221</w:t>
            </w:r>
          </w:p>
        </w:tc>
        <w:tc>
          <w:tcPr>
            <w:tcW w:w="478"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3"/>
                <w:szCs w:val="13"/>
                <w:u w:val="none"/>
                <w:lang w:val="en-US" w:eastAsia="zh-CN" w:bidi="ar-SA"/>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住房公积金</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21.76</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21.76</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6"/>
                <w:szCs w:val="16"/>
                <w:u w:val="none"/>
                <w:lang w:val="en-US" w:eastAsia="zh-CN" w:bidi="ar-SA"/>
              </w:rPr>
            </w:pPr>
          </w:p>
        </w:tc>
      </w:tr>
      <w:tr>
        <w:tblPrEx>
          <w:tblCellMar>
            <w:top w:w="0" w:type="dxa"/>
            <w:left w:w="108" w:type="dxa"/>
            <w:bottom w:w="0" w:type="dxa"/>
            <w:right w:w="108" w:type="dxa"/>
          </w:tblCellMar>
        </w:tblPrEx>
        <w:trPr>
          <w:trHeight w:val="312" w:hRule="exact"/>
        </w:trPr>
        <w:tc>
          <w:tcPr>
            <w:tcW w:w="997" w:type="dxa"/>
            <w:tcBorders>
              <w:top w:val="single" w:color="auto" w:sz="4" w:space="0"/>
              <w:left w:val="single" w:color="auto" w:sz="4" w:space="0"/>
              <w:bottom w:val="single" w:color="auto" w:sz="4" w:space="0"/>
              <w:right w:val="single" w:color="auto" w:sz="4" w:space="0"/>
            </w:tcBorders>
            <w:vAlign w:val="top"/>
          </w:tcPr>
          <w:p>
            <w:pPr>
              <w:jc w:val="center"/>
              <w:rPr>
                <w:rFonts w:hint="default" w:ascii="宋体" w:hAnsi="宋体" w:eastAsia="宋体" w:cs="宋体"/>
                <w:b/>
                <w:bCs/>
                <w:i w:val="0"/>
                <w:iCs w:val="0"/>
                <w:color w:val="000000"/>
                <w:kern w:val="2"/>
                <w:sz w:val="22"/>
                <w:szCs w:val="22"/>
                <w:u w:val="none"/>
                <w:lang w:val="en-US" w:eastAsia="zh-CN" w:bidi="ar-SA"/>
              </w:rPr>
            </w:pPr>
          </w:p>
        </w:tc>
        <w:tc>
          <w:tcPr>
            <w:tcW w:w="478" w:type="dxa"/>
            <w:tcBorders>
              <w:top w:val="single" w:color="auto" w:sz="4" w:space="0"/>
              <w:left w:val="single" w:color="auto" w:sz="4" w:space="0"/>
              <w:bottom w:val="single" w:color="auto" w:sz="4" w:space="0"/>
              <w:right w:val="single" w:color="auto" w:sz="4" w:space="0"/>
            </w:tcBorders>
            <w:vAlign w:val="top"/>
          </w:tcPr>
          <w:p>
            <w:pPr>
              <w:jc w:val="center"/>
              <w:rPr>
                <w:rFonts w:hint="default" w:ascii="宋体" w:hAnsi="宋体" w:eastAsia="宋体" w:cs="宋体"/>
                <w:b/>
                <w:bCs/>
                <w:i w:val="0"/>
                <w:iCs w:val="0"/>
                <w:color w:val="000000"/>
                <w:kern w:val="2"/>
                <w:sz w:val="22"/>
                <w:szCs w:val="22"/>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宋体" w:hAnsi="宋体" w:eastAsia="宋体" w:cs="宋体"/>
                <w:b/>
                <w:bCs/>
                <w:i w:val="0"/>
                <w:iCs w:val="0"/>
                <w:color w:val="000000"/>
                <w:kern w:val="2"/>
                <w:sz w:val="22"/>
                <w:szCs w:val="22"/>
                <w:u w:val="none"/>
                <w:lang w:val="en-US" w:eastAsia="zh-CN" w:bidi="ar-SA"/>
              </w:rPr>
            </w:pP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 xml:space="preserve">合 </w:t>
            </w:r>
            <w:r>
              <w:rPr>
                <w:rStyle w:val="12"/>
                <w:rFonts w:hint="eastAsia" w:ascii="仿宋_GB2312" w:hAnsi="仿宋_GB2312" w:eastAsia="仿宋_GB2312" w:cs="仿宋_GB2312"/>
                <w:b/>
                <w:bCs/>
                <w:sz w:val="18"/>
                <w:szCs w:val="18"/>
                <w:lang w:val="en-US" w:eastAsia="zh-CN" w:bidi="ar"/>
              </w:rPr>
              <w:t xml:space="preserve"> 计</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3586.30</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640.65</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2945.65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60" w:type="dxa"/>
        <w:tblInd w:w="-148" w:type="dxa"/>
        <w:tblLayout w:type="autofit"/>
        <w:tblCellMar>
          <w:top w:w="0" w:type="dxa"/>
          <w:left w:w="108" w:type="dxa"/>
          <w:bottom w:w="0" w:type="dxa"/>
          <w:right w:w="108" w:type="dxa"/>
        </w:tblCellMar>
      </w:tblPr>
      <w:tblGrid>
        <w:gridCol w:w="759"/>
        <w:gridCol w:w="579"/>
        <w:gridCol w:w="2901"/>
        <w:gridCol w:w="998"/>
        <w:gridCol w:w="708"/>
        <w:gridCol w:w="979"/>
        <w:gridCol w:w="727"/>
        <w:gridCol w:w="1709"/>
      </w:tblGrid>
      <w:tr>
        <w:tblPrEx>
          <w:tblCellMar>
            <w:top w:w="0" w:type="dxa"/>
            <w:left w:w="108" w:type="dxa"/>
            <w:bottom w:w="0" w:type="dxa"/>
            <w:right w:w="108" w:type="dxa"/>
          </w:tblCellMar>
        </w:tblPrEx>
        <w:trPr>
          <w:trHeight w:val="426" w:hRule="atLeast"/>
        </w:trPr>
        <w:tc>
          <w:tcPr>
            <w:tcW w:w="9360"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16" w:hRule="atLeast"/>
        </w:trPr>
        <w:tc>
          <w:tcPr>
            <w:tcW w:w="4239"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编制单位：呼图壁县卫生健康委员会</w:t>
            </w:r>
          </w:p>
        </w:tc>
        <w:tc>
          <w:tcPr>
            <w:tcW w:w="99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3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94" w:hRule="atLeast"/>
        </w:trPr>
        <w:tc>
          <w:tcPr>
            <w:tcW w:w="423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21"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542" w:hRule="atLeast"/>
        </w:trPr>
        <w:tc>
          <w:tcPr>
            <w:tcW w:w="1338"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9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87" w:hRule="atLeast"/>
        </w:trPr>
        <w:tc>
          <w:tcPr>
            <w:tcW w:w="75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9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11"/>
                <w:szCs w:val="11"/>
                <w:highlight w:val="none"/>
                <w:lang w:val="en-US" w:eastAsia="zh-CN"/>
              </w:rPr>
            </w:pP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工资福利支出</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464.74</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464.74</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11"/>
                <w:szCs w:val="11"/>
                <w:highlight w:val="none"/>
                <w:lang w:val="en-US" w:eastAsia="zh-CN"/>
              </w:rPr>
            </w:pPr>
            <w:r>
              <w:rPr>
                <w:rFonts w:hint="eastAsia" w:ascii="仿宋_GB2312" w:hAnsi="宋体" w:eastAsia="仿宋_GB2312" w:cs="宋体"/>
                <w:color w:val="auto"/>
                <w:kern w:val="0"/>
                <w:sz w:val="11"/>
                <w:szCs w:val="11"/>
                <w:highlight w:val="none"/>
                <w:lang w:val="en-US" w:eastAsia="zh-CN"/>
              </w:rPr>
              <w:t>01</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基本工资</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65.30</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65.30</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02</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津贴补贴</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58.69</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58.69</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03</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奖金</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52.23</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52.23</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07</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绩效工资</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5.08</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5.08</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08</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机关事业单位基本养老保险缴费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26.21</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26.21</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10</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职工基本医疗保险缴费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13.11</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13.11</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11</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公务员医疗补助缴费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3.60</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3.60</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12</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其他社会保障缴费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0.85</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0.85</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13</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住房公积金</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21.76</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21.76</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301</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99</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其他工资福利支出</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217.90</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217.90</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1"/>
                <w:szCs w:val="11"/>
                <w:highlight w:val="none"/>
              </w:rPr>
            </w:pP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商品和服务支出</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7.95</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7.95</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01</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办公费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0.81</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0.81</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1"/>
                <w:szCs w:val="11"/>
                <w:highlight w:val="none"/>
              </w:rPr>
            </w:pPr>
            <w:r>
              <w:rPr>
                <w:rFonts w:hint="eastAsia" w:ascii="宋体" w:hAnsi="宋体" w:cs="宋体"/>
                <w:color w:val="auto"/>
                <w:kern w:val="0"/>
                <w:sz w:val="11"/>
                <w:szCs w:val="11"/>
                <w:highlight w:val="none"/>
                <w:lang w:val="en-US" w:eastAsia="zh-CN"/>
              </w:rPr>
              <w:t>02</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印刷费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0.16</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0.16</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05</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水费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0.36</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0.36</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06</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电费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0.60</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0.60</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07</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邮电费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1.00</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1.00</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11</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差旅费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0.25</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0.25</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28</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工会经费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3.17</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3.17</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302</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31</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公务用车运行维护费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1.60</w:t>
            </w:r>
          </w:p>
        </w:tc>
        <w:tc>
          <w:tcPr>
            <w:tcW w:w="1706" w:type="dxa"/>
            <w:gridSpan w:val="2"/>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c>
          <w:tcPr>
            <w:tcW w:w="1709"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1.60</w:t>
            </w: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303</w:t>
            </w:r>
          </w:p>
        </w:tc>
        <w:tc>
          <w:tcPr>
            <w:tcW w:w="57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1"/>
                <w:szCs w:val="11"/>
                <w:highlight w:val="none"/>
              </w:rPr>
            </w:pP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对个人和家庭的补助</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167.96</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167.96</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303</w:t>
            </w:r>
          </w:p>
        </w:tc>
        <w:tc>
          <w:tcPr>
            <w:tcW w:w="57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02</w:t>
            </w:r>
          </w:p>
        </w:tc>
        <w:tc>
          <w:tcPr>
            <w:tcW w:w="290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退休费</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13.26</w:t>
            </w:r>
          </w:p>
        </w:tc>
        <w:tc>
          <w:tcPr>
            <w:tcW w:w="1706"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13.26</w:t>
            </w:r>
          </w:p>
        </w:tc>
        <w:tc>
          <w:tcPr>
            <w:tcW w:w="1709" w:type="dxa"/>
            <w:tcBorders>
              <w:top w:val="nil"/>
              <w:left w:val="nil"/>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75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303</w:t>
            </w:r>
          </w:p>
        </w:tc>
        <w:tc>
          <w:tcPr>
            <w:tcW w:w="57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09</w:t>
            </w:r>
          </w:p>
        </w:tc>
        <w:tc>
          <w:tcPr>
            <w:tcW w:w="290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奖励金</w:t>
            </w:r>
          </w:p>
        </w:tc>
        <w:tc>
          <w:tcPr>
            <w:tcW w:w="1706"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1.09</w:t>
            </w:r>
          </w:p>
        </w:tc>
        <w:tc>
          <w:tcPr>
            <w:tcW w:w="1706"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1.09</w:t>
            </w:r>
          </w:p>
        </w:tc>
        <w:tc>
          <w:tcPr>
            <w:tcW w:w="1709"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307" w:hRule="atLeast"/>
        </w:trPr>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303</w:t>
            </w: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hint="default" w:ascii="宋体" w:hAnsi="宋体" w:eastAsia="宋体" w:cs="宋体"/>
                <w:color w:val="auto"/>
                <w:kern w:val="0"/>
                <w:sz w:val="11"/>
                <w:szCs w:val="11"/>
                <w:highlight w:val="none"/>
                <w:lang w:val="en-US" w:eastAsia="zh-CN"/>
              </w:rPr>
            </w:pPr>
            <w:r>
              <w:rPr>
                <w:rFonts w:hint="eastAsia" w:ascii="宋体" w:hAnsi="宋体" w:cs="宋体"/>
                <w:color w:val="auto"/>
                <w:kern w:val="0"/>
                <w:sz w:val="11"/>
                <w:szCs w:val="11"/>
                <w:highlight w:val="none"/>
                <w:lang w:val="en-US" w:eastAsia="zh-CN"/>
              </w:rPr>
              <w:t>99</w:t>
            </w:r>
          </w:p>
        </w:tc>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其他对个人和家庭的补助</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153.61</w:t>
            </w:r>
          </w:p>
        </w:tc>
        <w:tc>
          <w:tcPr>
            <w:tcW w:w="0" w:type="auto"/>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153.61</w:t>
            </w:r>
          </w:p>
        </w:tc>
        <w:tc>
          <w:tcPr>
            <w:tcW w:w="0" w:type="auto"/>
            <w:tcBorders>
              <w:top w:val="single" w:color="auto" w:sz="4" w:space="0"/>
              <w:left w:val="single" w:color="auto" w:sz="4" w:space="0"/>
              <w:bottom w:val="single" w:color="auto" w:sz="4" w:space="0"/>
              <w:right w:val="single" w:color="auto" w:sz="4" w:space="0"/>
            </w:tcBorders>
            <w:vAlign w:val="top"/>
          </w:tcPr>
          <w:p>
            <w:pPr>
              <w:jc w:val="center"/>
              <w:rPr>
                <w:rFonts w:hint="default" w:ascii="Calibri" w:hAnsi="Calibri" w:eastAsia="宋体" w:cs="Calibri"/>
                <w:i w:val="0"/>
                <w:iCs w:val="0"/>
                <w:color w:val="000000"/>
                <w:kern w:val="2"/>
                <w:sz w:val="15"/>
                <w:szCs w:val="15"/>
                <w:u w:val="none"/>
                <w:lang w:val="en-US" w:eastAsia="zh-CN" w:bidi="ar-SA"/>
              </w:rPr>
            </w:pPr>
          </w:p>
        </w:tc>
      </w:tr>
      <w:tr>
        <w:tblPrEx>
          <w:tblCellMar>
            <w:top w:w="0" w:type="dxa"/>
            <w:left w:w="108" w:type="dxa"/>
            <w:bottom w:w="0" w:type="dxa"/>
            <w:right w:w="108" w:type="dxa"/>
          </w:tblCellMar>
        </w:tblPrEx>
        <w:trPr>
          <w:trHeight w:val="433" w:hRule="atLeast"/>
        </w:trPr>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color w:val="auto"/>
                <w:kern w:val="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color w:val="auto"/>
                <w:kern w:val="0"/>
                <w:sz w:val="20"/>
                <w:szCs w:val="20"/>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b/>
                <w:bCs/>
                <w:color w:val="auto"/>
                <w:kern w:val="0"/>
                <w:sz w:val="18"/>
                <w:szCs w:val="18"/>
                <w:highlight w:val="none"/>
              </w:rPr>
              <w:t>合  计</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640.65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632.70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7.95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3" w:type="dxa"/>
        <w:tblLayout w:type="autofit"/>
        <w:tblCellMar>
          <w:top w:w="0" w:type="dxa"/>
          <w:left w:w="108" w:type="dxa"/>
          <w:bottom w:w="0" w:type="dxa"/>
          <w:right w:w="108" w:type="dxa"/>
        </w:tblCellMar>
      </w:tblPr>
      <w:tblGrid>
        <w:gridCol w:w="12"/>
        <w:gridCol w:w="405"/>
        <w:gridCol w:w="417"/>
        <w:gridCol w:w="417"/>
        <w:gridCol w:w="740"/>
        <w:gridCol w:w="1537"/>
        <w:gridCol w:w="711"/>
        <w:gridCol w:w="417"/>
        <w:gridCol w:w="711"/>
        <w:gridCol w:w="711"/>
        <w:gridCol w:w="417"/>
        <w:gridCol w:w="332"/>
        <w:gridCol w:w="286"/>
        <w:gridCol w:w="558"/>
        <w:gridCol w:w="618"/>
        <w:gridCol w:w="417"/>
        <w:gridCol w:w="417"/>
        <w:gridCol w:w="178"/>
        <w:gridCol w:w="239"/>
      </w:tblGrid>
      <w:tr>
        <w:tblPrEx>
          <w:tblCellMar>
            <w:top w:w="0" w:type="dxa"/>
            <w:left w:w="108" w:type="dxa"/>
            <w:bottom w:w="0" w:type="dxa"/>
            <w:right w:w="108" w:type="dxa"/>
          </w:tblCellMar>
        </w:tblPrEx>
        <w:trPr>
          <w:gridBefore w:val="1"/>
          <w:gridAfter w:val="1"/>
          <w:wBefore w:w="12" w:type="dxa"/>
          <w:wAfter w:w="239" w:type="dxa"/>
          <w:trHeight w:val="375" w:hRule="atLeast"/>
        </w:trPr>
        <w:tc>
          <w:tcPr>
            <w:tcW w:w="9289"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2" w:type="dxa"/>
          <w:wAfter w:w="239" w:type="dxa"/>
          <w:trHeight w:val="405" w:hRule="atLeast"/>
        </w:trPr>
        <w:tc>
          <w:tcPr>
            <w:tcW w:w="4227"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编制单位：呼图壁县卫生健康委员会</w:t>
            </w:r>
          </w:p>
        </w:tc>
        <w:tc>
          <w:tcPr>
            <w:tcW w:w="112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460"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4"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4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37"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1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5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4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53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7" w:type="dxa"/>
            <w:gridSpan w:val="2"/>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noWrap w:val="0"/>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417" w:type="dxa"/>
            <w:noWrap w:val="0"/>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7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卫生健康支出</w:t>
            </w:r>
          </w:p>
        </w:tc>
        <w:tc>
          <w:tcPr>
            <w:tcW w:w="1537" w:type="dxa"/>
            <w:noWrap w:val="0"/>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2"/>
                <w:sz w:val="15"/>
                <w:szCs w:val="15"/>
                <w:u w:val="none"/>
                <w:lang w:val="en-US" w:eastAsia="zh-CN" w:bidi="ar-SA"/>
              </w:rPr>
              <w:t>3005.54</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41.02</w:t>
            </w: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2904.63</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59.89</w:t>
            </w:r>
          </w:p>
        </w:tc>
        <w:tc>
          <w:tcPr>
            <w:tcW w:w="618" w:type="dxa"/>
            <w:noWrap w:val="0"/>
            <w:vAlign w:val="center"/>
          </w:tcPr>
          <w:p>
            <w:pPr>
              <w:keepNext w:val="0"/>
              <w:keepLines w:val="0"/>
              <w:widowControl/>
              <w:suppressLineNumbers w:val="0"/>
              <w:jc w:val="center"/>
              <w:textAlignment w:val="top"/>
              <w:rPr>
                <w:rFonts w:ascii="仿宋_GB2312" w:hAnsi="宋体" w:eastAsia="仿宋_GB2312"/>
                <w:color w:val="auto"/>
                <w:kern w:val="0"/>
                <w:sz w:val="36"/>
                <w:szCs w:val="36"/>
                <w:highlight w:val="none"/>
              </w:rPr>
            </w:pP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6"/>
                <w:szCs w:val="36"/>
                <w:highlight w:val="none"/>
              </w:rPr>
            </w:pPr>
          </w:p>
        </w:tc>
        <w:tc>
          <w:tcPr>
            <w:tcW w:w="417" w:type="dxa"/>
            <w:noWrap w:val="0"/>
            <w:vAlign w:val="center"/>
          </w:tcPr>
          <w:p>
            <w:pPr>
              <w:keepNext w:val="0"/>
              <w:keepLines w:val="0"/>
              <w:widowControl/>
              <w:suppressLineNumbers w:val="0"/>
              <w:jc w:val="center"/>
              <w:textAlignment w:val="top"/>
              <w:rPr>
                <w:rFonts w:ascii="仿宋_GB2312" w:hAnsi="宋体" w:eastAsia="仿宋_GB2312"/>
                <w:color w:val="auto"/>
                <w:kern w:val="0"/>
                <w:sz w:val="36"/>
                <w:szCs w:val="36"/>
                <w:highlight w:val="none"/>
              </w:rPr>
            </w:pPr>
          </w:p>
        </w:tc>
        <w:tc>
          <w:tcPr>
            <w:tcW w:w="417" w:type="dxa"/>
            <w:gridSpan w:val="2"/>
            <w:noWrap w:val="0"/>
            <w:vAlign w:val="center"/>
          </w:tcPr>
          <w:p>
            <w:pPr>
              <w:keepNext w:val="0"/>
              <w:keepLines w:val="0"/>
              <w:widowControl/>
              <w:suppressLineNumbers w:val="0"/>
              <w:jc w:val="center"/>
              <w:textAlignment w:val="top"/>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17" w:type="dxa"/>
            <w:noWrap w:val="0"/>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7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卫生健康管理事务</w:t>
            </w:r>
          </w:p>
        </w:tc>
        <w:tc>
          <w:tcPr>
            <w:tcW w:w="1537" w:type="dxa"/>
            <w:noWrap w:val="0"/>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77.02</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41.02</w:t>
            </w: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w:t>
            </w:r>
            <w:r>
              <w:rPr>
                <w:rFonts w:hint="eastAsia" w:ascii="Calibri" w:hAnsi="Calibri" w:cs="Calibri"/>
                <w:i w:val="0"/>
                <w:iCs w:val="0"/>
                <w:color w:val="000000"/>
                <w:kern w:val="0"/>
                <w:sz w:val="15"/>
                <w:szCs w:val="15"/>
                <w:u w:val="none"/>
                <w:lang w:val="en-US" w:eastAsia="zh-CN" w:bidi="ar"/>
              </w:rPr>
              <w:t>.00</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gridSpan w:val="2"/>
            <w:noWrap w:val="0"/>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1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7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一般行政管理事务</w:t>
            </w:r>
          </w:p>
        </w:tc>
        <w:tc>
          <w:tcPr>
            <w:tcW w:w="1537" w:type="dxa"/>
            <w:noWrap w:val="0"/>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41.02</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41.02</w:t>
            </w:r>
          </w:p>
        </w:tc>
        <w:tc>
          <w:tcPr>
            <w:tcW w:w="711"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gridSpan w:val="2"/>
            <w:noWrap w:val="0"/>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17"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7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一般行政管理事务</w:t>
            </w:r>
          </w:p>
        </w:tc>
        <w:tc>
          <w:tcPr>
            <w:tcW w:w="153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2024年卫健系统购买污水处理设备前款分期付款项目（非定额）</w:t>
            </w: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41.02</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41.02</w:t>
            </w:r>
          </w:p>
        </w:tc>
        <w:tc>
          <w:tcPr>
            <w:tcW w:w="711"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gridSpan w:val="2"/>
            <w:noWrap w:val="0"/>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17"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99</w:t>
            </w:r>
          </w:p>
        </w:tc>
        <w:tc>
          <w:tcPr>
            <w:tcW w:w="7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其他卫生健康管理事务支出</w:t>
            </w:r>
          </w:p>
        </w:tc>
        <w:tc>
          <w:tcPr>
            <w:tcW w:w="1537" w:type="dxa"/>
            <w:noWrap w:val="0"/>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w:t>
            </w:r>
            <w:r>
              <w:rPr>
                <w:rFonts w:hint="eastAsia" w:ascii="Calibri" w:hAnsi="Calibri" w:cs="Calibri"/>
                <w:i w:val="0"/>
                <w:iCs w:val="0"/>
                <w:color w:val="000000"/>
                <w:kern w:val="0"/>
                <w:sz w:val="15"/>
                <w:szCs w:val="15"/>
                <w:u w:val="none"/>
                <w:lang w:val="en-US" w:eastAsia="zh-CN" w:bidi="ar"/>
              </w:rPr>
              <w:t>.00</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w:t>
            </w:r>
            <w:r>
              <w:rPr>
                <w:rFonts w:hint="eastAsia" w:ascii="Calibri" w:hAnsi="Calibri" w:cs="Calibri"/>
                <w:i w:val="0"/>
                <w:iCs w:val="0"/>
                <w:color w:val="000000"/>
                <w:kern w:val="0"/>
                <w:sz w:val="15"/>
                <w:szCs w:val="15"/>
                <w:u w:val="none"/>
                <w:lang w:val="en-US" w:eastAsia="zh-CN" w:bidi="ar"/>
              </w:rPr>
              <w:t>.00</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gridSpan w:val="2"/>
            <w:noWrap w:val="0"/>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1</w:t>
            </w:r>
          </w:p>
        </w:tc>
        <w:tc>
          <w:tcPr>
            <w:tcW w:w="417" w:type="dxa"/>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99</w:t>
            </w:r>
          </w:p>
        </w:tc>
        <w:tc>
          <w:tcPr>
            <w:tcW w:w="7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其他卫生健康管理事务支出</w:t>
            </w:r>
          </w:p>
        </w:tc>
        <w:tc>
          <w:tcPr>
            <w:tcW w:w="153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2024年自治区医疗服务与保障能力提升（卫生健康人才队伍建设）补助资金</w:t>
            </w: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w:t>
            </w:r>
            <w:r>
              <w:rPr>
                <w:rFonts w:hint="eastAsia" w:ascii="Calibri" w:hAnsi="Calibri" w:cs="Calibri"/>
                <w:i w:val="0"/>
                <w:iCs w:val="0"/>
                <w:color w:val="000000"/>
                <w:kern w:val="0"/>
                <w:sz w:val="15"/>
                <w:szCs w:val="15"/>
                <w:u w:val="none"/>
                <w:lang w:val="en-US" w:eastAsia="zh-CN" w:bidi="ar"/>
              </w:rPr>
              <w:t>.00</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36</w:t>
            </w:r>
            <w:r>
              <w:rPr>
                <w:rFonts w:hint="eastAsia" w:ascii="Calibri" w:hAnsi="Calibri" w:cs="Calibri"/>
                <w:i w:val="0"/>
                <w:iCs w:val="0"/>
                <w:color w:val="000000"/>
                <w:kern w:val="0"/>
                <w:sz w:val="15"/>
                <w:szCs w:val="15"/>
                <w:u w:val="none"/>
                <w:lang w:val="en-US" w:eastAsia="zh-CN" w:bidi="ar"/>
              </w:rPr>
              <w:t>.00</w:t>
            </w:r>
          </w:p>
        </w:tc>
        <w:tc>
          <w:tcPr>
            <w:tcW w:w="417"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noWrap w:val="0"/>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noWrap w:val="0"/>
            <w:vAlign w:val="center"/>
          </w:tcPr>
          <w:p>
            <w:pPr>
              <w:jc w:val="center"/>
              <w:rPr>
                <w:rFonts w:ascii="仿宋_GB2312" w:hAnsi="宋体" w:eastAsia="仿宋_GB2312"/>
                <w:color w:val="auto"/>
                <w:kern w:val="0"/>
                <w:sz w:val="36"/>
                <w:szCs w:val="36"/>
                <w:highlight w:val="none"/>
              </w:rPr>
            </w:pPr>
          </w:p>
        </w:tc>
        <w:tc>
          <w:tcPr>
            <w:tcW w:w="417" w:type="dxa"/>
            <w:gridSpan w:val="2"/>
            <w:noWrap w:val="0"/>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417" w:type="dxa"/>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公立医院</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01</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综合医院</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2</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01</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综合医院</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2024年中央医疗服务与保障能力提升（公立医院综合改革）补助资金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105.75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3</w:t>
            </w:r>
          </w:p>
        </w:tc>
        <w:tc>
          <w:tcPr>
            <w:tcW w:w="417" w:type="dxa"/>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基层医疗卫生机构</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312.48</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312.48</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3</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99</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其他基层医疗卫生机构支出</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312.48</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312.48</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3</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99</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其他基层医疗卫生机构支出</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2024年基本药物制度补助资金预算</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112.48</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112.48</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3</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99</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其他基层医疗卫生机构支出</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2024年中央医疗服务与保障能力提升（医疗卫生机构能力建设）补助资金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200</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200</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公共卫生</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2024.79</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both"/>
              <w:textAlignment w:val="top"/>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1965.90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59.89</w:t>
            </w:r>
          </w:p>
        </w:tc>
        <w:tc>
          <w:tcPr>
            <w:tcW w:w="618" w:type="dxa"/>
            <w:vAlign w:val="center"/>
          </w:tcPr>
          <w:p>
            <w:pPr>
              <w:keepNext w:val="0"/>
              <w:keepLines w:val="0"/>
              <w:widowControl/>
              <w:suppressLineNumbers w:val="0"/>
              <w:jc w:val="center"/>
              <w:textAlignment w:val="top"/>
              <w:rPr>
                <w:rFonts w:ascii="仿宋_GB2312" w:hAnsi="宋体" w:eastAsia="仿宋_GB2312"/>
                <w:color w:val="auto"/>
                <w:kern w:val="0"/>
                <w:sz w:val="36"/>
                <w:szCs w:val="36"/>
                <w:highlight w:val="none"/>
              </w:rPr>
            </w:pPr>
          </w:p>
        </w:tc>
        <w:tc>
          <w:tcPr>
            <w:tcW w:w="417" w:type="dxa"/>
            <w:vAlign w:val="center"/>
          </w:tcPr>
          <w:p>
            <w:pPr>
              <w:keepNext w:val="0"/>
              <w:keepLines w:val="0"/>
              <w:widowControl/>
              <w:suppressLineNumbers w:val="0"/>
              <w:jc w:val="center"/>
              <w:textAlignment w:val="top"/>
              <w:rPr>
                <w:rFonts w:ascii="仿宋_GB2312" w:hAnsi="宋体" w:eastAsia="仿宋_GB2312"/>
                <w:color w:val="auto"/>
                <w:kern w:val="0"/>
                <w:sz w:val="36"/>
                <w:szCs w:val="36"/>
                <w:highlight w:val="none"/>
              </w:rPr>
            </w:pPr>
          </w:p>
        </w:tc>
        <w:tc>
          <w:tcPr>
            <w:tcW w:w="417" w:type="dxa"/>
            <w:vAlign w:val="center"/>
          </w:tcPr>
          <w:p>
            <w:pPr>
              <w:keepNext w:val="0"/>
              <w:keepLines w:val="0"/>
              <w:widowControl/>
              <w:suppressLineNumbers w:val="0"/>
              <w:jc w:val="center"/>
              <w:textAlignment w:val="top"/>
              <w:rPr>
                <w:rFonts w:ascii="仿宋_GB2312" w:hAnsi="宋体" w:eastAsia="仿宋_GB2312"/>
                <w:color w:val="auto"/>
                <w:kern w:val="0"/>
                <w:sz w:val="36"/>
                <w:szCs w:val="36"/>
                <w:highlight w:val="none"/>
              </w:rPr>
            </w:pPr>
          </w:p>
        </w:tc>
        <w:tc>
          <w:tcPr>
            <w:tcW w:w="417" w:type="dxa"/>
            <w:gridSpan w:val="2"/>
            <w:vAlign w:val="center"/>
          </w:tcPr>
          <w:p>
            <w:pPr>
              <w:keepNext w:val="0"/>
              <w:keepLines w:val="0"/>
              <w:widowControl/>
              <w:suppressLineNumbers w:val="0"/>
              <w:jc w:val="center"/>
              <w:textAlignment w:val="top"/>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8</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基本公共卫生服务</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1112.02</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1112.02</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8</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基本公共卫生服务</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2024年基本公共卫生服务县级配套项目（非定额）</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99.27</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99.27</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8</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基本公共卫生服务</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2024年自治区基本公共卫生服务补助资金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132</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132</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8</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基本公共卫生服务</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2024年中央财政基本公共卫生服务补助资金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880.75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880.75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9</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重大公共卫生服务</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151.43</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151.43</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9</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重大公共卫生服务</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2024年中央财政重大传染病防控经费</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151.43</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151.43</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99</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其他公共卫生支出</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702.45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702.45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99</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其他公共卫生支出</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2024年全民体检项目（非定额）</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695.45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695.45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99</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其他公共卫生支出</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2024年自治区公共卫生服务（地方公共卫生）补助资金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7</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7</w:t>
            </w:r>
          </w:p>
        </w:tc>
        <w:tc>
          <w:tcPr>
            <w:tcW w:w="417" w:type="dxa"/>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计划生育事务</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284.5</w:t>
            </w:r>
            <w:r>
              <w:rPr>
                <w:rFonts w:hint="eastAsia" w:ascii="Calibri" w:hAnsi="Calibri" w:cs="Calibri"/>
                <w:i w:val="0"/>
                <w:iCs w:val="0"/>
                <w:color w:val="000000"/>
                <w:kern w:val="0"/>
                <w:sz w:val="15"/>
                <w:szCs w:val="15"/>
                <w:u w:val="none"/>
                <w:lang w:val="en-US" w:eastAsia="zh-CN" w:bidi="ar"/>
              </w:rPr>
              <w:t>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284.50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7</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计划生育服务</w:t>
            </w:r>
          </w:p>
        </w:tc>
        <w:tc>
          <w:tcPr>
            <w:tcW w:w="1537" w:type="dxa"/>
            <w:vAlign w:val="center"/>
          </w:tcPr>
          <w:p>
            <w:pPr>
              <w:jc w:val="center"/>
              <w:rPr>
                <w:rFonts w:hint="eastAsia" w:ascii="宋体" w:hAnsi="宋体" w:eastAsia="宋体" w:cs="宋体"/>
                <w:i w:val="0"/>
                <w:iCs w:val="0"/>
                <w:color w:val="000000"/>
                <w:kern w:val="2"/>
                <w:sz w:val="13"/>
                <w:szCs w:val="13"/>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284.5</w:t>
            </w:r>
            <w:r>
              <w:rPr>
                <w:rFonts w:hint="eastAsia" w:ascii="Calibri" w:hAnsi="Calibri" w:cs="Calibri"/>
                <w:i w:val="0"/>
                <w:iCs w:val="0"/>
                <w:color w:val="000000"/>
                <w:kern w:val="0"/>
                <w:sz w:val="15"/>
                <w:szCs w:val="15"/>
                <w:u w:val="none"/>
                <w:lang w:val="en-US" w:eastAsia="zh-CN" w:bidi="ar"/>
              </w:rPr>
              <w:t>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284.5</w:t>
            </w:r>
            <w:r>
              <w:rPr>
                <w:rFonts w:hint="eastAsia" w:ascii="Calibri" w:hAnsi="Calibri" w:cs="Calibri"/>
                <w:i w:val="0"/>
                <w:iCs w:val="0"/>
                <w:color w:val="000000"/>
                <w:kern w:val="0"/>
                <w:sz w:val="15"/>
                <w:szCs w:val="15"/>
                <w:u w:val="none"/>
                <w:lang w:val="en-US" w:eastAsia="zh-CN" w:bidi="ar"/>
              </w:rPr>
              <w:t>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7</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计划生育服务</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2024年自治区计划生育服务补助资金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28.35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28.35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07</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计划生育服务</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2024年自治区计划生育家庭奖励扶助制度补助资金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35.2</w:t>
            </w:r>
            <w:r>
              <w:rPr>
                <w:rFonts w:hint="eastAsia" w:ascii="Calibri" w:hAnsi="Calibri" w:cs="Calibri"/>
                <w:i w:val="0"/>
                <w:iCs w:val="0"/>
                <w:color w:val="000000"/>
                <w:kern w:val="0"/>
                <w:sz w:val="15"/>
                <w:szCs w:val="15"/>
                <w:u w:val="none"/>
                <w:lang w:val="en-US" w:eastAsia="zh-CN" w:bidi="ar"/>
              </w:rPr>
              <w:t>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35.2</w:t>
            </w:r>
            <w:r>
              <w:rPr>
                <w:rFonts w:hint="eastAsia" w:ascii="Calibri" w:hAnsi="Calibri" w:cs="Calibri"/>
                <w:i w:val="0"/>
                <w:iCs w:val="0"/>
                <w:color w:val="000000"/>
                <w:kern w:val="0"/>
                <w:sz w:val="15"/>
                <w:szCs w:val="15"/>
                <w:u w:val="none"/>
                <w:lang w:val="en-US" w:eastAsia="zh-CN" w:bidi="ar"/>
              </w:rPr>
              <w:t>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7</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计划生育服务</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2024年计划生育奖扶资金县级配套资金项目（非定额）</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68</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68</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7</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计划生育服务</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2024年中央计划生育转移支付资金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152.95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152.95</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210</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w:t>
            </w:r>
          </w:p>
        </w:tc>
        <w:tc>
          <w:tcPr>
            <w:tcW w:w="41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3"/>
                <w:szCs w:val="13"/>
                <w:u w:val="none"/>
                <w:lang w:val="en-US" w:eastAsia="zh-CN" w:bidi="ar"/>
              </w:rPr>
            </w:pPr>
            <w:r>
              <w:rPr>
                <w:rFonts w:hint="eastAsia" w:ascii="宋体" w:hAnsi="宋体" w:cs="宋体"/>
                <w:i w:val="0"/>
                <w:iCs w:val="0"/>
                <w:color w:val="000000"/>
                <w:kern w:val="0"/>
                <w:sz w:val="13"/>
                <w:szCs w:val="13"/>
                <w:u w:val="none"/>
                <w:lang w:val="en-US" w:eastAsia="zh-CN" w:bidi="ar"/>
              </w:rPr>
              <w:t>0</w:t>
            </w:r>
            <w:r>
              <w:rPr>
                <w:rFonts w:hint="eastAsia" w:ascii="宋体" w:hAnsi="宋体" w:eastAsia="宋体" w:cs="宋体"/>
                <w:i w:val="0"/>
                <w:iCs w:val="0"/>
                <w:color w:val="000000"/>
                <w:kern w:val="0"/>
                <w:sz w:val="13"/>
                <w:szCs w:val="13"/>
                <w:u w:val="none"/>
                <w:lang w:val="en-US" w:eastAsia="zh-CN" w:bidi="ar"/>
              </w:rPr>
              <w:t>4</w:t>
            </w:r>
          </w:p>
        </w:tc>
        <w:tc>
          <w:tcPr>
            <w:tcW w:w="740"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中医（民族医）药专项</w:t>
            </w: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2024年中央财政医疗服务与保障能力提升（中医药事业传承与发展部分）补助资金</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200</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200</w:t>
            </w:r>
            <w:r>
              <w:rPr>
                <w:rFonts w:hint="eastAsia" w:ascii="Calibri" w:hAnsi="Calibri" w:cs="Calibri"/>
                <w:i w:val="0"/>
                <w:iCs w:val="0"/>
                <w:color w:val="000000"/>
                <w:kern w:val="0"/>
                <w:sz w:val="15"/>
                <w:szCs w:val="15"/>
                <w:u w:val="none"/>
                <w:lang w:val="en-US" w:eastAsia="zh-CN" w:bidi="ar"/>
              </w:rPr>
              <w:t>.00</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vAlign w:val="center"/>
          </w:tcPr>
          <w:p>
            <w:pPr>
              <w:jc w:val="center"/>
              <w:rPr>
                <w:rFonts w:ascii="仿宋_GB2312" w:hAnsi="宋体" w:eastAsia="仿宋_GB2312"/>
                <w:color w:val="auto"/>
                <w:kern w:val="0"/>
                <w:sz w:val="36"/>
                <w:szCs w:val="36"/>
                <w:highlight w:val="none"/>
              </w:rPr>
            </w:pPr>
          </w:p>
        </w:tc>
        <w:tc>
          <w:tcPr>
            <w:tcW w:w="417" w:type="dxa"/>
            <w:gridSpan w:val="2"/>
            <w:vAlign w:val="center"/>
          </w:tcPr>
          <w:p>
            <w:pPr>
              <w:jc w:val="center"/>
              <w:rPr>
                <w:rFonts w:ascii="仿宋_GB2312" w:hAnsi="宋体" w:eastAsia="仿宋_GB2312"/>
                <w:color w:val="auto"/>
                <w:kern w:val="0"/>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17" w:type="dxa"/>
            <w:gridSpan w:val="2"/>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417" w:type="dxa"/>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417" w:type="dxa"/>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740" w:type="dxa"/>
            <w:vAlign w:val="center"/>
          </w:tcPr>
          <w:p>
            <w:pPr>
              <w:jc w:val="center"/>
              <w:rPr>
                <w:rFonts w:hint="eastAsia" w:ascii="宋体" w:hAnsi="宋体" w:eastAsia="宋体" w:cs="宋体"/>
                <w:i w:val="0"/>
                <w:iCs w:val="0"/>
                <w:color w:val="000000"/>
                <w:kern w:val="0"/>
                <w:sz w:val="13"/>
                <w:szCs w:val="13"/>
                <w:u w:val="none"/>
                <w:lang w:val="en-US" w:eastAsia="zh-CN" w:bidi="ar"/>
              </w:rPr>
            </w:pPr>
          </w:p>
        </w:tc>
        <w:tc>
          <w:tcPr>
            <w:tcW w:w="15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24"/>
                <w:szCs w:val="24"/>
                <w:u w:val="none"/>
                <w:lang w:val="en-US" w:eastAsia="zh-CN" w:bidi="ar"/>
              </w:rPr>
              <w:t>合计</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r>
              <w:rPr>
                <w:rFonts w:hint="eastAsia" w:ascii="Calibri" w:hAnsi="Calibri" w:cs="Calibri"/>
                <w:i w:val="0"/>
                <w:iCs w:val="0"/>
                <w:color w:val="000000"/>
                <w:kern w:val="0"/>
                <w:sz w:val="15"/>
                <w:szCs w:val="15"/>
                <w:u w:val="none"/>
                <w:lang w:val="en-US" w:eastAsia="zh-CN" w:bidi="ar"/>
              </w:rPr>
              <w:t>3005.54</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711" w:type="dxa"/>
            <w:vAlign w:val="center"/>
          </w:tcPr>
          <w:p>
            <w:pPr>
              <w:keepNext w:val="0"/>
              <w:keepLines w:val="0"/>
              <w:widowControl/>
              <w:suppressLineNumbers w:val="0"/>
              <w:jc w:val="center"/>
              <w:textAlignment w:val="bottom"/>
              <w:rPr>
                <w:rFonts w:hint="default" w:ascii="Calibri" w:hAnsi="Calibri" w:eastAsia="宋体" w:cs="Calibri"/>
                <w:i w:val="0"/>
                <w:iCs w:val="0"/>
                <w:color w:val="000000"/>
                <w:kern w:val="2"/>
                <w:sz w:val="15"/>
                <w:szCs w:val="15"/>
                <w:u w:val="none"/>
                <w:lang w:val="en-US" w:eastAsia="zh-CN" w:bidi="ar-SA"/>
              </w:rPr>
            </w:pPr>
            <w:r>
              <w:rPr>
                <w:rFonts w:hint="eastAsia" w:ascii="Calibri" w:hAnsi="Calibri" w:cs="Calibri"/>
                <w:i w:val="0"/>
                <w:iCs w:val="0"/>
                <w:color w:val="000000"/>
                <w:kern w:val="0"/>
                <w:sz w:val="15"/>
                <w:szCs w:val="15"/>
                <w:u w:val="none"/>
                <w:lang w:val="en-US" w:eastAsia="zh-CN" w:bidi="ar"/>
              </w:rPr>
              <w:t>41.02</w:t>
            </w:r>
          </w:p>
        </w:tc>
        <w:tc>
          <w:tcPr>
            <w:tcW w:w="711" w:type="dxa"/>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r>
              <w:rPr>
                <w:rFonts w:hint="eastAsia" w:ascii="Calibri" w:hAnsi="Calibri" w:cs="Calibri"/>
                <w:i w:val="0"/>
                <w:iCs w:val="0"/>
                <w:color w:val="000000"/>
                <w:kern w:val="0"/>
                <w:sz w:val="15"/>
                <w:szCs w:val="15"/>
                <w:u w:val="none"/>
                <w:lang w:val="en-US" w:eastAsia="zh-CN" w:bidi="ar"/>
              </w:rPr>
              <w:t>2904.63</w:t>
            </w:r>
          </w:p>
        </w:tc>
        <w:tc>
          <w:tcPr>
            <w:tcW w:w="417" w:type="dxa"/>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618" w:type="dxa"/>
            <w:gridSpan w:val="2"/>
            <w:vAlign w:val="center"/>
          </w:tcPr>
          <w:p>
            <w:pPr>
              <w:jc w:val="center"/>
              <w:rPr>
                <w:rFonts w:hint="default" w:ascii="Calibri" w:hAnsi="Calibri" w:eastAsia="宋体" w:cs="Calibri"/>
                <w:i w:val="0"/>
                <w:iCs w:val="0"/>
                <w:color w:val="000000"/>
                <w:kern w:val="2"/>
                <w:sz w:val="15"/>
                <w:szCs w:val="15"/>
                <w:u w:val="none"/>
                <w:lang w:val="en-US" w:eastAsia="zh-CN" w:bidi="ar-SA"/>
              </w:rPr>
            </w:pPr>
          </w:p>
        </w:tc>
        <w:tc>
          <w:tcPr>
            <w:tcW w:w="558" w:type="dxa"/>
            <w:vAlign w:val="center"/>
          </w:tcPr>
          <w:p>
            <w:pPr>
              <w:keepNext w:val="0"/>
              <w:keepLines w:val="0"/>
              <w:widowControl/>
              <w:suppressLineNumbers w:val="0"/>
              <w:jc w:val="center"/>
              <w:textAlignment w:val="bottom"/>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59.89</w:t>
            </w:r>
          </w:p>
        </w:tc>
        <w:tc>
          <w:tcPr>
            <w:tcW w:w="618" w:type="dxa"/>
            <w:vAlign w:val="center"/>
          </w:tcPr>
          <w:p>
            <w:pPr>
              <w:keepNext w:val="0"/>
              <w:keepLines w:val="0"/>
              <w:widowControl/>
              <w:suppressLineNumbers w:val="0"/>
              <w:jc w:val="center"/>
              <w:textAlignment w:val="bottom"/>
              <w:rPr>
                <w:rFonts w:ascii="仿宋_GB2312" w:hAnsi="宋体" w:eastAsia="仿宋_GB2312"/>
                <w:color w:val="auto"/>
                <w:kern w:val="0"/>
                <w:sz w:val="36"/>
                <w:szCs w:val="36"/>
                <w:highlight w:val="none"/>
              </w:rPr>
            </w:pPr>
          </w:p>
        </w:tc>
        <w:tc>
          <w:tcPr>
            <w:tcW w:w="417" w:type="dxa"/>
            <w:vAlign w:val="center"/>
          </w:tcPr>
          <w:p>
            <w:pPr>
              <w:keepNext w:val="0"/>
              <w:keepLines w:val="0"/>
              <w:widowControl/>
              <w:suppressLineNumbers w:val="0"/>
              <w:jc w:val="center"/>
              <w:textAlignment w:val="bottom"/>
              <w:rPr>
                <w:rFonts w:ascii="仿宋_GB2312" w:hAnsi="宋体" w:eastAsia="仿宋_GB2312"/>
                <w:color w:val="auto"/>
                <w:kern w:val="0"/>
                <w:sz w:val="36"/>
                <w:szCs w:val="36"/>
                <w:highlight w:val="none"/>
              </w:rPr>
            </w:pPr>
          </w:p>
        </w:tc>
        <w:tc>
          <w:tcPr>
            <w:tcW w:w="417" w:type="dxa"/>
            <w:vAlign w:val="center"/>
          </w:tcPr>
          <w:p>
            <w:pPr>
              <w:keepNext w:val="0"/>
              <w:keepLines w:val="0"/>
              <w:widowControl/>
              <w:suppressLineNumbers w:val="0"/>
              <w:jc w:val="center"/>
              <w:textAlignment w:val="bottom"/>
              <w:rPr>
                <w:rFonts w:ascii="仿宋_GB2312" w:hAnsi="宋体" w:eastAsia="仿宋_GB2312"/>
                <w:color w:val="auto"/>
                <w:kern w:val="0"/>
                <w:sz w:val="36"/>
                <w:szCs w:val="36"/>
                <w:highlight w:val="none"/>
              </w:rPr>
            </w:pPr>
          </w:p>
        </w:tc>
        <w:tc>
          <w:tcPr>
            <w:tcW w:w="417" w:type="dxa"/>
            <w:gridSpan w:val="2"/>
            <w:vAlign w:val="center"/>
          </w:tcPr>
          <w:p>
            <w:pPr>
              <w:keepNext w:val="0"/>
              <w:keepLines w:val="0"/>
              <w:widowControl/>
              <w:suppressLineNumbers w:val="0"/>
              <w:jc w:val="center"/>
              <w:textAlignment w:val="bottom"/>
              <w:rPr>
                <w:rFonts w:ascii="仿宋_GB2312" w:hAnsi="宋体" w:eastAsia="仿宋_GB2312"/>
                <w:color w:val="auto"/>
                <w:kern w:val="0"/>
                <w:sz w:val="36"/>
                <w:szCs w:val="3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pStyle w:val="2"/>
        <w:ind w:left="0" w:leftChars="0" w:firstLine="0" w:firstLineChars="0"/>
        <w:rPr>
          <w:rFonts w:hint="default"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szCs w:val="24"/>
          <w:highlight w:val="none"/>
          <w:lang w:val="en-US" w:eastAsia="zh-CN" w:bidi="ar-SA"/>
        </w:rPr>
        <w:t>编制单位：呼图壁县卫生健康委员会                                单位：万元</w:t>
      </w:r>
    </w:p>
    <w:tbl>
      <w:tblPr>
        <w:tblStyle w:val="7"/>
        <w:tblW w:w="9214" w:type="dxa"/>
        <w:tblInd w:w="-34" w:type="dxa"/>
        <w:tblLayout w:type="autofit"/>
        <w:tblCellMar>
          <w:top w:w="0" w:type="dxa"/>
          <w:left w:w="108" w:type="dxa"/>
          <w:bottom w:w="0" w:type="dxa"/>
          <w:right w:w="108" w:type="dxa"/>
        </w:tblCellMar>
      </w:tblPr>
      <w:tblGrid>
        <w:gridCol w:w="642"/>
        <w:gridCol w:w="684"/>
        <w:gridCol w:w="654"/>
        <w:gridCol w:w="2337"/>
        <w:gridCol w:w="1365"/>
        <w:gridCol w:w="1048"/>
        <w:gridCol w:w="1095"/>
        <w:gridCol w:w="1389"/>
      </w:tblGrid>
      <w:tr>
        <w:tblPrEx>
          <w:tblCellMar>
            <w:top w:w="0" w:type="dxa"/>
            <w:left w:w="108" w:type="dxa"/>
            <w:bottom w:w="0" w:type="dxa"/>
            <w:right w:w="108" w:type="dxa"/>
          </w:tblCellMar>
        </w:tblPrEx>
        <w:trPr>
          <w:trHeight w:val="465" w:hRule="atLeast"/>
        </w:trPr>
        <w:tc>
          <w:tcPr>
            <w:tcW w:w="431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897"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8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3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65"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43"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89"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64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3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65"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4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89"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6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229</w:t>
            </w:r>
          </w:p>
        </w:tc>
        <w:tc>
          <w:tcPr>
            <w:tcW w:w="68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p>
        </w:tc>
        <w:tc>
          <w:tcPr>
            <w:tcW w:w="65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p>
        </w:tc>
        <w:tc>
          <w:tcPr>
            <w:tcW w:w="233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其他支出</w:t>
            </w:r>
          </w:p>
        </w:tc>
        <w:tc>
          <w:tcPr>
            <w:tcW w:w="136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c>
          <w:tcPr>
            <w:tcW w:w="104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40"/>
                <w:szCs w:val="40"/>
                <w:highlight w:val="none"/>
              </w:rPr>
            </w:pPr>
          </w:p>
        </w:tc>
        <w:tc>
          <w:tcPr>
            <w:tcW w:w="10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40"/>
                <w:szCs w:val="40"/>
                <w:highlight w:val="none"/>
              </w:rPr>
            </w:pPr>
          </w:p>
        </w:tc>
        <w:tc>
          <w:tcPr>
            <w:tcW w:w="138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r>
      <w:tr>
        <w:tblPrEx>
          <w:tblCellMar>
            <w:top w:w="0" w:type="dxa"/>
            <w:left w:w="108" w:type="dxa"/>
            <w:bottom w:w="0" w:type="dxa"/>
            <w:right w:w="108" w:type="dxa"/>
          </w:tblCellMar>
        </w:tblPrEx>
        <w:trPr>
          <w:trHeight w:val="510" w:hRule="atLeast"/>
        </w:trPr>
        <w:tc>
          <w:tcPr>
            <w:tcW w:w="64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229</w:t>
            </w:r>
          </w:p>
        </w:tc>
        <w:tc>
          <w:tcPr>
            <w:tcW w:w="68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r>
              <w:rPr>
                <w:rFonts w:hint="eastAsia" w:ascii="Calibri" w:hAnsi="Calibri" w:eastAsia="宋体" w:cs="Calibri"/>
                <w:i w:val="0"/>
                <w:iCs w:val="0"/>
                <w:color w:val="000000"/>
                <w:kern w:val="0"/>
                <w:sz w:val="15"/>
                <w:szCs w:val="15"/>
                <w:u w:val="none"/>
                <w:lang w:val="en-US" w:eastAsia="zh-CN" w:bidi="ar"/>
              </w:rPr>
              <w:t>60</w:t>
            </w:r>
          </w:p>
        </w:tc>
        <w:tc>
          <w:tcPr>
            <w:tcW w:w="65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p>
        </w:tc>
        <w:tc>
          <w:tcPr>
            <w:tcW w:w="23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彩票公益金安排的支出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c>
          <w:tcPr>
            <w:tcW w:w="104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40"/>
                <w:szCs w:val="40"/>
                <w:highlight w:val="none"/>
              </w:rPr>
            </w:pPr>
          </w:p>
        </w:tc>
        <w:tc>
          <w:tcPr>
            <w:tcW w:w="10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40"/>
                <w:szCs w:val="40"/>
                <w:highlight w:val="none"/>
              </w:rPr>
            </w:pPr>
          </w:p>
        </w:tc>
        <w:tc>
          <w:tcPr>
            <w:tcW w:w="138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12.80</w:t>
            </w:r>
          </w:p>
        </w:tc>
      </w:tr>
      <w:tr>
        <w:tblPrEx>
          <w:tblCellMar>
            <w:top w:w="0" w:type="dxa"/>
            <w:left w:w="108" w:type="dxa"/>
            <w:bottom w:w="0" w:type="dxa"/>
            <w:right w:w="108" w:type="dxa"/>
          </w:tblCellMar>
        </w:tblPrEx>
        <w:trPr>
          <w:trHeight w:val="510" w:hRule="atLeast"/>
        </w:trPr>
        <w:tc>
          <w:tcPr>
            <w:tcW w:w="64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229</w:t>
            </w:r>
          </w:p>
        </w:tc>
        <w:tc>
          <w:tcPr>
            <w:tcW w:w="68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r>
              <w:rPr>
                <w:rFonts w:hint="eastAsia" w:ascii="Calibri" w:hAnsi="Calibri" w:cs="Calibri"/>
                <w:i w:val="0"/>
                <w:iCs w:val="0"/>
                <w:color w:val="000000"/>
                <w:kern w:val="0"/>
                <w:sz w:val="15"/>
                <w:szCs w:val="15"/>
                <w:u w:val="none"/>
                <w:lang w:val="en-US" w:eastAsia="zh-CN" w:bidi="ar"/>
              </w:rPr>
              <w:t>60</w:t>
            </w:r>
          </w:p>
        </w:tc>
        <w:tc>
          <w:tcPr>
            <w:tcW w:w="65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r>
              <w:rPr>
                <w:rFonts w:hint="eastAsia" w:ascii="Calibri" w:hAnsi="Calibri" w:cs="Calibri"/>
                <w:i w:val="0"/>
                <w:iCs w:val="0"/>
                <w:color w:val="000000"/>
                <w:kern w:val="0"/>
                <w:sz w:val="15"/>
                <w:szCs w:val="15"/>
                <w:u w:val="none"/>
                <w:lang w:val="en-US" w:eastAsia="zh-CN" w:bidi="ar"/>
              </w:rPr>
              <w:t>02</w:t>
            </w:r>
          </w:p>
        </w:tc>
        <w:tc>
          <w:tcPr>
            <w:tcW w:w="23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用于社会福利的彩票公益金支出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8.80</w:t>
            </w:r>
          </w:p>
        </w:tc>
        <w:tc>
          <w:tcPr>
            <w:tcW w:w="104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40"/>
                <w:szCs w:val="40"/>
                <w:highlight w:val="none"/>
              </w:rPr>
            </w:pPr>
          </w:p>
        </w:tc>
        <w:tc>
          <w:tcPr>
            <w:tcW w:w="10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40"/>
                <w:szCs w:val="40"/>
                <w:highlight w:val="none"/>
              </w:rPr>
            </w:pPr>
          </w:p>
        </w:tc>
        <w:tc>
          <w:tcPr>
            <w:tcW w:w="138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8.80</w:t>
            </w:r>
          </w:p>
        </w:tc>
      </w:tr>
      <w:tr>
        <w:tblPrEx>
          <w:tblCellMar>
            <w:top w:w="0" w:type="dxa"/>
            <w:left w:w="108" w:type="dxa"/>
            <w:bottom w:w="0" w:type="dxa"/>
            <w:right w:w="108" w:type="dxa"/>
          </w:tblCellMar>
        </w:tblPrEx>
        <w:trPr>
          <w:trHeight w:val="510" w:hRule="atLeast"/>
        </w:trPr>
        <w:tc>
          <w:tcPr>
            <w:tcW w:w="64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229</w:t>
            </w:r>
          </w:p>
        </w:tc>
        <w:tc>
          <w:tcPr>
            <w:tcW w:w="68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r>
              <w:rPr>
                <w:rFonts w:hint="eastAsia" w:ascii="Calibri" w:hAnsi="Calibri" w:cs="Calibri"/>
                <w:i w:val="0"/>
                <w:iCs w:val="0"/>
                <w:color w:val="000000"/>
                <w:kern w:val="0"/>
                <w:sz w:val="15"/>
                <w:szCs w:val="15"/>
                <w:u w:val="none"/>
                <w:lang w:val="en-US" w:eastAsia="zh-CN" w:bidi="ar"/>
              </w:rPr>
              <w:t>60</w:t>
            </w:r>
          </w:p>
        </w:tc>
        <w:tc>
          <w:tcPr>
            <w:tcW w:w="65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5"/>
                <w:szCs w:val="15"/>
                <w:u w:val="none"/>
                <w:lang w:val="en-US" w:eastAsia="zh-CN" w:bidi="ar"/>
              </w:rPr>
            </w:pPr>
            <w:r>
              <w:rPr>
                <w:rFonts w:hint="eastAsia" w:ascii="Calibri" w:hAnsi="Calibri" w:cs="Calibri"/>
                <w:i w:val="0"/>
                <w:iCs w:val="0"/>
                <w:color w:val="000000"/>
                <w:kern w:val="0"/>
                <w:sz w:val="15"/>
                <w:szCs w:val="15"/>
                <w:u w:val="none"/>
                <w:lang w:val="en-US" w:eastAsia="zh-CN" w:bidi="ar"/>
              </w:rPr>
              <w:t>13</w:t>
            </w:r>
          </w:p>
        </w:tc>
        <w:tc>
          <w:tcPr>
            <w:tcW w:w="23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用于城乡医疗救助的彩票公益金支出</w:t>
            </w:r>
          </w:p>
        </w:tc>
        <w:tc>
          <w:tcPr>
            <w:tcW w:w="136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4.00</w:t>
            </w:r>
          </w:p>
        </w:tc>
        <w:tc>
          <w:tcPr>
            <w:tcW w:w="104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40"/>
                <w:szCs w:val="40"/>
                <w:highlight w:val="none"/>
              </w:rPr>
            </w:pPr>
          </w:p>
        </w:tc>
        <w:tc>
          <w:tcPr>
            <w:tcW w:w="10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40"/>
                <w:szCs w:val="40"/>
                <w:highlight w:val="none"/>
              </w:rPr>
            </w:pPr>
          </w:p>
        </w:tc>
        <w:tc>
          <w:tcPr>
            <w:tcW w:w="138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5"/>
                <w:szCs w:val="15"/>
                <w:u w:val="none"/>
                <w:lang w:val="en-US" w:eastAsia="zh-CN" w:bidi="ar-SA"/>
              </w:rPr>
            </w:pPr>
            <w:r>
              <w:rPr>
                <w:rFonts w:hint="default" w:ascii="Calibri" w:hAnsi="Calibri" w:eastAsia="宋体" w:cs="Calibri"/>
                <w:i w:val="0"/>
                <w:iCs w:val="0"/>
                <w:color w:val="000000"/>
                <w:kern w:val="0"/>
                <w:sz w:val="15"/>
                <w:szCs w:val="15"/>
                <w:u w:val="none"/>
                <w:lang w:val="en-US" w:eastAsia="zh-CN" w:bidi="ar"/>
              </w:rPr>
              <w:t>4.00</w:t>
            </w:r>
          </w:p>
        </w:tc>
      </w:tr>
      <w:tr>
        <w:tblPrEx>
          <w:tblCellMar>
            <w:top w:w="0" w:type="dxa"/>
            <w:left w:w="108" w:type="dxa"/>
            <w:bottom w:w="0" w:type="dxa"/>
            <w:right w:w="108" w:type="dxa"/>
          </w:tblCellMar>
        </w:tblPrEx>
        <w:trPr>
          <w:trHeight w:val="510" w:hRule="atLeast"/>
        </w:trPr>
        <w:tc>
          <w:tcPr>
            <w:tcW w:w="64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6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65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233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5"/>
                <w:szCs w:val="15"/>
                <w:highlight w:val="none"/>
              </w:rPr>
            </w:pPr>
            <w:r>
              <w:rPr>
                <w:rFonts w:hint="eastAsia" w:ascii="仿宋_GB2312" w:hAnsi="宋体" w:eastAsia="仿宋_GB2312" w:cs="宋体"/>
                <w:b/>
                <w:bCs/>
                <w:color w:val="auto"/>
                <w:kern w:val="0"/>
                <w:sz w:val="15"/>
                <w:szCs w:val="15"/>
                <w:highlight w:val="none"/>
              </w:rPr>
              <w:t>合  计</w:t>
            </w:r>
          </w:p>
        </w:tc>
        <w:tc>
          <w:tcPr>
            <w:tcW w:w="136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5"/>
                <w:szCs w:val="15"/>
                <w:highlight w:val="none"/>
                <w:lang w:val="en-US"/>
              </w:rPr>
            </w:pPr>
            <w:r>
              <w:rPr>
                <w:rFonts w:hint="eastAsia" w:ascii="仿宋_GB2312" w:hAnsi="宋体" w:eastAsia="仿宋_GB2312" w:cs="宋体"/>
                <w:b/>
                <w:bCs/>
                <w:color w:val="auto"/>
                <w:kern w:val="0"/>
                <w:sz w:val="15"/>
                <w:szCs w:val="15"/>
                <w:highlight w:val="none"/>
                <w:lang w:val="en-US" w:eastAsia="zh-CN"/>
              </w:rPr>
              <w:t>12.80</w:t>
            </w:r>
          </w:p>
        </w:tc>
        <w:tc>
          <w:tcPr>
            <w:tcW w:w="104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5"/>
                <w:szCs w:val="15"/>
                <w:highlight w:val="none"/>
              </w:rPr>
            </w:pPr>
          </w:p>
        </w:tc>
        <w:tc>
          <w:tcPr>
            <w:tcW w:w="109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5"/>
                <w:szCs w:val="15"/>
                <w:highlight w:val="none"/>
              </w:rPr>
            </w:pPr>
          </w:p>
        </w:tc>
        <w:tc>
          <w:tcPr>
            <w:tcW w:w="138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5"/>
                <w:szCs w:val="15"/>
                <w:highlight w:val="none"/>
                <w:lang w:val="en-US"/>
              </w:rPr>
            </w:pPr>
            <w:r>
              <w:rPr>
                <w:rFonts w:hint="eastAsia" w:ascii="仿宋_GB2312" w:hAnsi="宋体" w:eastAsia="仿宋_GB2312" w:cs="宋体"/>
                <w:b/>
                <w:bCs/>
                <w:color w:val="auto"/>
                <w:kern w:val="0"/>
                <w:sz w:val="15"/>
                <w:szCs w:val="15"/>
                <w:highlight w:val="none"/>
                <w:lang w:val="en-US" w:eastAsia="zh-CN"/>
              </w:rPr>
              <w:t>12.80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pStyle w:val="2"/>
        <w:ind w:left="0" w:leftChars="0" w:firstLine="0" w:firstLineChars="0"/>
        <w:rPr>
          <w:rFonts w:hint="default"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szCs w:val="24"/>
          <w:highlight w:val="none"/>
          <w:lang w:val="en-US" w:eastAsia="zh-CN" w:bidi="ar-SA"/>
        </w:rPr>
        <w:t>编制单位：呼图壁县卫生健康委员会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pStyle w:val="2"/>
        <w:ind w:left="0" w:leftChars="0" w:firstLine="0" w:firstLineChars="0"/>
        <w:rPr>
          <w:rFonts w:hint="default" w:eastAsia="宋体"/>
          <w:lang w:val="en-US" w:eastAsia="zh-CN"/>
        </w:rPr>
      </w:pPr>
      <w:r>
        <w:rPr>
          <w:rFonts w:hint="eastAsia"/>
          <w:lang w:eastAsia="zh-CN"/>
        </w:rPr>
        <w:t>编制单位：呼图壁县卫生健康委员会</w:t>
      </w:r>
      <w:r>
        <w:rPr>
          <w:rFonts w:hint="eastAsia"/>
          <w:lang w:val="en-US" w:eastAsia="zh-CN"/>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240" w:lineRule="auto"/>
              <w:jc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昌州财办建【2023】14号 2023年第六批自治区预算内投资（350）雀儿沟卫生院搬迁项目</w:t>
            </w:r>
          </w:p>
        </w:tc>
        <w:tc>
          <w:tcPr>
            <w:tcW w:w="850"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30.00</w:t>
            </w:r>
          </w:p>
        </w:tc>
        <w:tc>
          <w:tcPr>
            <w:tcW w:w="1054"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30.00</w:t>
            </w:r>
          </w:p>
        </w:tc>
        <w:tc>
          <w:tcPr>
            <w:tcW w:w="890" w:type="dxa"/>
            <w:noWrap w:val="0"/>
            <w:vAlign w:val="center"/>
          </w:tcPr>
          <w:p>
            <w:pPr>
              <w:widowControl/>
              <w:spacing w:line="240" w:lineRule="auto"/>
              <w:jc w:val="center"/>
              <w:rPr>
                <w:rFonts w:hint="eastAsia" w:ascii="仿宋_GB2312" w:hAnsi="宋体" w:eastAsia="仿宋_GB2312" w:cs="宋体"/>
                <w:b/>
                <w:bCs/>
                <w:color w:val="auto"/>
                <w:kern w:val="0"/>
                <w:sz w:val="11"/>
                <w:szCs w:val="11"/>
                <w:highlight w:val="none"/>
                <w:lang w:val="en-US" w:eastAsia="zh-CN"/>
              </w:rPr>
            </w:pPr>
          </w:p>
        </w:tc>
        <w:tc>
          <w:tcPr>
            <w:tcW w:w="714" w:type="dxa"/>
            <w:noWrap w:val="0"/>
            <w:vAlign w:val="center"/>
          </w:tcPr>
          <w:p>
            <w:pPr>
              <w:widowControl/>
              <w:spacing w:line="240" w:lineRule="auto"/>
              <w:jc w:val="center"/>
              <w:rPr>
                <w:rFonts w:hint="eastAsia" w:ascii="仿宋_GB2312" w:hAnsi="宋体" w:eastAsia="仿宋_GB2312" w:cs="宋体"/>
                <w:b/>
                <w:bCs/>
                <w:color w:val="auto"/>
                <w:kern w:val="0"/>
                <w:sz w:val="11"/>
                <w:szCs w:val="11"/>
                <w:highlight w:val="none"/>
                <w:lang w:val="en-US" w:eastAsia="zh-CN"/>
              </w:rPr>
            </w:pPr>
          </w:p>
        </w:tc>
        <w:tc>
          <w:tcPr>
            <w:tcW w:w="1211"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30.00</w:t>
            </w:r>
          </w:p>
        </w:tc>
        <w:tc>
          <w:tcPr>
            <w:tcW w:w="797"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723"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881"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1211" w:type="dxa"/>
            <w:noWrap w:val="0"/>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240" w:lineRule="auto"/>
              <w:jc w:val="center"/>
              <w:rPr>
                <w:rFonts w:ascii="仿宋" w:hAnsi="仿宋" w:eastAsia="仿宋" w:cs="仿宋_GB2312"/>
                <w:bCs/>
                <w:color w:val="auto"/>
                <w:kern w:val="0"/>
                <w:sz w:val="8"/>
                <w:szCs w:val="8"/>
                <w:highlight w:val="none"/>
              </w:rPr>
            </w:pPr>
            <w:r>
              <w:rPr>
                <w:rFonts w:hint="eastAsia" w:ascii="宋体" w:hAnsi="宋体" w:eastAsia="宋体" w:cs="宋体"/>
                <w:i w:val="0"/>
                <w:iCs w:val="0"/>
                <w:color w:val="000000"/>
                <w:kern w:val="0"/>
                <w:sz w:val="13"/>
                <w:szCs w:val="13"/>
                <w:u w:val="none"/>
                <w:lang w:val="en-US" w:eastAsia="zh-CN" w:bidi="ar"/>
              </w:rPr>
              <w:t>昌州财建【2023】26号--2023年积极应对人口老龄化工程和托育建设中央基建投资预算</w:t>
            </w:r>
          </w:p>
        </w:tc>
        <w:tc>
          <w:tcPr>
            <w:tcW w:w="850"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3.15</w:t>
            </w:r>
          </w:p>
        </w:tc>
        <w:tc>
          <w:tcPr>
            <w:tcW w:w="1054"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3.15</w:t>
            </w:r>
          </w:p>
        </w:tc>
        <w:tc>
          <w:tcPr>
            <w:tcW w:w="890" w:type="dxa"/>
            <w:noWrap w:val="0"/>
            <w:vAlign w:val="center"/>
          </w:tcPr>
          <w:p>
            <w:pPr>
              <w:spacing w:line="240" w:lineRule="auto"/>
              <w:jc w:val="center"/>
              <w:rPr>
                <w:rFonts w:hint="eastAsia" w:ascii="仿宋" w:hAnsi="仿宋" w:eastAsia="仿宋" w:cs="仿宋_GB2312"/>
                <w:bCs/>
                <w:color w:val="auto"/>
                <w:kern w:val="0"/>
                <w:sz w:val="18"/>
                <w:szCs w:val="18"/>
                <w:highlight w:val="none"/>
                <w:lang w:val="en-US" w:eastAsia="zh-CN"/>
              </w:rPr>
            </w:pPr>
          </w:p>
        </w:tc>
        <w:tc>
          <w:tcPr>
            <w:tcW w:w="714" w:type="dxa"/>
            <w:noWrap w:val="0"/>
            <w:vAlign w:val="center"/>
          </w:tcPr>
          <w:p>
            <w:pPr>
              <w:spacing w:line="240" w:lineRule="auto"/>
              <w:jc w:val="center"/>
              <w:rPr>
                <w:rFonts w:hint="eastAsia" w:ascii="仿宋" w:hAnsi="仿宋" w:eastAsia="仿宋" w:cs="仿宋_GB2312"/>
                <w:bCs/>
                <w:color w:val="auto"/>
                <w:kern w:val="0"/>
                <w:sz w:val="18"/>
                <w:szCs w:val="18"/>
                <w:highlight w:val="none"/>
                <w:lang w:val="en-US" w:eastAsia="zh-CN"/>
              </w:rPr>
            </w:pPr>
          </w:p>
        </w:tc>
        <w:tc>
          <w:tcPr>
            <w:tcW w:w="1211"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3.15</w:t>
            </w:r>
          </w:p>
        </w:tc>
        <w:tc>
          <w:tcPr>
            <w:tcW w:w="797" w:type="dxa"/>
            <w:noWrap w:val="0"/>
            <w:vAlign w:val="center"/>
          </w:tcPr>
          <w:p>
            <w:pPr>
              <w:spacing w:line="240" w:lineRule="auto"/>
              <w:jc w:val="center"/>
              <w:rPr>
                <w:rFonts w:hint="eastAsia" w:ascii="仿宋" w:hAnsi="仿宋" w:eastAsia="仿宋" w:cs="仿宋_GB2312"/>
                <w:bCs/>
                <w:color w:val="auto"/>
                <w:kern w:val="0"/>
                <w:sz w:val="18"/>
                <w:szCs w:val="18"/>
                <w:highlight w:val="none"/>
                <w:lang w:val="en-US" w:eastAsia="zh-CN"/>
              </w:rPr>
            </w:pPr>
          </w:p>
        </w:tc>
        <w:tc>
          <w:tcPr>
            <w:tcW w:w="723" w:type="dxa"/>
            <w:noWrap w:val="0"/>
            <w:vAlign w:val="center"/>
          </w:tcPr>
          <w:p>
            <w:pPr>
              <w:spacing w:line="240" w:lineRule="auto"/>
              <w:jc w:val="center"/>
              <w:rPr>
                <w:rFonts w:hint="eastAsia" w:ascii="仿宋" w:hAnsi="仿宋" w:eastAsia="仿宋" w:cs="仿宋_GB2312"/>
                <w:bCs/>
                <w:color w:val="auto"/>
                <w:kern w:val="0"/>
                <w:sz w:val="18"/>
                <w:szCs w:val="18"/>
                <w:highlight w:val="none"/>
                <w:lang w:val="en-US" w:eastAsia="zh-CN"/>
              </w:rPr>
            </w:pPr>
          </w:p>
        </w:tc>
        <w:tc>
          <w:tcPr>
            <w:tcW w:w="881" w:type="dxa"/>
            <w:noWrap w:val="0"/>
            <w:vAlign w:val="center"/>
          </w:tcPr>
          <w:p>
            <w:pPr>
              <w:spacing w:line="240" w:lineRule="auto"/>
              <w:jc w:val="center"/>
              <w:rPr>
                <w:rFonts w:ascii="仿宋" w:hAnsi="仿宋" w:eastAsia="仿宋" w:cs="仿宋_GB2312"/>
                <w:bCs/>
                <w:color w:val="auto"/>
                <w:kern w:val="0"/>
                <w:sz w:val="8"/>
                <w:szCs w:val="8"/>
                <w:highlight w:val="none"/>
              </w:rPr>
            </w:pPr>
          </w:p>
        </w:tc>
        <w:tc>
          <w:tcPr>
            <w:tcW w:w="1211" w:type="dxa"/>
            <w:noWrap w:val="0"/>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昌州财办社[2023]7号 2023年计划生育免费技术服务项目州本级配套资金</w:t>
            </w:r>
          </w:p>
        </w:tc>
        <w:tc>
          <w:tcPr>
            <w:tcW w:w="850" w:type="dxa"/>
            <w:noWrap w:val="0"/>
            <w:vAlign w:val="center"/>
          </w:tcPr>
          <w:p>
            <w:pPr>
              <w:keepNext w:val="0"/>
              <w:keepLines w:val="0"/>
              <w:widowControl/>
              <w:suppressLineNumbers w:val="0"/>
              <w:jc w:val="center"/>
              <w:textAlignment w:val="top"/>
              <w:rPr>
                <w:rFonts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2.89</w:t>
            </w:r>
          </w:p>
        </w:tc>
        <w:tc>
          <w:tcPr>
            <w:tcW w:w="1054" w:type="dxa"/>
            <w:noWrap w:val="0"/>
            <w:vAlign w:val="center"/>
          </w:tcPr>
          <w:p>
            <w:pPr>
              <w:keepNext w:val="0"/>
              <w:keepLines w:val="0"/>
              <w:widowControl/>
              <w:suppressLineNumbers w:val="0"/>
              <w:jc w:val="center"/>
              <w:textAlignment w:val="top"/>
              <w:rPr>
                <w:rFonts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2.89</w:t>
            </w:r>
          </w:p>
        </w:tc>
        <w:tc>
          <w:tcPr>
            <w:tcW w:w="890" w:type="dxa"/>
            <w:noWrap w:val="0"/>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714" w:type="dxa"/>
            <w:noWrap w:val="0"/>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1211" w:type="dxa"/>
            <w:noWrap w:val="0"/>
            <w:vAlign w:val="center"/>
          </w:tcPr>
          <w:p>
            <w:pPr>
              <w:keepNext w:val="0"/>
              <w:keepLines w:val="0"/>
              <w:widowControl/>
              <w:suppressLineNumbers w:val="0"/>
              <w:jc w:val="center"/>
              <w:textAlignment w:val="top"/>
              <w:rPr>
                <w:rFonts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2.89</w:t>
            </w:r>
          </w:p>
        </w:tc>
        <w:tc>
          <w:tcPr>
            <w:tcW w:w="797" w:type="dxa"/>
            <w:noWrap w:val="0"/>
            <w:vAlign w:val="center"/>
          </w:tcPr>
          <w:p>
            <w:pPr>
              <w:spacing w:line="240" w:lineRule="auto"/>
              <w:jc w:val="center"/>
              <w:rPr>
                <w:rFonts w:ascii="仿宋" w:hAnsi="仿宋" w:eastAsia="仿宋" w:cs="仿宋_GB2312"/>
                <w:bCs/>
                <w:color w:val="auto"/>
                <w:kern w:val="0"/>
                <w:sz w:val="8"/>
                <w:szCs w:val="8"/>
                <w:highlight w:val="none"/>
              </w:rPr>
            </w:pPr>
          </w:p>
        </w:tc>
        <w:tc>
          <w:tcPr>
            <w:tcW w:w="723" w:type="dxa"/>
            <w:noWrap w:val="0"/>
            <w:vAlign w:val="center"/>
          </w:tcPr>
          <w:p>
            <w:pPr>
              <w:spacing w:line="240" w:lineRule="auto"/>
              <w:jc w:val="center"/>
              <w:rPr>
                <w:rFonts w:ascii="仿宋" w:hAnsi="仿宋" w:eastAsia="仿宋" w:cs="仿宋_GB2312"/>
                <w:bCs/>
                <w:color w:val="auto"/>
                <w:kern w:val="0"/>
                <w:sz w:val="8"/>
                <w:szCs w:val="8"/>
                <w:highlight w:val="none"/>
              </w:rPr>
            </w:pPr>
          </w:p>
        </w:tc>
        <w:tc>
          <w:tcPr>
            <w:tcW w:w="881" w:type="dxa"/>
            <w:noWrap w:val="0"/>
            <w:vAlign w:val="center"/>
          </w:tcPr>
          <w:p>
            <w:pPr>
              <w:spacing w:line="240" w:lineRule="auto"/>
              <w:jc w:val="center"/>
              <w:rPr>
                <w:rFonts w:ascii="仿宋" w:hAnsi="仿宋" w:eastAsia="仿宋" w:cs="仿宋_GB2312"/>
                <w:bCs/>
                <w:color w:val="auto"/>
                <w:kern w:val="0"/>
                <w:sz w:val="8"/>
                <w:szCs w:val="8"/>
                <w:highlight w:val="none"/>
              </w:rPr>
            </w:pPr>
          </w:p>
        </w:tc>
        <w:tc>
          <w:tcPr>
            <w:tcW w:w="1211" w:type="dxa"/>
            <w:noWrap w:val="0"/>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昌州财办社[2023]1号 2023年自治区计划生育奖励扶助制度补助资金[第二批]</w:t>
            </w:r>
          </w:p>
        </w:tc>
        <w:tc>
          <w:tcPr>
            <w:tcW w:w="850"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2.75</w:t>
            </w:r>
          </w:p>
        </w:tc>
        <w:tc>
          <w:tcPr>
            <w:tcW w:w="1054"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2.75</w:t>
            </w:r>
          </w:p>
        </w:tc>
        <w:tc>
          <w:tcPr>
            <w:tcW w:w="890" w:type="dxa"/>
            <w:noWrap w:val="0"/>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714" w:type="dxa"/>
            <w:noWrap w:val="0"/>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1211" w:type="dxa"/>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2.75</w:t>
            </w:r>
          </w:p>
        </w:tc>
        <w:tc>
          <w:tcPr>
            <w:tcW w:w="797" w:type="dxa"/>
            <w:noWrap w:val="0"/>
            <w:vAlign w:val="center"/>
          </w:tcPr>
          <w:p>
            <w:pPr>
              <w:spacing w:line="240" w:lineRule="auto"/>
              <w:jc w:val="center"/>
              <w:rPr>
                <w:rFonts w:ascii="仿宋" w:hAnsi="仿宋" w:eastAsia="仿宋" w:cs="仿宋_GB2312"/>
                <w:bCs/>
                <w:color w:val="auto"/>
                <w:kern w:val="0"/>
                <w:sz w:val="8"/>
                <w:szCs w:val="8"/>
                <w:highlight w:val="none"/>
              </w:rPr>
            </w:pPr>
          </w:p>
        </w:tc>
        <w:tc>
          <w:tcPr>
            <w:tcW w:w="723" w:type="dxa"/>
            <w:noWrap w:val="0"/>
            <w:vAlign w:val="center"/>
          </w:tcPr>
          <w:p>
            <w:pPr>
              <w:spacing w:line="240" w:lineRule="auto"/>
              <w:jc w:val="center"/>
              <w:rPr>
                <w:rFonts w:ascii="仿宋" w:hAnsi="仿宋" w:eastAsia="仿宋" w:cs="仿宋_GB2312"/>
                <w:bCs/>
                <w:color w:val="auto"/>
                <w:kern w:val="0"/>
                <w:sz w:val="8"/>
                <w:szCs w:val="8"/>
                <w:highlight w:val="none"/>
              </w:rPr>
            </w:pPr>
          </w:p>
        </w:tc>
        <w:tc>
          <w:tcPr>
            <w:tcW w:w="881" w:type="dxa"/>
            <w:noWrap w:val="0"/>
            <w:vAlign w:val="center"/>
          </w:tcPr>
          <w:p>
            <w:pPr>
              <w:spacing w:line="240" w:lineRule="auto"/>
              <w:jc w:val="center"/>
              <w:rPr>
                <w:rFonts w:ascii="仿宋" w:hAnsi="仿宋" w:eastAsia="仿宋" w:cs="仿宋_GB2312"/>
                <w:bCs/>
                <w:color w:val="auto"/>
                <w:kern w:val="0"/>
                <w:sz w:val="8"/>
                <w:szCs w:val="8"/>
                <w:highlight w:val="none"/>
              </w:rPr>
            </w:pPr>
          </w:p>
        </w:tc>
        <w:tc>
          <w:tcPr>
            <w:tcW w:w="1211" w:type="dxa"/>
            <w:noWrap w:val="0"/>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昌州财办社[2023]6号-2023年计划生育奖扶州本级财政补助资金</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0.96</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0.96</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0.96</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昌州财办社（2022）14号--关于提前下达2023年自治区计划生育家庭奖励扶助制度补助资金预算的通知</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1.24</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1.24</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1.24</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昌州财办社【2022】17号--关于提前下达2023年自治区计划生育服务补助资金预算的通知</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0.13</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0.13</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0.13</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昌州财办社[2023]3号 2023年中央计划生育转移支付资金[第二批]</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21.32</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21.32</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21.32</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昌州财社[2023]34号--2023年中央财政第二批重大传染病防控经费</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1.7</w:t>
            </w:r>
            <w:r>
              <w:rPr>
                <w:rFonts w:hint="eastAsia" w:ascii="Calibri" w:hAnsi="Calibri" w:cs="Calibri"/>
                <w:i w:val="0"/>
                <w:iCs w:val="0"/>
                <w:color w:val="000000"/>
                <w:kern w:val="0"/>
                <w:sz w:val="16"/>
                <w:szCs w:val="16"/>
                <w:u w:val="none"/>
                <w:lang w:val="en-US" w:eastAsia="zh-CN" w:bidi="ar"/>
              </w:rPr>
              <w:t>0</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1.7</w:t>
            </w:r>
            <w:r>
              <w:rPr>
                <w:rFonts w:hint="eastAsia" w:ascii="Calibri" w:hAnsi="Calibri" w:cs="Calibri"/>
                <w:i w:val="0"/>
                <w:iCs w:val="0"/>
                <w:color w:val="000000"/>
                <w:kern w:val="0"/>
                <w:sz w:val="16"/>
                <w:szCs w:val="16"/>
                <w:u w:val="none"/>
                <w:lang w:val="en-US" w:eastAsia="zh-CN" w:bidi="ar"/>
              </w:rPr>
              <w:t>0</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1.7</w:t>
            </w:r>
            <w:r>
              <w:rPr>
                <w:rFonts w:hint="eastAsia" w:ascii="Calibri" w:hAnsi="Calibri" w:cs="Calibri"/>
                <w:i w:val="0"/>
                <w:iCs w:val="0"/>
                <w:color w:val="000000"/>
                <w:kern w:val="0"/>
                <w:sz w:val="16"/>
                <w:szCs w:val="16"/>
                <w:u w:val="none"/>
                <w:lang w:val="en-US" w:eastAsia="zh-CN" w:bidi="ar"/>
              </w:rPr>
              <w:t>0</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昌州财社【2023】1号--2023年自治区医务人员临时性工作补助（第一批）</w:t>
            </w:r>
          </w:p>
        </w:tc>
        <w:tc>
          <w:tcPr>
            <w:tcW w:w="0" w:type="auto"/>
            <w:vAlign w:val="center"/>
          </w:tcPr>
          <w:p>
            <w:pPr>
              <w:keepNext w:val="0"/>
              <w:keepLines w:val="0"/>
              <w:widowControl/>
              <w:suppressLineNumbers w:val="0"/>
              <w:jc w:val="center"/>
              <w:textAlignment w:val="top"/>
              <w:rPr>
                <w:rFonts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38.08</w:t>
            </w:r>
          </w:p>
        </w:tc>
        <w:tc>
          <w:tcPr>
            <w:tcW w:w="0" w:type="auto"/>
            <w:vAlign w:val="center"/>
          </w:tcPr>
          <w:p>
            <w:pPr>
              <w:keepNext w:val="0"/>
              <w:keepLines w:val="0"/>
              <w:widowControl/>
              <w:suppressLineNumbers w:val="0"/>
              <w:jc w:val="center"/>
              <w:textAlignment w:val="top"/>
              <w:rPr>
                <w:rFonts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38.08</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38.08</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昌州财预【2023】23号-中央疫情防控财力补助预算（第二批）</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30</w:t>
            </w:r>
            <w:r>
              <w:rPr>
                <w:rFonts w:hint="eastAsia" w:ascii="Calibri" w:hAnsi="Calibri" w:cs="Calibri"/>
                <w:i w:val="0"/>
                <w:iCs w:val="0"/>
                <w:color w:val="000000"/>
                <w:kern w:val="0"/>
                <w:sz w:val="16"/>
                <w:szCs w:val="16"/>
                <w:u w:val="none"/>
                <w:lang w:val="en-US" w:eastAsia="zh-CN" w:bidi="ar"/>
              </w:rPr>
              <w:t>.00</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30</w:t>
            </w:r>
            <w:r>
              <w:rPr>
                <w:rFonts w:hint="eastAsia" w:ascii="Calibri" w:hAnsi="Calibri" w:cs="Calibri"/>
                <w:i w:val="0"/>
                <w:iCs w:val="0"/>
                <w:color w:val="000000"/>
                <w:kern w:val="0"/>
                <w:sz w:val="16"/>
                <w:szCs w:val="16"/>
                <w:u w:val="none"/>
                <w:lang w:val="en-US" w:eastAsia="zh-CN" w:bidi="ar"/>
              </w:rPr>
              <w:t>.00</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30</w:t>
            </w:r>
            <w:r>
              <w:rPr>
                <w:rFonts w:hint="eastAsia" w:ascii="Calibri" w:hAnsi="Calibri" w:cs="Calibri"/>
                <w:i w:val="0"/>
                <w:iCs w:val="0"/>
                <w:color w:val="000000"/>
                <w:kern w:val="0"/>
                <w:sz w:val="16"/>
                <w:szCs w:val="16"/>
                <w:u w:val="none"/>
                <w:lang w:val="en-US" w:eastAsia="zh-CN" w:bidi="ar"/>
              </w:rPr>
              <w:t>.00</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昌州财预【2023】21号-中央疫情防控财力补助资金</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246.24</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246.24</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246.24</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昌州财办社【2022】16号--2022年中央财政疫情防控补助资金</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89.31</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89.31</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89.31</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昌州财办社[2023]15号-2022年中央财政疫情防控补助资金[第二批]</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980.61</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980.61</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980.61</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3"/>
                <w:szCs w:val="13"/>
                <w:u w:val="none"/>
                <w:lang w:val="en-US" w:eastAsia="zh-CN" w:bidi="ar-SA"/>
              </w:rPr>
            </w:pPr>
            <w:r>
              <w:rPr>
                <w:rFonts w:hint="eastAsia" w:ascii="宋体" w:hAnsi="宋体" w:eastAsia="宋体" w:cs="宋体"/>
                <w:i w:val="0"/>
                <w:iCs w:val="0"/>
                <w:color w:val="000000"/>
                <w:kern w:val="0"/>
                <w:sz w:val="13"/>
                <w:szCs w:val="13"/>
                <w:u w:val="none"/>
                <w:lang w:val="en-US" w:eastAsia="zh-CN" w:bidi="ar"/>
              </w:rPr>
              <w:t>昌州财社[2023]32号-2023年自治区医务人员临时性工作补助资金[第二批]</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20.09</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20.09</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16"/>
                <w:szCs w:val="16"/>
                <w:u w:val="none"/>
                <w:lang w:val="en-US" w:eastAsia="zh-CN" w:bidi="ar-SA"/>
              </w:rPr>
            </w:pPr>
            <w:r>
              <w:rPr>
                <w:rFonts w:hint="default" w:ascii="Calibri" w:hAnsi="Calibri" w:eastAsia="宋体" w:cs="Calibri"/>
                <w:i w:val="0"/>
                <w:iCs w:val="0"/>
                <w:color w:val="000000"/>
                <w:kern w:val="0"/>
                <w:sz w:val="16"/>
                <w:szCs w:val="16"/>
                <w:u w:val="none"/>
                <w:lang w:val="en-US" w:eastAsia="zh-CN" w:bidi="ar"/>
              </w:rPr>
              <w:t>20.09</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0" w:type="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cs="宋体"/>
                <w:i w:val="0"/>
                <w:iCs w:val="0"/>
                <w:color w:val="000000"/>
                <w:kern w:val="0"/>
                <w:sz w:val="28"/>
                <w:szCs w:val="28"/>
                <w:u w:val="none"/>
                <w:lang w:val="en-US" w:eastAsia="zh-CN" w:bidi="ar"/>
              </w:rPr>
              <w:t>合计</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1468.47</w:t>
            </w: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1468.47</w:t>
            </w: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widowControl/>
              <w:spacing w:line="240" w:lineRule="auto"/>
              <w:jc w:val="center"/>
              <w:rPr>
                <w:rFonts w:hint="eastAsia" w:ascii="仿宋_GB2312" w:hAnsi="宋体" w:eastAsia="仿宋_GB2312" w:cs="宋体"/>
                <w:b/>
                <w:bCs/>
                <w:color w:val="auto"/>
                <w:kern w:val="0"/>
                <w:sz w:val="2"/>
                <w:szCs w:val="2"/>
                <w:highlight w:val="none"/>
                <w:lang w:val="en-US" w:eastAsia="zh-CN"/>
              </w:rPr>
            </w:pPr>
          </w:p>
        </w:tc>
        <w:tc>
          <w:tcPr>
            <w:tcW w:w="0" w:type="auto"/>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1468.47</w:t>
            </w: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c>
          <w:tcPr>
            <w:tcW w:w="0" w:type="auto"/>
            <w:vAlign w:val="center"/>
          </w:tcPr>
          <w:p>
            <w:pPr>
              <w:spacing w:line="240" w:lineRule="auto"/>
              <w:jc w:val="center"/>
              <w:rPr>
                <w:rFonts w:ascii="仿宋" w:hAnsi="仿宋" w:eastAsia="仿宋" w:cs="仿宋_GB2312"/>
                <w:bCs/>
                <w:color w:val="auto"/>
                <w:kern w:val="0"/>
                <w:sz w:val="8"/>
                <w:szCs w:val="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2024年单位</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呼图壁县卫生健康委员会2024年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呼图壁县卫生健康委员会2024年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呼图壁县卫生健康委员会</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5234.92</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3586.30</w:t>
      </w:r>
      <w:r>
        <w:rPr>
          <w:rFonts w:hint="eastAsia" w:ascii="仿宋_GB2312" w:hAnsi="宋体" w:eastAsia="仿宋_GB2312" w:cs="宋体"/>
          <w:color w:val="auto"/>
          <w:kern w:val="0"/>
          <w:sz w:val="32"/>
          <w:szCs w:val="32"/>
          <w:highlight w:val="none"/>
        </w:rPr>
        <w:t>万元、政府性基金预算</w:t>
      </w:r>
      <w:r>
        <w:rPr>
          <w:rFonts w:hint="eastAsia" w:ascii="仿宋_GB2312" w:hAnsi="宋体" w:eastAsia="仿宋_GB2312" w:cs="宋体"/>
          <w:color w:val="auto"/>
          <w:kern w:val="0"/>
          <w:sz w:val="32"/>
          <w:szCs w:val="32"/>
          <w:highlight w:val="none"/>
          <w:lang w:val="en-US" w:eastAsia="zh-CN"/>
        </w:rPr>
        <w:t>12.80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167.35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1468.47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30.00万元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92.40万元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5036.90万元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62.82万元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其他支出</w:t>
      </w:r>
      <w:r>
        <w:rPr>
          <w:rFonts w:hint="eastAsia" w:ascii="仿宋_GB2312" w:hAnsi="宋体" w:eastAsia="仿宋_GB2312" w:cs="宋体"/>
          <w:color w:val="auto"/>
          <w:kern w:val="0"/>
          <w:sz w:val="32"/>
          <w:szCs w:val="32"/>
          <w:highlight w:val="none"/>
          <w:lang w:val="en-US" w:eastAsia="zh-CN"/>
        </w:rPr>
        <w:t>12.80万元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呼图壁县卫生健康委员会2024年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呼图壁县卫生健康委员会</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5234.92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3586.30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68.51</w:t>
      </w:r>
      <w:r>
        <w:rPr>
          <w:rFonts w:hint="eastAsia" w:ascii="仿宋_GB2312" w:hAnsi="宋体" w:eastAsia="仿宋_GB2312" w:cs="宋体"/>
          <w:color w:val="auto"/>
          <w:kern w:val="0"/>
          <w:sz w:val="32"/>
          <w:szCs w:val="32"/>
          <w:highlight w:val="none"/>
        </w:rPr>
        <w:t>%，比上年预算减</w:t>
      </w:r>
      <w:r>
        <w:rPr>
          <w:rFonts w:hint="eastAsia" w:ascii="仿宋_GB2312" w:hAnsi="宋体" w:eastAsia="仿宋_GB2312" w:cs="宋体"/>
          <w:color w:val="auto"/>
          <w:kern w:val="0"/>
          <w:sz w:val="32"/>
          <w:szCs w:val="32"/>
          <w:highlight w:val="none"/>
          <w:lang w:eastAsia="zh-CN"/>
        </w:rPr>
        <w:t>少</w:t>
      </w:r>
      <w:r>
        <w:rPr>
          <w:rFonts w:hint="eastAsia" w:ascii="仿宋_GB2312" w:hAnsi="宋体" w:eastAsia="仿宋_GB2312" w:cs="宋体"/>
          <w:color w:val="auto"/>
          <w:kern w:val="0"/>
          <w:sz w:val="32"/>
          <w:szCs w:val="32"/>
          <w:highlight w:val="none"/>
          <w:lang w:val="en-US" w:eastAsia="zh-CN"/>
        </w:rPr>
        <w:t>262.81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6.83%，</w:t>
      </w:r>
      <w:r>
        <w:rPr>
          <w:rFonts w:hint="eastAsia" w:ascii="仿宋_GB2312" w:hAnsi="宋体" w:eastAsia="仿宋_GB2312" w:cs="宋体"/>
          <w:color w:val="auto"/>
          <w:kern w:val="0"/>
          <w:sz w:val="32"/>
          <w:szCs w:val="32"/>
          <w:highlight w:val="none"/>
          <w:lang w:eastAsia="zh-CN"/>
        </w:rPr>
        <w:t xml:space="preserve">主要原因是同工同酬人员支出预算未列入一般公共预算支出。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2041.91</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39.01</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410.27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25.14 %，</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安排的</w:t>
      </w:r>
      <w:r>
        <w:rPr>
          <w:rFonts w:hint="eastAsia" w:ascii="仿宋_GB2312" w:hAnsi="宋体" w:eastAsia="仿宋_GB2312" w:cs="宋体"/>
          <w:color w:val="auto"/>
          <w:kern w:val="0"/>
          <w:sz w:val="32"/>
          <w:szCs w:val="32"/>
          <w:highlight w:val="none"/>
          <w:lang w:val="en-US" w:eastAsia="zh-Hans"/>
        </w:rPr>
        <w:t>上级一般公共预算安排的转移支付资金</w:t>
      </w:r>
      <w:r>
        <w:rPr>
          <w:rFonts w:hint="eastAsia" w:ascii="仿宋_GB2312" w:hAnsi="宋体" w:eastAsia="仿宋_GB2312" w:cs="宋体"/>
          <w:color w:val="auto"/>
          <w:kern w:val="0"/>
          <w:sz w:val="32"/>
          <w:szCs w:val="32"/>
          <w:highlight w:val="none"/>
          <w:lang w:val="en-US" w:eastAsia="zh-CN"/>
        </w:rPr>
        <w:t>增多；</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12.80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上年度无</w:t>
      </w:r>
      <w:r>
        <w:rPr>
          <w:rFonts w:hint="eastAsia" w:ascii="仿宋_GB2312" w:hAnsi="宋体" w:eastAsia="仿宋_GB2312" w:cs="宋体"/>
          <w:color w:val="auto"/>
          <w:kern w:val="0"/>
          <w:sz w:val="32"/>
          <w:szCs w:val="32"/>
          <w:highlight w:val="none"/>
          <w:lang w:val="en-US" w:eastAsia="zh-Hans"/>
        </w:rPr>
        <w:t>政府性基金预算；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lang w:val="en-US" w:eastAsia="zh-CN"/>
        </w:rPr>
        <w:t>12.80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占 </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12.80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100%，主要原因是上年度无</w:t>
      </w: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167.35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1549.23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90.25%，</w:t>
      </w:r>
      <w:r>
        <w:rPr>
          <w:rFonts w:hint="eastAsia" w:ascii="仿宋_GB2312" w:hAnsi="宋体" w:eastAsia="仿宋_GB2312" w:cs="宋体"/>
          <w:color w:val="auto"/>
          <w:kern w:val="0"/>
          <w:sz w:val="32"/>
          <w:szCs w:val="32"/>
          <w:highlight w:val="none"/>
          <w:lang w:eastAsia="zh-CN"/>
        </w:rPr>
        <w:t xml:space="preserve">主要原因是本年度单位资金预算未列入疫情防控资金。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1468.47</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28.05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1468.47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上年度无结转结余资金预算。</w:t>
      </w:r>
      <w:r>
        <w:rPr>
          <w:rFonts w:hint="eastAsia" w:ascii="仿宋_GB2312" w:hAnsi="宋体" w:eastAsia="仿宋_GB2312" w:cs="宋体"/>
          <w:color w:val="0000FF"/>
          <w:kern w:val="0"/>
          <w:sz w:val="32"/>
          <w:szCs w:val="32"/>
          <w:highlight w:val="none"/>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呼图壁县卫生健康委员会2024年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呼图壁县卫生健康委员会2024年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5234.92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808.00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15.43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256.23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46.44%，</w:t>
      </w:r>
      <w:r>
        <w:rPr>
          <w:rFonts w:hint="eastAsia" w:ascii="仿宋_GB2312" w:hAnsi="宋体" w:eastAsia="仿宋_GB2312" w:cs="宋体"/>
          <w:color w:val="auto"/>
          <w:kern w:val="0"/>
          <w:sz w:val="32"/>
          <w:szCs w:val="32"/>
          <w:highlight w:val="none"/>
          <w:lang w:eastAsia="zh-CN"/>
        </w:rPr>
        <w:t>主要原因是工资上浮，社保基数增多。</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b/>
          <w:color w:val="FF0000"/>
          <w:spacing w:val="-6"/>
          <w:kern w:val="0"/>
          <w:sz w:val="32"/>
          <w:szCs w:val="32"/>
          <w:highlight w:val="none"/>
          <w:lang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4426.92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84.57</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2218.64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33.39 %，</w:t>
      </w:r>
      <w:r>
        <w:rPr>
          <w:rFonts w:hint="eastAsia" w:ascii="仿宋_GB2312" w:hAnsi="宋体" w:eastAsia="仿宋_GB2312" w:cs="宋体"/>
          <w:color w:val="auto"/>
          <w:kern w:val="0"/>
          <w:sz w:val="32"/>
          <w:szCs w:val="32"/>
          <w:highlight w:val="none"/>
        </w:rPr>
        <w:t>主</w:t>
      </w:r>
      <w:r>
        <w:rPr>
          <w:rFonts w:hint="eastAsia" w:ascii="仿宋_GB2312" w:hAnsi="宋体" w:eastAsia="仿宋_GB2312" w:cs="宋体"/>
          <w:color w:val="auto"/>
          <w:kern w:val="0"/>
          <w:sz w:val="32"/>
          <w:szCs w:val="32"/>
          <w:highlight w:val="none"/>
          <w:lang w:eastAsia="zh-CN"/>
        </w:rPr>
        <w:t>要原因是：本年度项目资金预算剔除单位资金预算。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呼图壁县卫生健康委员会2024年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3599.10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3586.30</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12.8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支出12.8万元，主要用于</w:t>
      </w:r>
      <w:r>
        <w:rPr>
          <w:rFonts w:hint="eastAsia" w:ascii="仿宋_GB2312" w:hAnsi="仿宋_GB2312" w:eastAsia="仿宋_GB2312" w:cs="仿宋_GB2312"/>
          <w:color w:val="auto"/>
          <w:sz w:val="32"/>
          <w:szCs w:val="32"/>
          <w:highlight w:val="none"/>
        </w:rPr>
        <w:t>宫颈癌检查及失能老人健康评估项目。</w:t>
      </w:r>
      <w:r>
        <w:rPr>
          <w:rFonts w:hint="eastAsia" w:ascii="仿宋_GB2312" w:hAnsi="宋体" w:eastAsia="仿宋_GB2312" w:cs="宋体"/>
          <w:color w:val="auto"/>
          <w:kern w:val="0"/>
          <w:sz w:val="32"/>
          <w:szCs w:val="32"/>
          <w:highlight w:val="none"/>
          <w:lang w:val="en-US" w:eastAsia="zh-CN"/>
        </w:rPr>
        <w:t xml:space="preserve">       </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社会</w:t>
      </w:r>
      <w:r>
        <w:rPr>
          <w:rFonts w:hint="eastAsia" w:ascii="仿宋_GB2312" w:hAnsi="宋体" w:eastAsia="仿宋_GB2312" w:cs="宋体"/>
          <w:kern w:val="0"/>
          <w:sz w:val="32"/>
          <w:szCs w:val="32"/>
          <w:lang w:eastAsia="zh-CN"/>
        </w:rPr>
        <w:t>保障</w:t>
      </w:r>
      <w:r>
        <w:rPr>
          <w:rFonts w:hint="eastAsia" w:ascii="仿宋_GB2312" w:hAnsi="宋体" w:eastAsia="仿宋_GB2312" w:cs="宋体"/>
          <w:kern w:val="0"/>
          <w:sz w:val="32"/>
          <w:szCs w:val="32"/>
        </w:rPr>
        <w:t>和就业支出</w:t>
      </w:r>
      <w:r>
        <w:rPr>
          <w:rFonts w:hint="eastAsia" w:ascii="仿宋_GB2312" w:hAnsi="宋体" w:eastAsia="仿宋_GB2312" w:cs="宋体"/>
          <w:kern w:val="0"/>
          <w:sz w:val="32"/>
          <w:szCs w:val="32"/>
          <w:lang w:val="en-US" w:eastAsia="zh-CN"/>
        </w:rPr>
        <w:t>40.56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主要用于工资</w:t>
      </w:r>
      <w:r>
        <w:rPr>
          <w:rFonts w:hint="eastAsia" w:ascii="仿宋_GB2312" w:hAnsi="宋体" w:eastAsia="仿宋_GB2312" w:cs="宋体"/>
          <w:kern w:val="0"/>
          <w:sz w:val="32"/>
          <w:szCs w:val="32"/>
        </w:rPr>
        <w:t>缴纳职工养老保险</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卫生健康支出3523.98万元，主要用于</w:t>
      </w:r>
      <w:r>
        <w:rPr>
          <w:rFonts w:hint="eastAsia" w:ascii="仿宋_GB2312" w:hAnsi="宋体" w:eastAsia="仿宋_GB2312" w:cs="宋体"/>
          <w:kern w:val="0"/>
          <w:sz w:val="32"/>
          <w:szCs w:val="32"/>
        </w:rPr>
        <w:t>人员工资福利支出及其他卫生健康支出</w:t>
      </w:r>
      <w:r>
        <w:rPr>
          <w:rFonts w:hint="eastAsia" w:ascii="仿宋_GB2312" w:hAnsi="宋体" w:eastAsia="仿宋_GB2312" w:cs="宋体"/>
          <w:kern w:val="0"/>
          <w:sz w:val="32"/>
          <w:szCs w:val="32"/>
          <w:lang w:eastAsia="zh-CN"/>
        </w:rPr>
        <w:t>。</w:t>
      </w:r>
    </w:p>
    <w:p>
      <w:pPr>
        <w:spacing w:line="560" w:lineRule="exact"/>
        <w:ind w:firstLine="640" w:firstLineChars="200"/>
        <w:rPr>
          <w:rFonts w:hint="default"/>
          <w:lang w:val="en-US"/>
        </w:rPr>
      </w:pPr>
      <w:r>
        <w:rPr>
          <w:rFonts w:hint="eastAsia" w:ascii="仿宋_GB2312" w:hAnsi="宋体" w:eastAsia="仿宋_GB2312" w:cs="宋体"/>
          <w:kern w:val="0"/>
          <w:sz w:val="32"/>
          <w:szCs w:val="32"/>
          <w:lang w:val="en-US" w:eastAsia="zh-CN"/>
        </w:rPr>
        <w:t>住房保障支出21.76万元，主要用于</w:t>
      </w:r>
      <w:r>
        <w:rPr>
          <w:rFonts w:hint="eastAsia" w:ascii="仿宋_GB2312" w:hAnsi="宋体" w:eastAsia="仿宋_GB2312" w:cs="宋体"/>
          <w:kern w:val="0"/>
          <w:sz w:val="32"/>
          <w:szCs w:val="32"/>
        </w:rPr>
        <w:t>缴纳职工住房公积金。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呼图壁县卫生健康委员会2024年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呼图壁县卫生健康委员会2024年一般公共预算拨款合计3586.30万元，其中：基本支出640.65万元，比上年预算增加88.88万元，增长16.11%。主要原因是：本年度增加计划生育事务款项。</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项目支出</w:t>
      </w:r>
      <w:r>
        <w:rPr>
          <w:rFonts w:hint="default" w:ascii="仿宋_GB2312" w:hAnsi="宋体" w:eastAsia="仿宋_GB2312" w:cs="宋体"/>
          <w:kern w:val="0"/>
          <w:sz w:val="32"/>
          <w:szCs w:val="32"/>
          <w:lang w:val="en-US" w:eastAsia="zh-CN"/>
        </w:rPr>
        <w:t>2945.65</w:t>
      </w:r>
      <w:r>
        <w:rPr>
          <w:rFonts w:hint="eastAsia" w:ascii="仿宋_GB2312" w:hAnsi="宋体" w:eastAsia="仿宋_GB2312" w:cs="宋体"/>
          <w:kern w:val="0"/>
          <w:sz w:val="32"/>
          <w:szCs w:val="32"/>
          <w:lang w:val="en-US" w:eastAsia="zh-CN"/>
        </w:rPr>
        <w:t>万元，比上年预算减少3699.91万元，下降55.67%。主要原因是：本年度减少计划生育事务款项及疫情防控资金。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0000FF"/>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default"/>
          <w:lang w:val="en-US" w:eastAsia="zh-CN"/>
        </w:rPr>
      </w:pPr>
      <w:r>
        <w:rPr>
          <w:rFonts w:hint="eastAsia" w:ascii="仿宋_GB2312" w:hAnsi="宋体" w:eastAsia="仿宋_GB2312" w:cs="宋体"/>
          <w:kern w:val="0"/>
          <w:sz w:val="32"/>
          <w:szCs w:val="32"/>
          <w:lang w:val="en-US" w:eastAsia="zh-CN"/>
        </w:rPr>
        <w:t>1.208社会保障和就业支出（类）40.56万元。</w:t>
      </w:r>
    </w:p>
    <w:p>
      <w:pPr>
        <w:spacing w:line="560" w:lineRule="exact"/>
        <w:ind w:firstLine="640" w:firstLineChars="200"/>
        <w:rPr>
          <w:rFonts w:hint="default"/>
          <w:lang w:val="en-US" w:eastAsia="zh-CN"/>
        </w:rPr>
      </w:pPr>
      <w:r>
        <w:rPr>
          <w:rFonts w:hint="eastAsia" w:ascii="仿宋_GB2312" w:hAnsi="宋体" w:eastAsia="仿宋_GB2312" w:cs="宋体"/>
          <w:kern w:val="0"/>
          <w:sz w:val="32"/>
          <w:szCs w:val="32"/>
          <w:lang w:val="en-US" w:eastAsia="zh-CN"/>
        </w:rPr>
        <w:t>2.210卫生健康支出（类）3523.98万元；</w:t>
      </w:r>
    </w:p>
    <w:p>
      <w:pPr>
        <w:spacing w:line="560" w:lineRule="exact"/>
        <w:ind w:firstLine="640" w:firstLineChars="200"/>
        <w:rPr>
          <w:rFonts w:hint="default"/>
          <w:lang w:val="en-US" w:eastAsia="zh-CN"/>
        </w:rPr>
      </w:pPr>
      <w:r>
        <w:rPr>
          <w:rFonts w:hint="eastAsia" w:ascii="仿宋_GB2312" w:hAnsi="宋体" w:eastAsia="仿宋_GB2312" w:cs="宋体"/>
          <w:kern w:val="0"/>
          <w:sz w:val="32"/>
          <w:szCs w:val="32"/>
          <w:lang w:val="en-US" w:eastAsia="zh-CN"/>
        </w:rPr>
        <w:t>3.221住房保障支出（类）21.76万元；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360" w:lineRule="auto"/>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sz w:val="32"/>
          <w:szCs w:val="32"/>
        </w:rPr>
        <w:t>208社会保障和就业支出（类）-05行政事业单位养老支出（款）-0</w:t>
      </w:r>
      <w:r>
        <w:rPr>
          <w:rFonts w:hint="eastAsia" w:ascii="仿宋_GB2312" w:hAnsi="宋体" w:eastAsia="仿宋_GB2312" w:cs="宋体"/>
          <w:sz w:val="32"/>
          <w:szCs w:val="32"/>
          <w:lang w:val="en-US" w:eastAsia="zh-CN"/>
        </w:rPr>
        <w:t>1行政单位离退休（项）：</w:t>
      </w:r>
      <w:r>
        <w:rPr>
          <w:rFonts w:hint="eastAsia" w:ascii="仿宋_GB2312" w:hAnsi="仿宋" w:eastAsia="仿宋_GB2312" w:cs="仿宋"/>
          <w:sz w:val="32"/>
          <w:szCs w:val="32"/>
        </w:rPr>
        <w:t>年预算数为</w:t>
      </w:r>
      <w:r>
        <w:rPr>
          <w:rFonts w:hint="eastAsia" w:ascii="仿宋_GB2312" w:hAnsi="宋体" w:eastAsia="仿宋_GB2312"/>
          <w:sz w:val="32"/>
          <w:szCs w:val="32"/>
          <w:lang w:val="en-US" w:eastAsia="zh-CN"/>
        </w:rPr>
        <w:t>14.35</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比上年</w:t>
      </w:r>
      <w:r>
        <w:rPr>
          <w:rFonts w:hint="eastAsia" w:ascii="仿宋_GB2312" w:hAnsi="仿宋" w:eastAsia="仿宋_GB2312" w:cs="仿宋"/>
          <w:sz w:val="32"/>
          <w:szCs w:val="32"/>
          <w:lang w:eastAsia="zh-CN"/>
        </w:rPr>
        <w:t>预算</w:t>
      </w:r>
      <w:r>
        <w:rPr>
          <w:rFonts w:hint="eastAsia" w:ascii="仿宋_GB2312" w:hAnsi="仿宋" w:eastAsia="仿宋_GB2312" w:cs="仿宋"/>
          <w:sz w:val="32"/>
          <w:szCs w:val="32"/>
        </w:rPr>
        <w:t>数</w:t>
      </w:r>
      <w:r>
        <w:rPr>
          <w:rFonts w:hint="eastAsia" w:ascii="仿宋_GB2312" w:hAnsi="仿宋" w:eastAsia="仿宋_GB2312" w:cs="仿宋"/>
          <w:sz w:val="32"/>
          <w:szCs w:val="32"/>
          <w:lang w:eastAsia="zh-CN"/>
        </w:rPr>
        <w:t>增加</w:t>
      </w:r>
      <w:r>
        <w:rPr>
          <w:rFonts w:hint="eastAsia" w:ascii="仿宋_GB2312" w:hAnsi="仿宋" w:eastAsia="仿宋_GB2312" w:cs="仿宋"/>
          <w:sz w:val="32"/>
          <w:szCs w:val="32"/>
          <w:lang w:val="en-US" w:eastAsia="zh-CN"/>
        </w:rPr>
        <w:t>14.35</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增长</w:t>
      </w:r>
      <w:r>
        <w:rPr>
          <w:rFonts w:hint="eastAsia" w:ascii="仿宋_GB2312" w:hAnsi="仿宋" w:eastAsia="仿宋_GB2312" w:cs="仿宋"/>
          <w:sz w:val="32"/>
          <w:szCs w:val="32"/>
          <w:lang w:val="en-US" w:eastAsia="zh-CN"/>
        </w:rPr>
        <w:t>100</w:t>
      </w:r>
      <w:r>
        <w:rPr>
          <w:rFonts w:hint="eastAsia" w:ascii="仿宋_GB2312" w:hAnsi="仿宋" w:eastAsia="仿宋_GB2312" w:cs="仿宋"/>
          <w:sz w:val="32"/>
          <w:szCs w:val="32"/>
        </w:rPr>
        <w:t>%，</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:2024</w:t>
      </w:r>
      <w:r>
        <w:rPr>
          <w:rFonts w:hint="eastAsia" w:ascii="仿宋" w:hAnsi="仿宋" w:eastAsia="仿宋" w:cs="仿宋"/>
          <w:sz w:val="32"/>
          <w:szCs w:val="32"/>
          <w:lang w:eastAsia="zh-CN"/>
        </w:rPr>
        <w:t>年度新增</w:t>
      </w:r>
      <w:r>
        <w:rPr>
          <w:rFonts w:hint="eastAsia" w:ascii="仿宋_GB2312" w:hAnsi="宋体" w:eastAsia="仿宋_GB2312" w:cs="宋体"/>
          <w:sz w:val="32"/>
          <w:szCs w:val="32"/>
          <w:lang w:val="en-US" w:eastAsia="zh-CN"/>
        </w:rPr>
        <w:t>行政单位离退休款项。</w:t>
      </w:r>
    </w:p>
    <w:p>
      <w:pPr>
        <w:spacing w:line="360" w:lineRule="auto"/>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208社会保障和就业支出（类）-05行政事业单位养老支出（款）-05机关事业单位基本养老保险缴费支出（项）：</w:t>
      </w:r>
      <w:r>
        <w:rPr>
          <w:rFonts w:hint="eastAsia" w:ascii="仿宋_GB2312" w:hAnsi="仿宋" w:eastAsia="仿宋_GB2312" w:cs="仿宋"/>
          <w:sz w:val="32"/>
          <w:szCs w:val="32"/>
        </w:rPr>
        <w:t>年预算数为</w:t>
      </w:r>
      <w:r>
        <w:rPr>
          <w:rFonts w:hint="eastAsia" w:ascii="仿宋_GB2312" w:hAnsi="宋体" w:eastAsia="仿宋_GB2312"/>
          <w:sz w:val="32"/>
          <w:szCs w:val="32"/>
          <w:lang w:val="en-US" w:eastAsia="zh-CN"/>
        </w:rPr>
        <w:t>26.21</w:t>
      </w:r>
      <w:r>
        <w:rPr>
          <w:rFonts w:hint="eastAsia" w:ascii="仿宋_GB2312" w:hAnsi="仿宋" w:eastAsia="仿宋_GB2312" w:cs="仿宋"/>
          <w:sz w:val="32"/>
          <w:szCs w:val="32"/>
        </w:rPr>
        <w:t>万元，比上年</w:t>
      </w:r>
      <w:r>
        <w:rPr>
          <w:rFonts w:hint="eastAsia" w:ascii="仿宋_GB2312" w:hAnsi="仿宋" w:eastAsia="仿宋_GB2312" w:cs="仿宋"/>
          <w:sz w:val="32"/>
          <w:szCs w:val="32"/>
          <w:lang w:eastAsia="zh-CN"/>
        </w:rPr>
        <w:t>预算</w:t>
      </w:r>
      <w:r>
        <w:rPr>
          <w:rFonts w:hint="eastAsia" w:ascii="仿宋_GB2312" w:hAnsi="仿宋" w:eastAsia="仿宋_GB2312" w:cs="仿宋"/>
          <w:sz w:val="32"/>
          <w:szCs w:val="32"/>
        </w:rPr>
        <w:t>数</w:t>
      </w:r>
      <w:r>
        <w:rPr>
          <w:rFonts w:hint="eastAsia" w:ascii="仿宋_GB2312" w:hAnsi="仿宋" w:eastAsia="仿宋_GB2312" w:cs="仿宋"/>
          <w:sz w:val="32"/>
          <w:szCs w:val="32"/>
          <w:lang w:eastAsia="zh-CN"/>
        </w:rPr>
        <w:t>减少</w:t>
      </w:r>
      <w:r>
        <w:rPr>
          <w:rFonts w:hint="eastAsia" w:ascii="仿宋_GB2312" w:hAnsi="仿宋" w:eastAsia="仿宋_GB2312" w:cs="仿宋"/>
          <w:sz w:val="32"/>
          <w:szCs w:val="32"/>
          <w:lang w:val="en-US" w:eastAsia="zh-CN"/>
        </w:rPr>
        <w:t>0.41</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下降</w:t>
      </w:r>
      <w:r>
        <w:rPr>
          <w:rFonts w:hint="eastAsia" w:ascii="仿宋_GB2312" w:hAnsi="仿宋" w:eastAsia="仿宋_GB2312" w:cs="仿宋"/>
          <w:sz w:val="32"/>
          <w:szCs w:val="32"/>
          <w:lang w:val="en-US" w:eastAsia="zh-CN"/>
        </w:rPr>
        <w:t>1.54</w:t>
      </w:r>
      <w:r>
        <w:rPr>
          <w:rFonts w:hint="eastAsia" w:ascii="仿宋_GB2312" w:hAnsi="仿宋" w:eastAsia="仿宋_GB2312" w:cs="仿宋"/>
          <w:sz w:val="32"/>
          <w:szCs w:val="32"/>
        </w:rPr>
        <w:t>%，</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2024年</w:t>
      </w:r>
      <w:r>
        <w:rPr>
          <w:rFonts w:hint="eastAsia" w:ascii="仿宋" w:hAnsi="仿宋" w:eastAsia="仿宋" w:cs="仿宋"/>
          <w:sz w:val="32"/>
          <w:szCs w:val="32"/>
          <w:lang w:eastAsia="zh-CN"/>
        </w:rPr>
        <w:t>退休</w:t>
      </w:r>
      <w:r>
        <w:rPr>
          <w:rFonts w:hint="eastAsia" w:ascii="仿宋" w:hAnsi="仿宋" w:eastAsia="仿宋" w:cs="仿宋"/>
          <w:sz w:val="32"/>
          <w:szCs w:val="32"/>
          <w:lang w:val="en-US" w:eastAsia="zh-CN"/>
        </w:rPr>
        <w:t>1人</w:t>
      </w:r>
      <w:r>
        <w:rPr>
          <w:rFonts w:hint="eastAsia" w:ascii="仿宋" w:hAnsi="仿宋" w:eastAsia="仿宋" w:cs="仿宋"/>
          <w:sz w:val="32"/>
          <w:szCs w:val="32"/>
        </w:rPr>
        <w:t xml:space="preserve"> ；</w:t>
      </w:r>
      <w:r>
        <w:rPr>
          <w:rFonts w:hint="eastAsia" w:ascii="仿宋_GB2312" w:hAnsi="宋体" w:eastAsia="仿宋_GB2312" w:cs="宋体"/>
          <w:kern w:val="0"/>
          <w:sz w:val="32"/>
          <w:szCs w:val="32"/>
          <w:lang w:val="en-US" w:eastAsia="zh-CN"/>
        </w:rPr>
        <w:t xml:space="preserve"> </w:t>
      </w:r>
    </w:p>
    <w:p>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宋体" w:eastAsia="仿宋_GB2312" w:cs="宋体"/>
          <w:kern w:val="0"/>
          <w:sz w:val="32"/>
          <w:szCs w:val="32"/>
          <w:lang w:val="en-US" w:eastAsia="zh-CN"/>
        </w:rPr>
        <w:t>3.</w:t>
      </w:r>
      <w:r>
        <w:rPr>
          <w:rFonts w:hint="eastAsia" w:ascii="仿宋_GB2312" w:hAnsi="仿宋_GB2312" w:eastAsia="仿宋_GB2312" w:cs="仿宋_GB2312"/>
          <w:sz w:val="32"/>
          <w:szCs w:val="32"/>
        </w:rPr>
        <w:t>210卫生健康支出（类）-0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卫生健康管理事务（款）-01行政运行（项）：年预算数为</w:t>
      </w:r>
      <w:r>
        <w:rPr>
          <w:rFonts w:hint="eastAsia" w:ascii="仿宋_GB2312" w:hAnsi="仿宋_GB2312" w:eastAsia="仿宋_GB2312" w:cs="仿宋_GB2312"/>
          <w:sz w:val="32"/>
          <w:szCs w:val="32"/>
          <w:lang w:val="en-US" w:eastAsia="zh-CN"/>
        </w:rPr>
        <w:t>407.92</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66.65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14.04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，主要原因是：</w:t>
      </w:r>
      <w:r>
        <w:rPr>
          <w:rFonts w:hint="eastAsia" w:ascii="仿宋_GB2312" w:hAnsi="仿宋_GB2312" w:eastAsia="仿宋_GB2312" w:cs="仿宋_GB2312"/>
          <w:sz w:val="32"/>
          <w:szCs w:val="32"/>
          <w:lang w:val="en-US" w:eastAsia="zh-CN"/>
        </w:rPr>
        <w:t>2024年未将2023年预算中污水处理设备分期还款列入此项、2024年退休1人。</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210卫生健康支出（类）-0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卫生健康管理事务（款）-</w:t>
      </w:r>
      <w:r>
        <w:rPr>
          <w:rFonts w:hint="eastAsia" w:ascii="仿宋_GB2312" w:hAnsi="仿宋_GB2312" w:eastAsia="仿宋_GB2312" w:cs="仿宋_GB2312"/>
          <w:sz w:val="32"/>
          <w:szCs w:val="32"/>
          <w:lang w:val="en-US" w:eastAsia="zh-CN"/>
        </w:rPr>
        <w:t>02一般行政管理事务</w:t>
      </w:r>
      <w:r>
        <w:rPr>
          <w:rFonts w:hint="eastAsia" w:ascii="仿宋_GB2312" w:hAnsi="仿宋_GB2312" w:eastAsia="仿宋_GB2312" w:cs="仿宋_GB2312"/>
          <w:sz w:val="32"/>
          <w:szCs w:val="32"/>
        </w:rPr>
        <w:t>（项）：年预算数为</w:t>
      </w:r>
      <w:r>
        <w:rPr>
          <w:rFonts w:hint="eastAsia" w:ascii="仿宋_GB2312" w:hAnsi="仿宋_GB2312" w:eastAsia="仿宋_GB2312" w:cs="仿宋_GB2312"/>
          <w:sz w:val="32"/>
          <w:szCs w:val="32"/>
          <w:lang w:val="en-US" w:eastAsia="zh-CN"/>
        </w:rPr>
        <w:t>41.02</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41.02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，为本年新增款项。</w:t>
      </w:r>
    </w:p>
    <w:p>
      <w:pPr>
        <w:spacing w:line="360" w:lineRule="auto"/>
        <w:ind w:firstLine="640" w:firstLineChars="200"/>
        <w:rPr>
          <w:rFonts w:hint="eastAsia"/>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210卫生健康支出（类）-0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卫生健康管理事务（款）-</w:t>
      </w:r>
      <w:r>
        <w:rPr>
          <w:rFonts w:hint="eastAsia" w:ascii="仿宋_GB2312" w:hAnsi="仿宋_GB2312" w:eastAsia="仿宋_GB2312" w:cs="仿宋_GB2312"/>
          <w:sz w:val="32"/>
          <w:szCs w:val="32"/>
          <w:lang w:val="en-US" w:eastAsia="zh-CN"/>
        </w:rPr>
        <w:t>99其他卫生健康管理事务</w:t>
      </w:r>
      <w:r>
        <w:rPr>
          <w:rFonts w:hint="eastAsia" w:ascii="仿宋_GB2312" w:hAnsi="仿宋_GB2312" w:eastAsia="仿宋_GB2312" w:cs="仿宋_GB2312"/>
          <w:sz w:val="32"/>
          <w:szCs w:val="32"/>
        </w:rPr>
        <w:t>（项）：年预算数为</w:t>
      </w:r>
      <w:r>
        <w:rPr>
          <w:rFonts w:hint="eastAsia" w:ascii="仿宋_GB2312" w:hAnsi="仿宋_GB2312" w:eastAsia="仿宋_GB2312" w:cs="仿宋_GB2312"/>
          <w:sz w:val="32"/>
          <w:szCs w:val="32"/>
          <w:lang w:val="en-US" w:eastAsia="zh-CN"/>
        </w:rPr>
        <w:t>36.00</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164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82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，剔除了村医工资县级配套资金。</w:t>
      </w:r>
    </w:p>
    <w:p>
      <w:pPr>
        <w:spacing w:line="360" w:lineRule="auto"/>
        <w:ind w:firstLine="420" w:firstLineChars="200"/>
        <w:rPr>
          <w:rFonts w:hint="eastAsia" w:ascii="仿宋_GB2312" w:hAnsi="仿宋_GB2312" w:eastAsia="仿宋_GB2312" w:cs="仿宋_GB2312"/>
          <w:sz w:val="32"/>
          <w:szCs w:val="32"/>
        </w:rPr>
      </w:pPr>
      <w:r>
        <w:rPr>
          <w:rFonts w:hint="eastAsia" w:eastAsia="仿宋_GB2312"/>
          <w:lang w:val="en-US" w:eastAsia="zh-CN"/>
        </w:rPr>
        <w:t xml:space="preserve"> </w:t>
      </w:r>
      <w:r>
        <w:rPr>
          <w:rFonts w:hint="eastAsia" w:ascii="仿宋_GB2312" w:hAnsi="仿宋_GB2312" w:eastAsia="仿宋_GB2312" w:cs="仿宋_GB2312"/>
          <w:kern w:val="2"/>
          <w:sz w:val="32"/>
          <w:szCs w:val="32"/>
          <w:lang w:val="en-US" w:eastAsia="zh-CN" w:bidi="ar-SA"/>
        </w:rPr>
        <w:t xml:space="preserve"> 6.</w:t>
      </w:r>
      <w:r>
        <w:rPr>
          <w:rFonts w:hint="eastAsia" w:ascii="仿宋_GB2312" w:hAnsi="仿宋_GB2312" w:eastAsia="仿宋_GB2312" w:cs="仿宋_GB2312"/>
          <w:sz w:val="32"/>
          <w:szCs w:val="32"/>
        </w:rPr>
        <w:t>210卫生健康支出（类）</w:t>
      </w:r>
      <w:r>
        <w:rPr>
          <w:rFonts w:hint="eastAsia" w:ascii="仿宋_GB2312" w:hAnsi="仿宋_GB2312" w:eastAsia="仿宋_GB2312" w:cs="仿宋_GB2312"/>
          <w:sz w:val="32"/>
          <w:szCs w:val="32"/>
          <w:lang w:val="en-US" w:eastAsia="zh-CN"/>
        </w:rPr>
        <w:t>-02公立医院（款）-01综合医院支出（项）：年初预算数105.75万元，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105.75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本年新增综合医院支出项目。</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210卫生健康支出（类）-0</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基层医疗卫生机构</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-99其他基层医疗卫生机构支出（项）：年初预算数312.48万元，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172.47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123.18</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本款项新增医疗卫生机构能力建设项目支出</w:t>
      </w:r>
      <w:r>
        <w:rPr>
          <w:rFonts w:hint="eastAsia" w:ascii="仿宋_GB2312" w:hAnsi="仿宋_GB2312" w:eastAsia="仿宋_GB2312" w:cs="仿宋_GB2312"/>
          <w:sz w:val="32"/>
          <w:szCs w:val="32"/>
        </w:rPr>
        <w:t>。</w:t>
      </w:r>
    </w:p>
    <w:p>
      <w:pPr>
        <w:pStyle w:val="2"/>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210卫生健康支出（类）</w:t>
      </w:r>
      <w:r>
        <w:rPr>
          <w:rFonts w:hint="eastAsia" w:ascii="仿宋_GB2312" w:hAnsi="仿宋_GB2312" w:eastAsia="仿宋_GB2312" w:cs="仿宋_GB2312"/>
          <w:sz w:val="32"/>
          <w:szCs w:val="32"/>
          <w:lang w:val="en-US" w:eastAsia="zh-CN"/>
        </w:rPr>
        <w:t>-04公共卫生（款）-08基本公共卫生服务（项）：年初预算数1112.02万元，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677.35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37.85</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剔除了全民健康体检支出项目。</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210卫生健康支出（类）</w:t>
      </w:r>
      <w:r>
        <w:rPr>
          <w:rFonts w:hint="eastAsia" w:ascii="仿宋_GB2312" w:hAnsi="仿宋_GB2312" w:eastAsia="仿宋_GB2312" w:cs="仿宋_GB2312"/>
          <w:sz w:val="32"/>
          <w:szCs w:val="32"/>
          <w:lang w:val="en-US" w:eastAsia="zh-CN"/>
        </w:rPr>
        <w:t>-04公共卫生（款）-09重大公共卫生服务（项）：年初预算数151.43万元，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10.72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6.61</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金额为</w:t>
      </w:r>
      <w:r>
        <w:rPr>
          <w:rFonts w:hint="eastAsia" w:ascii="仿宋_GB2312" w:hAnsi="仿宋_GB2312" w:eastAsia="仿宋_GB2312" w:cs="仿宋_GB2312"/>
          <w:sz w:val="32"/>
          <w:szCs w:val="32"/>
          <w:lang w:val="en-US" w:eastAsia="zh-CN"/>
        </w:rPr>
        <w:t>上级专项资金预算金额</w:t>
      </w:r>
      <w:r>
        <w:rPr>
          <w:rFonts w:hint="eastAsia" w:ascii="仿宋_GB2312" w:hAnsi="仿宋_GB2312" w:eastAsia="仿宋_GB2312" w:cs="仿宋_GB2312"/>
          <w:sz w:val="32"/>
          <w:szCs w:val="32"/>
        </w:rPr>
        <w:t>。</w:t>
      </w:r>
    </w:p>
    <w:p>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210卫生健康支出（类）</w:t>
      </w:r>
      <w:r>
        <w:rPr>
          <w:rFonts w:hint="eastAsia" w:ascii="仿宋_GB2312" w:hAnsi="仿宋_GB2312" w:eastAsia="仿宋_GB2312" w:cs="仿宋_GB2312"/>
          <w:sz w:val="32"/>
          <w:szCs w:val="32"/>
          <w:lang w:val="en-US" w:eastAsia="zh-CN"/>
        </w:rPr>
        <w:t>-04公共卫生（款）-99其他公共卫生支出（项）：年初预算数702.45万元，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702.45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全民健康体检项目资金列入此款项。</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210卫生健康支出（类）</w:t>
      </w:r>
      <w:r>
        <w:rPr>
          <w:rFonts w:hint="eastAsia" w:ascii="仿宋_GB2312" w:hAnsi="仿宋_GB2312" w:eastAsia="仿宋_GB2312" w:cs="仿宋_GB2312"/>
          <w:sz w:val="32"/>
          <w:szCs w:val="32"/>
          <w:lang w:val="en-US" w:eastAsia="zh-CN"/>
        </w:rPr>
        <w:t>-07计划生育事务（款）-17计划生育服务（项）：年初预算数438.10万元，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107.35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19.68</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2024年此款剔除了宣传员岗位津贴</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12.210卫生健康支出（类）-11行政事业单位医疗（款）-01行政单位医疗（项）：年初预算数11.48万元，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减少</w:t>
      </w:r>
      <w:r>
        <w:rPr>
          <w:rFonts w:hint="eastAsia" w:ascii="仿宋_GB2312" w:hAnsi="Arial" w:eastAsia="仿宋_GB2312" w:cs="Arial"/>
          <w:sz w:val="32"/>
          <w:szCs w:val="32"/>
          <w:lang w:val="en-US" w:eastAsia="zh-CN"/>
        </w:rPr>
        <w:t>11.21</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，下降</w:t>
      </w:r>
      <w:r>
        <w:rPr>
          <w:rFonts w:hint="eastAsia" w:ascii="仿宋_GB2312" w:hAnsi="Arial" w:eastAsia="仿宋_GB2312" w:cs="Arial"/>
          <w:sz w:val="32"/>
          <w:szCs w:val="32"/>
          <w:lang w:val="en-US" w:eastAsia="zh-CN"/>
        </w:rPr>
        <w:t>49.41%，</w:t>
      </w:r>
      <w:r>
        <w:rPr>
          <w:rFonts w:hint="eastAsia" w:ascii="仿宋_GB2312" w:hAnsi="宋体" w:eastAsia="仿宋_GB2312" w:cs="宋体"/>
          <w:kern w:val="0"/>
          <w:sz w:val="32"/>
          <w:szCs w:val="32"/>
          <w:lang w:val="en-US" w:eastAsia="zh-CN"/>
        </w:rPr>
        <w:t>主要原因：剔除了退休人员医疗，事业人员医疗分离，工资有所调整，社保基数增加。</w:t>
      </w:r>
    </w:p>
    <w:p>
      <w:pPr>
        <w:pStyle w:val="2"/>
        <w:ind w:left="0" w:leftChars="0" w:firstLine="640" w:firstLineChars="200"/>
        <w:rPr>
          <w:rFonts w:hint="eastAsia"/>
          <w:lang w:val="en-US" w:eastAsia="zh-CN"/>
        </w:rPr>
      </w:pPr>
      <w:r>
        <w:rPr>
          <w:rFonts w:hint="eastAsia" w:ascii="仿宋_GB2312" w:hAnsi="宋体" w:eastAsia="仿宋_GB2312" w:cs="宋体"/>
          <w:kern w:val="0"/>
          <w:sz w:val="32"/>
          <w:szCs w:val="32"/>
          <w:lang w:val="en-US" w:eastAsia="zh-CN"/>
        </w:rPr>
        <w:t>13.210卫生健康支出（类）-11行政事业单位医疗（款）-02事业单位医疗（项）：年初预算数1.62万元，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减少</w:t>
      </w:r>
      <w:r>
        <w:rPr>
          <w:rFonts w:hint="eastAsia" w:ascii="仿宋_GB2312" w:hAnsi="Arial" w:eastAsia="仿宋_GB2312" w:cs="Arial"/>
          <w:sz w:val="32"/>
          <w:szCs w:val="32"/>
          <w:lang w:val="en-US" w:eastAsia="zh-CN"/>
        </w:rPr>
        <w:t>21.07</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，下降</w:t>
      </w:r>
      <w:r>
        <w:rPr>
          <w:rFonts w:hint="eastAsia" w:ascii="仿宋_GB2312" w:hAnsi="Arial" w:eastAsia="仿宋_GB2312" w:cs="Arial"/>
          <w:sz w:val="32"/>
          <w:szCs w:val="32"/>
          <w:lang w:val="en-US" w:eastAsia="zh-CN"/>
        </w:rPr>
        <w:t>92.86%，</w:t>
      </w:r>
      <w:r>
        <w:rPr>
          <w:rFonts w:hint="eastAsia" w:ascii="仿宋_GB2312" w:hAnsi="Arial" w:eastAsia="仿宋_GB2312" w:cs="Arial"/>
          <w:sz w:val="32"/>
          <w:szCs w:val="32"/>
          <w:lang w:eastAsia="zh-CN"/>
        </w:rPr>
        <w:t>主要原因：</w:t>
      </w:r>
      <w:r>
        <w:rPr>
          <w:rFonts w:hint="eastAsia" w:ascii="仿宋_GB2312" w:hAnsi="宋体" w:eastAsia="仿宋_GB2312" w:cs="宋体"/>
          <w:kern w:val="0"/>
          <w:sz w:val="32"/>
          <w:szCs w:val="32"/>
          <w:lang w:val="en-US" w:eastAsia="zh-CN"/>
        </w:rPr>
        <w:t>事业人员医疗从行政单位医疗分离。</w:t>
      </w:r>
    </w:p>
    <w:p>
      <w:pPr>
        <w:spacing w:line="560" w:lineRule="exact"/>
        <w:ind w:firstLine="640" w:firstLineChars="200"/>
        <w:rPr>
          <w:rFonts w:hint="eastAsia" w:ascii="仿宋_GB2312" w:hAnsi="Arial" w:eastAsia="仿宋_GB2312" w:cs="Arial"/>
          <w:color w:val="auto"/>
          <w:sz w:val="32"/>
          <w:szCs w:val="32"/>
          <w:lang w:eastAsia="zh-CN"/>
        </w:rPr>
      </w:pPr>
      <w:r>
        <w:rPr>
          <w:rFonts w:hint="eastAsia" w:ascii="仿宋_GB2312" w:hAnsi="Arial" w:eastAsia="仿宋_GB2312" w:cs="Arial"/>
          <w:sz w:val="32"/>
          <w:szCs w:val="32"/>
          <w:lang w:val="en-US" w:eastAsia="zh-CN"/>
        </w:rPr>
        <w:t>14.</w:t>
      </w:r>
      <w:r>
        <w:rPr>
          <w:rFonts w:hint="eastAsia" w:ascii="仿宋_GB2312" w:hAnsi="宋体" w:eastAsia="仿宋_GB2312" w:cs="宋体"/>
          <w:kern w:val="0"/>
          <w:sz w:val="32"/>
          <w:szCs w:val="32"/>
          <w:lang w:val="en-US" w:eastAsia="zh-CN"/>
        </w:rPr>
        <w:t>210卫生健康支出（类）-11行政事业单位医疗（款）-03公务员医疗补助（项）：年初预算数3.60万元，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减少</w:t>
      </w:r>
      <w:r>
        <w:rPr>
          <w:rFonts w:hint="eastAsia" w:ascii="仿宋_GB2312" w:hAnsi="Arial" w:eastAsia="仿宋_GB2312" w:cs="Arial"/>
          <w:sz w:val="32"/>
          <w:szCs w:val="32"/>
          <w:lang w:val="en-US" w:eastAsia="zh-CN"/>
        </w:rPr>
        <w:t>2.64</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，下降</w:t>
      </w:r>
      <w:r>
        <w:rPr>
          <w:rFonts w:hint="eastAsia" w:ascii="仿宋_GB2312" w:hAnsi="Arial" w:eastAsia="仿宋_GB2312" w:cs="Arial"/>
          <w:sz w:val="32"/>
          <w:szCs w:val="32"/>
          <w:lang w:val="en-US" w:eastAsia="zh-CN"/>
        </w:rPr>
        <w:t>42.31%，</w:t>
      </w:r>
      <w:r>
        <w:rPr>
          <w:rFonts w:hint="eastAsia" w:ascii="仿宋_GB2312" w:hAnsi="Arial" w:eastAsia="仿宋_GB2312" w:cs="Arial"/>
          <w:color w:val="auto"/>
          <w:sz w:val="32"/>
          <w:szCs w:val="32"/>
          <w:lang w:eastAsia="zh-CN"/>
        </w:rPr>
        <w:t>主要原因：退休人员公务员医疗未列入预算。</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Arial" w:eastAsia="仿宋_GB2312" w:cs="Arial"/>
          <w:sz w:val="32"/>
          <w:szCs w:val="32"/>
          <w:lang w:val="en-US" w:eastAsia="zh-CN"/>
        </w:rPr>
        <w:t>15.</w:t>
      </w:r>
      <w:r>
        <w:rPr>
          <w:rFonts w:hint="eastAsia" w:ascii="仿宋_GB2312" w:hAnsi="宋体" w:eastAsia="仿宋_GB2312" w:cs="宋体"/>
          <w:kern w:val="0"/>
          <w:sz w:val="32"/>
          <w:szCs w:val="32"/>
          <w:lang w:val="en-US" w:eastAsia="zh-CN"/>
        </w:rPr>
        <w:t>210卫生健康支出（类）-11行政事业单位医疗（款）-99其他行政事业单位医疗支出（项）：年初预算数0.10万元，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0.01</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11.11%，</w:t>
      </w:r>
      <w:r>
        <w:rPr>
          <w:rFonts w:hint="eastAsia" w:ascii="仿宋_GB2312" w:hAnsi="Arial" w:eastAsia="仿宋_GB2312" w:cs="Arial"/>
          <w:sz w:val="32"/>
          <w:szCs w:val="32"/>
          <w:lang w:eastAsia="zh-CN"/>
        </w:rPr>
        <w:t>主要原因：</w:t>
      </w:r>
      <w:r>
        <w:rPr>
          <w:rFonts w:hint="eastAsia" w:ascii="仿宋_GB2312" w:hAnsi="宋体" w:eastAsia="仿宋_GB2312" w:cs="宋体"/>
          <w:kern w:val="0"/>
          <w:sz w:val="32"/>
          <w:szCs w:val="32"/>
          <w:lang w:val="en-US" w:eastAsia="zh-CN"/>
        </w:rPr>
        <w:t>工资有所调整，社保基数增加。</w:t>
      </w:r>
    </w:p>
    <w:p>
      <w:pPr>
        <w:autoSpaceDE w:val="0"/>
        <w:autoSpaceDN w:val="0"/>
        <w:adjustRightInd w:val="0"/>
        <w:ind w:firstLine="640" w:firstLineChars="200"/>
        <w:jc w:val="left"/>
        <w:rPr>
          <w:rFonts w:hint="eastAsia" w:ascii="仿宋_GB2312" w:hAnsi="Arial" w:eastAsia="仿宋_GB2312" w:cs="Arial"/>
          <w:sz w:val="32"/>
          <w:szCs w:val="32"/>
          <w:lang w:eastAsia="zh-CN"/>
        </w:rPr>
      </w:pPr>
      <w:r>
        <w:rPr>
          <w:rFonts w:hint="eastAsia" w:ascii="仿宋_GB2312" w:hAnsi="仿宋_GB2312" w:eastAsia="仿宋_GB2312" w:cs="仿宋_GB2312"/>
          <w:sz w:val="32"/>
          <w:szCs w:val="32"/>
          <w:highlight w:val="none"/>
          <w:lang w:val="en-US" w:eastAsia="zh-CN"/>
        </w:rPr>
        <w:t>16.</w:t>
      </w:r>
      <w:r>
        <w:rPr>
          <w:rFonts w:hint="eastAsia" w:ascii="仿宋_GB2312" w:hAnsi="宋体" w:eastAsia="仿宋_GB2312" w:cs="宋体"/>
          <w:kern w:val="0"/>
          <w:sz w:val="32"/>
          <w:szCs w:val="32"/>
          <w:highlight w:val="none"/>
          <w:lang w:val="en-US" w:eastAsia="zh-CN"/>
        </w:rPr>
        <w:t>210卫</w:t>
      </w:r>
      <w:r>
        <w:rPr>
          <w:rFonts w:hint="eastAsia" w:ascii="仿宋_GB2312" w:hAnsi="宋体" w:eastAsia="仿宋_GB2312" w:cs="宋体"/>
          <w:kern w:val="0"/>
          <w:sz w:val="32"/>
          <w:szCs w:val="32"/>
          <w:lang w:val="en-US" w:eastAsia="zh-CN"/>
        </w:rPr>
        <w:t>生健康支出（类）-17中医药事务（款）-04中医（民族区）药专项（项）:年初预算数200.00万元，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200.00</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100%，</w:t>
      </w:r>
      <w:r>
        <w:rPr>
          <w:rFonts w:hint="eastAsia" w:ascii="仿宋_GB2312" w:hAnsi="Arial" w:eastAsia="仿宋_GB2312" w:cs="Arial"/>
          <w:sz w:val="32"/>
          <w:szCs w:val="32"/>
          <w:lang w:eastAsia="zh-CN"/>
        </w:rPr>
        <w:t>主要原因：新增项目。</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sz w:val="32"/>
          <w:szCs w:val="32"/>
          <w:lang w:val="en-US" w:eastAsia="zh-CN"/>
        </w:rPr>
        <w:t>17.</w:t>
      </w:r>
      <w:r>
        <w:rPr>
          <w:rFonts w:hint="eastAsia" w:ascii="仿宋_GB2312" w:hAnsi="Arial" w:eastAsia="仿宋_GB2312" w:cs="Arial"/>
          <w:sz w:val="32"/>
          <w:szCs w:val="32"/>
          <w:lang w:val="en-US" w:eastAsia="zh-CN"/>
        </w:rPr>
        <w:t>221住房保障支出（类）-02住房改革支出（款）-01住房公积金（项）：</w:t>
      </w:r>
      <w:r>
        <w:rPr>
          <w:rFonts w:hint="eastAsia" w:ascii="仿宋_GB2312" w:hAnsi="宋体" w:eastAsia="仿宋_GB2312" w:cs="宋体"/>
          <w:kern w:val="0"/>
          <w:sz w:val="32"/>
          <w:szCs w:val="32"/>
          <w:lang w:val="en-US" w:eastAsia="zh-CN"/>
        </w:rPr>
        <w:t>年初预算数21.76万元，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0.20</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0.93%，</w:t>
      </w:r>
      <w:r>
        <w:rPr>
          <w:rFonts w:hint="eastAsia" w:ascii="仿宋_GB2312" w:hAnsi="Arial" w:eastAsia="仿宋_GB2312" w:cs="Arial"/>
          <w:sz w:val="32"/>
          <w:szCs w:val="32"/>
          <w:lang w:eastAsia="zh-CN"/>
        </w:rPr>
        <w:t>主要原因：</w:t>
      </w:r>
      <w:r>
        <w:rPr>
          <w:rFonts w:hint="eastAsia" w:ascii="仿宋_GB2312" w:hAnsi="宋体" w:eastAsia="仿宋_GB2312" w:cs="宋体"/>
          <w:kern w:val="0"/>
          <w:sz w:val="32"/>
          <w:szCs w:val="32"/>
          <w:lang w:val="en-US" w:eastAsia="zh-CN"/>
        </w:rPr>
        <w:t>工资有所调整，住房公积金基数增加。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呼图壁县卫生健康委员会2024年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呼图壁县卫生健康委员会2024年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640.65</w:t>
      </w:r>
      <w:r>
        <w:rPr>
          <w:rFonts w:hint="eastAsia" w:ascii="仿宋_GB2312" w:hAnsi="宋体" w:eastAsia="仿宋_GB2312" w:cs="宋体"/>
          <w:color w:val="auto"/>
          <w:spacing w:val="-6"/>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632.70</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其他工资福利支出、退休费、奖励金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其他对个人和家庭的补</w:t>
      </w:r>
      <w:r>
        <w:rPr>
          <w:rFonts w:hint="eastAsia" w:ascii="仿宋_GB2312" w:hAnsi="宋体" w:eastAsia="仿宋_GB2312" w:cs="宋体"/>
          <w:color w:val="auto"/>
          <w:kern w:val="0"/>
          <w:sz w:val="32"/>
          <w:szCs w:val="32"/>
          <w:highlight w:val="none"/>
          <w:lang w:eastAsia="zh-CN"/>
        </w:rPr>
        <w:t>助</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7.95</w:t>
      </w:r>
      <w:r>
        <w:rPr>
          <w:rFonts w:hint="eastAsia" w:ascii="仿宋_GB2312" w:hAnsi="宋体" w:eastAsia="仿宋_GB2312" w:cs="宋体"/>
          <w:color w:val="auto"/>
          <w:kern w:val="0"/>
          <w:sz w:val="32"/>
          <w:szCs w:val="32"/>
          <w:highlight w:val="none"/>
        </w:rPr>
        <w:t>万元，主要包括：办公费、印刷费、水费、电费、邮电费、差旅费、工会经费、公务用车运行维护费</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eastAsia="zh-CN"/>
        </w:rPr>
      </w:pPr>
      <w:r>
        <w:rPr>
          <w:rFonts w:hint="eastAsia" w:ascii="楷体_GB2312" w:hAnsi="楷体_GB2312" w:eastAsia="楷体_GB2312" w:cs="楷体_GB2312"/>
          <w:b/>
          <w:bCs/>
          <w:color w:val="auto"/>
          <w:spacing w:val="-6"/>
          <w:kern w:val="0"/>
          <w:sz w:val="32"/>
          <w:szCs w:val="32"/>
          <w:highlight w:val="none"/>
          <w:lang w:eastAsia="zh-CN"/>
        </w:rPr>
        <w:t>七、关于呼图壁县卫生健康委员会2024年一般公共预算项目支出情况说明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黑体" w:eastAsia="仿宋_GB2312"/>
          <w:b/>
          <w:color w:val="auto"/>
          <w:sz w:val="32"/>
          <w:szCs w:val="32"/>
          <w:highlight w:val="none"/>
          <w:lang w:eastAsia="zh-CN"/>
        </w:rPr>
      </w:pPr>
      <w:r>
        <w:rPr>
          <w:rFonts w:hint="eastAsia" w:ascii="仿宋_GB2312" w:hAnsi="黑体" w:eastAsia="仿宋_GB2312"/>
          <w:b/>
          <w:color w:val="auto"/>
          <w:sz w:val="32"/>
          <w:szCs w:val="32"/>
          <w:highlight w:val="none"/>
        </w:rPr>
        <w:t>专项业务费</w:t>
      </w:r>
      <w:r>
        <w:rPr>
          <w:rFonts w:hint="eastAsia" w:ascii="仿宋_GB2312" w:hAnsi="黑体" w:eastAsia="仿宋_GB2312"/>
          <w:b/>
          <w:color w:val="auto"/>
          <w:sz w:val="32"/>
          <w:szCs w:val="32"/>
          <w:highlight w:val="none"/>
          <w:lang w:eastAsia="zh-CN"/>
        </w:rPr>
        <w:t>支出</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1.项目名称：基本药物制度补助资金</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设立的政策依据：《关于印发基本公共卫生服务等5项补助资金管理办法的通知》（财社〔2019〕113 号）中《基本药物制度补助资金管理办法》</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预算安排规模：基层医疗机构落实国家基本药物制度相关工作</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项目承担单位：基层医疗机构</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资金分配情况：主要用于弥补核定收支后的经常性收支差额补助、推进基层医疗卫生机构综合改革等符合政府卫生投入政策规定的支出</w:t>
      </w:r>
    </w:p>
    <w:p>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2.项目名称：基本公共服务补助资金</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国家发展改革委、民政部、人力资源和社会保障部、卫生部《关于完善政府卫生投入政策的意见》（财社〔2009〕66号）和卫生部、财政部、国家人口和计划生育委员会《关于促进基本公共卫生服务逐步均等化的意见》（卫妇社发〔2009〕70号）等有关规定。</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预算安排规模：用于基层医疗卫生机构按规定为城乡居民免费提供基本公共卫生服务项目的补助资金。</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项目承担单位：县（区）级卫生部门应会同财政部门确定提供基本公共卫生服务项目的基层医疗卫生机构（包括社会力量举办的基层医疗卫生机构）</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资金分配情况：基层医疗卫生机构要按规定使用补助资金，根据基本公共卫生服务补偿参考标准，将补助资金用于相关的人员支出以及开展基本公共卫生服务所必需的耗材等公用经费支出</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3.项目名称：疫情防控资金</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设立的政策依据：涉密不宜公开</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预算安排规模：1346.16万元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项目承担单位：呼图壁县卫生健康委员会</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资金分配情况：按财政拨款分配</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4.项目名称：重大传染病项目</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设立的政策依据：昌州财社[2023]34号</w:t>
      </w:r>
    </w:p>
    <w:p>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预算安排规模：153.13万元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项目承担单位：呼图壁县卫生健康委员会、疾控中心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资金分配情况：按财政拨款分配</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5.2023年第六批自治区预算内投资（350）雀尔沟卫生院搬迁项目</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设立的政策依据：昌州财办建【2023】14号</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预算安排规模：30.00万元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资金分配情况：主要用于雀尔沟卫生院搬迁工作</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6.2023年积极应对人口老龄化工程和托育建设中央基建投资预算</w:t>
      </w:r>
    </w:p>
    <w:p>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设立的政策依据：昌州财建【2023】26号</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预算安排规模：3.15万元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资金分配情况：主要用于人口老龄化工程和托育建设</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7.2024年卫健系统购买污水处理设备前款分期付款项目（非定额）</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设立的政策依据：上级文件</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预算安排规模：41.02万元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资金分配情况：主要用于污水处理</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8.2024年自治区医疗服务与保障能力提升（卫生健康人才队伍建设）补助资金</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设立的政策依据：上级文件</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预算安排规模：36.00万元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资金分配情况：主要用于生健康人才队伍建设</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9.2024年中央医疗服务与保障能力提升（公立医院综合改革）补助资金</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设立的政策依据：上级文件</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预算安排规模：105.75万元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资金分配情况：主要用于公立医院综合改革</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10.2024年中央医疗服务与保障能力提升（医疗卫生机构能力建设）补助资金2024年基本公共卫生服务县级配套项目（非定额）</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设立的政策依据：上级文件</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 200.00万元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资金分配情况：主要用于医疗卫生机构能力建设</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11.2023年自治区医务人员临时性工作补助</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设立的政策依据：昌州财社【2023】1号，昌州财社[2023]32号</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预算安排规模：58.17万元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资金分配情况：主要用于医务人员临时性工作补助</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12.2024年自治区公共卫生服务（地方公共卫生）补助资金</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设立的政策依据：上级文件</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预算安排规模：7万元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资金分配情况：主要用于公共卫生服务</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13.2024年中央财政医疗服务与保障能力提升（中医药事业传承与发展部分）补助资金</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设立的政策依据：上级文件</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预算安排规模：200.00万元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资金分配情况：主要用于中医药事业传承与发展部分</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14.2024年中央彩票公益金支持-宫颈癌检查及失能老人健康评估项目</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设立的政策依据：上级文件</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预算安排规模：12.80万元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资金分配情况：主要用于宫颈癌检查及失能老人健康评估</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15.计划生育免费技术服务项目</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设立的政策依据：昌州财办社[2023]7号</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预算安排规模：3.02万元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项目承担单位：卫健委</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资金分配情况：主要用于计划生育免费技术服务</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资金执行时间：2024年1月1日-2024年12-31日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16.计划生育奖扶</w:t>
      </w:r>
    </w:p>
    <w:p>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预算安排规模：282.42万元</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项目承担单位：呼图壁县卫生健康委员会</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资金分配情况：根据乡</w:t>
      </w:r>
      <w:r>
        <w:rPr>
          <w:rFonts w:hint="eastAsia" w:ascii="仿宋_GB2312" w:hAnsi="宋体" w:eastAsia="仿宋_GB2312" w:cs="宋体"/>
          <w:kern w:val="0"/>
          <w:sz w:val="32"/>
          <w:szCs w:val="32"/>
          <w:lang w:eastAsia="zh-CN"/>
        </w:rPr>
        <w:t>镇一卡通审核录入数据进行分配</w:t>
      </w:r>
    </w:p>
    <w:p>
      <w:pPr>
        <w:widowControl w:val="0"/>
        <w:spacing w:line="560" w:lineRule="exact"/>
        <w:ind w:firstLine="640" w:firstLineChars="200"/>
        <w:jc w:val="both"/>
        <w:rPr>
          <w:rFonts w:hint="default" w:ascii="仿宋_GB2312" w:hAnsi="宋体" w:eastAsia="仿宋_GB2312" w:cs="宋体"/>
          <w:color w:val="0000FF"/>
          <w:kern w:val="0"/>
          <w:sz w:val="32"/>
          <w:szCs w:val="32"/>
          <w:lang w:val="en-US" w:eastAsia="zh-CN"/>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val="en-US" w:eastAsia="zh-CN"/>
        </w:rPr>
        <w:t>2024年1月1日-2024年12-31日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1" w:firstLineChars="200"/>
        <w:jc w:val="both"/>
        <w:textAlignment w:val="auto"/>
        <w:rPr>
          <w:rFonts w:ascii="仿宋_GB2312" w:hAnsi="黑体" w:eastAsia="仿宋_GB2312"/>
          <w:b/>
          <w:color w:val="auto"/>
          <w:sz w:val="32"/>
          <w:szCs w:val="32"/>
          <w:highlight w:val="none"/>
        </w:rPr>
      </w:pPr>
      <w:r>
        <w:rPr>
          <w:rFonts w:ascii="仿宋_GB2312" w:hAnsi="宋体" w:eastAsia="仿宋_GB2312"/>
          <w:b/>
          <w:color w:val="auto"/>
          <w:spacing w:val="-8"/>
          <w:sz w:val="32"/>
          <w:szCs w:val="22"/>
          <w:highlight w:val="none"/>
        </w:rPr>
        <w:t>对个人补贴的项目支出</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项目名称：2024年全民体检项目（非定额）</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设立的政策依据：为贯彻落实自治区医疗惠民政策，按照《自治州全民健康体检工程实施方案》</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预算安排规模：根据自治区财政厅《关于提前下达2019年全民健康体检工程补助资金预算的通知》（新财社[2018]300号）用于基层医疗卫生机构按规定承担全民健康体检项目的补助资金。</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项目承担单位：县（区）级卫生部门应会同财政部门确定提供全民健康体检项目的基层医疗卫生机构</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资金分配情况：体检经费采取预算管理和项目管理相结合，经费拔付采取工作数量与工作质量相结合，统筹规划，合理分配，追踪问效。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val="en-US" w:eastAsia="zh-CN"/>
        </w:rPr>
        <w:t>:2024年1月1日-2024年12-31日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资金来源：自治区财政、地方财政承担</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补贴人数：根据当年实际完成人数</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补贴标准：我县全民健康体检按照人均100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元标准测算，80周岁以上城乡居民体检标准按照每人每年132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元的标准执行。</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补贴范围：参加体检人员</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补贴方式：</w:t>
      </w:r>
      <w:r>
        <w:rPr>
          <w:rFonts w:hint="eastAsia" w:ascii="仿宋_GB2312" w:hAnsi="宋体" w:eastAsia="仿宋_GB2312" w:cs="宋体"/>
          <w:kern w:val="0"/>
          <w:sz w:val="32"/>
          <w:szCs w:val="32"/>
          <w:lang w:eastAsia="zh-CN"/>
        </w:rPr>
        <w:t>免费体检</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发放程序：</w:t>
      </w:r>
      <w:r>
        <w:rPr>
          <w:rFonts w:hint="eastAsia" w:ascii="仿宋_GB2312" w:hAnsi="宋体" w:eastAsia="仿宋_GB2312" w:cs="宋体"/>
          <w:kern w:val="0"/>
          <w:sz w:val="32"/>
          <w:szCs w:val="32"/>
          <w:lang w:eastAsia="zh-CN"/>
        </w:rPr>
        <w:t>按体检人数拨付至医疗单位</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受益人群和社会效益：</w:t>
      </w:r>
      <w:r>
        <w:rPr>
          <w:rFonts w:hint="eastAsia" w:ascii="仿宋_GB2312" w:hAnsi="宋体" w:eastAsia="仿宋_GB2312" w:cs="宋体"/>
          <w:kern w:val="0"/>
          <w:sz w:val="32"/>
          <w:szCs w:val="32"/>
          <w:lang w:eastAsia="zh-CN"/>
        </w:rPr>
        <w:t>呼图壁县群众，免费享受健康体检项目</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项目名称：2024年自治区计划生育服务补助资金</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设立的政策依据：呼图壁县村级计划生育宣传员绩效考核办法</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预算安排规模：自治区28.35万元</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项目承担单位：自治区人民政府、呼图壁县人民政府资</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资金分配情况：自治区承担125</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元/月/人,县级承担675</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元/月/人</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val="en-US" w:eastAsia="zh-CN"/>
        </w:rPr>
        <w:t>2024年1月1日-2024年12-31日</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资金来源:自治区、县级人民政府</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补贴人数：189</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人</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补贴标准:800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元/月/人</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补贴范围:村居计划生育宣传员补贴方式:岗位津贴和交通补贴</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发放程序:乡镇审核村级计划生育宣传员季度津贴报县级，再由县级及时申请资金并由财政直接进行打卡发放</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受益人群和社会效益:强化国策意识，稳定村居计划生育宣传员队伍，夯实基层基础</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呼图壁县卫生健康委员会2024年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rPr>
        <w:t>政府性基金支出预算支</w:t>
      </w:r>
      <w:r>
        <w:rPr>
          <w:rFonts w:hint="eastAsia" w:ascii="仿宋_GB2312" w:hAnsi="仿宋_GB2312" w:eastAsia="仿宋_GB2312" w:cs="仿宋_GB2312"/>
          <w:color w:val="auto"/>
          <w:kern w:val="0"/>
          <w:sz w:val="32"/>
          <w:szCs w:val="32"/>
          <w:highlight w:val="none"/>
          <w:lang w:eastAsia="zh-CN"/>
        </w:rPr>
        <w:t>出</w:t>
      </w:r>
      <w:r>
        <w:rPr>
          <w:rFonts w:hint="eastAsia" w:ascii="仿宋_GB2312" w:hAnsi="仿宋_GB2312" w:eastAsia="仿宋_GB2312" w:cs="仿宋_GB2312"/>
          <w:color w:val="auto"/>
          <w:kern w:val="0"/>
          <w:sz w:val="32"/>
          <w:szCs w:val="32"/>
          <w:highlight w:val="none"/>
          <w:lang w:val="en-US" w:eastAsia="zh-CN"/>
        </w:rPr>
        <w:t>12.80</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w:t>
      </w:r>
      <w:r>
        <w:rPr>
          <w:rFonts w:hint="eastAsia" w:ascii="仿宋_GB2312" w:hAnsi="仿宋_GB2312" w:eastAsia="仿宋_GB2312" w:cs="仿宋_GB2312"/>
          <w:color w:val="auto"/>
          <w:kern w:val="0"/>
          <w:sz w:val="32"/>
          <w:szCs w:val="32"/>
          <w:highlight w:val="none"/>
          <w:lang w:eastAsia="zh-CN"/>
        </w:rPr>
        <w:t>加</w:t>
      </w:r>
      <w:r>
        <w:rPr>
          <w:rFonts w:hint="eastAsia" w:ascii="仿宋_GB2312" w:hAnsi="仿宋_GB2312" w:eastAsia="仿宋_GB2312" w:cs="仿宋_GB2312"/>
          <w:color w:val="auto"/>
          <w:kern w:val="0"/>
          <w:sz w:val="32"/>
          <w:szCs w:val="32"/>
          <w:highlight w:val="none"/>
          <w:lang w:val="en-US" w:eastAsia="zh-CN"/>
        </w:rPr>
        <w:t>12.80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其他支出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彩票公益金安排的支出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用于社会福利的彩票公益金支出</w:t>
      </w:r>
      <w:r>
        <w:rPr>
          <w:rFonts w:hint="eastAsia" w:ascii="仿宋_GB2312" w:hAnsi="仿宋_GB2312" w:eastAsia="仿宋_GB2312" w:cs="仿宋_GB2312"/>
          <w:color w:val="auto"/>
          <w:sz w:val="32"/>
          <w:szCs w:val="32"/>
          <w:highlight w:val="none"/>
        </w:rPr>
        <w:t>（项）支出</w:t>
      </w:r>
      <w:r>
        <w:rPr>
          <w:rFonts w:hint="eastAsia" w:ascii="仿宋_GB2312" w:hAnsi="仿宋_GB2312" w:eastAsia="仿宋_GB2312" w:cs="仿宋_GB2312"/>
          <w:color w:val="auto"/>
          <w:sz w:val="32"/>
          <w:szCs w:val="32"/>
          <w:highlight w:val="none"/>
          <w:lang w:val="en-US" w:eastAsia="zh-CN"/>
        </w:rPr>
        <w:t>8.80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8.80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主要是用于宫颈癌检查及失能老人健康评估项目。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其他支出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彩票公益金安排的支出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用于城乡医疗救助的彩票公益金支出</w:t>
      </w:r>
      <w:r>
        <w:rPr>
          <w:rFonts w:hint="eastAsia" w:ascii="仿宋_GB2312" w:hAnsi="仿宋_GB2312" w:eastAsia="仿宋_GB2312" w:cs="仿宋_GB2312"/>
          <w:color w:val="auto"/>
          <w:sz w:val="32"/>
          <w:szCs w:val="32"/>
          <w:highlight w:val="none"/>
        </w:rPr>
        <w:t>（项）支出</w:t>
      </w:r>
      <w:r>
        <w:rPr>
          <w:rFonts w:hint="eastAsia" w:ascii="仿宋_GB2312" w:hAnsi="仿宋_GB2312" w:eastAsia="仿宋_GB2312" w:cs="仿宋_GB2312"/>
          <w:color w:val="auto"/>
          <w:sz w:val="32"/>
          <w:szCs w:val="32"/>
          <w:highlight w:val="none"/>
          <w:lang w:val="en-US" w:eastAsia="zh-CN"/>
        </w:rPr>
        <w:t>4.00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4.00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主要是用于宫颈癌检查及失能老人健康评估项目。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呼图壁县卫生健康委员会2024年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rPr>
        <w:t>没有国有资本经营预算拨款安排的支出，国有资本经营预算支出情况表为空表。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呼图壁县卫生健康委员会2024年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呼图壁县卫生健康委员会2024年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年“三公”经费财政拨款预算比上年减少</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万元，其中：因公出国（境）费增加0万元，主要原因是未安排预算；公务用车购置费为0，未安排预算；公务接待费</w:t>
      </w:r>
      <w:r>
        <w:rPr>
          <w:rFonts w:hint="eastAsia" w:ascii="仿宋_GB2312" w:hAnsi="仿宋_GB2312" w:eastAsia="仿宋_GB2312" w:cs="仿宋_GB2312"/>
          <w:sz w:val="32"/>
          <w:szCs w:val="32"/>
          <w:lang w:eastAsia="zh-CN"/>
        </w:rPr>
        <w:t>与上年度持平</w:t>
      </w:r>
      <w:r>
        <w:rPr>
          <w:rFonts w:hint="eastAsia" w:ascii="仿宋_GB2312" w:hAnsi="仿宋_GB2312" w:eastAsia="仿宋_GB2312" w:cs="仿宋_GB2312"/>
          <w:sz w:val="32"/>
          <w:szCs w:val="32"/>
        </w:rPr>
        <w:t>，未安排</w:t>
      </w:r>
      <w:r>
        <w:rPr>
          <w:rFonts w:hint="eastAsia" w:ascii="仿宋_GB2312" w:hAnsi="仿宋_GB2312" w:eastAsia="仿宋_GB2312" w:cs="仿宋_GB2312"/>
          <w:sz w:val="32"/>
          <w:szCs w:val="32"/>
          <w:lang w:eastAsia="zh-CN"/>
        </w:rPr>
        <w:t>预算支出。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呼图壁县卫生健康委员会2024年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lang w:val="en-US" w:eastAsia="zh-CN"/>
        </w:rPr>
        <w:t>上年结转结余1468.47万元，包括：财政拨款1468.47万元，非财政拨款0.00万元，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1.2023年第六批自治区预算内投资（350）雀儿沟卫生院搬迁项目30.00万元，主要用于：呼图壁县雀尔沟镇卫生院灾后重建项目。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2.2023年积极应对人口老龄化工程和托育建设中央基建投资项目</w:t>
      </w:r>
      <w:r>
        <w:rPr>
          <w:rFonts w:hint="eastAsia" w:ascii="仿宋_GB2312" w:hAnsi="仿宋_GB2312" w:eastAsia="仿宋_GB2312" w:cs="仿宋_GB2312"/>
          <w:color w:val="auto"/>
          <w:kern w:val="0"/>
          <w:sz w:val="32"/>
          <w:szCs w:val="32"/>
          <w:highlight w:val="none"/>
          <w:lang w:val="en-US" w:eastAsia="zh-CN"/>
        </w:rPr>
        <w:tab/>
      </w:r>
      <w:r>
        <w:rPr>
          <w:rFonts w:hint="eastAsia" w:ascii="仿宋_GB2312" w:hAnsi="仿宋_GB2312" w:eastAsia="仿宋_GB2312" w:cs="仿宋_GB2312"/>
          <w:color w:val="auto"/>
          <w:kern w:val="0"/>
          <w:sz w:val="32"/>
          <w:szCs w:val="32"/>
          <w:highlight w:val="none"/>
          <w:lang w:val="en-US" w:eastAsia="zh-CN"/>
        </w:rPr>
        <w:t>3.15万元，主要用于：托育建设。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3.2023年中央财政第二批重大传染病防控经费</w:t>
      </w:r>
      <w:r>
        <w:rPr>
          <w:rFonts w:hint="eastAsia" w:ascii="仿宋_GB2312" w:hAnsi="仿宋_GB2312" w:eastAsia="仿宋_GB2312" w:cs="仿宋_GB2312"/>
          <w:color w:val="auto"/>
          <w:kern w:val="0"/>
          <w:sz w:val="32"/>
          <w:szCs w:val="32"/>
          <w:highlight w:val="none"/>
          <w:lang w:val="en-US" w:eastAsia="zh-CN"/>
        </w:rPr>
        <w:tab/>
      </w:r>
      <w:r>
        <w:rPr>
          <w:rFonts w:hint="eastAsia" w:ascii="仿宋_GB2312" w:hAnsi="仿宋_GB2312" w:eastAsia="仿宋_GB2312" w:cs="仿宋_GB2312"/>
          <w:color w:val="auto"/>
          <w:kern w:val="0"/>
          <w:sz w:val="32"/>
          <w:szCs w:val="32"/>
          <w:highlight w:val="none"/>
          <w:lang w:val="en-US" w:eastAsia="zh-CN"/>
        </w:rPr>
        <w:t>1.70万元，主要用于：重大传染病防控。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4.2023年自治区医务人员临时性工作补助（第一批）38.08万元，主要用于：医务人员临时性工作补助。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5.中央疫情防控财力补助预算（第二批）30.00万元，主要用于：疫情防控工作。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6.中央疫情防控财力补助资金246.24万元，主要用于：疫情防控工作。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7.2022年中央财政疫情防控补助资金</w:t>
      </w:r>
      <w:r>
        <w:rPr>
          <w:rFonts w:hint="eastAsia" w:ascii="仿宋_GB2312" w:hAnsi="仿宋_GB2312" w:eastAsia="仿宋_GB2312" w:cs="仿宋_GB2312"/>
          <w:color w:val="auto"/>
          <w:kern w:val="0"/>
          <w:sz w:val="32"/>
          <w:szCs w:val="32"/>
          <w:highlight w:val="none"/>
          <w:lang w:val="en-US" w:eastAsia="zh-CN"/>
        </w:rPr>
        <w:tab/>
      </w:r>
      <w:r>
        <w:rPr>
          <w:rFonts w:hint="eastAsia" w:ascii="仿宋_GB2312" w:hAnsi="仿宋_GB2312" w:eastAsia="仿宋_GB2312" w:cs="仿宋_GB2312"/>
          <w:color w:val="auto"/>
          <w:kern w:val="0"/>
          <w:sz w:val="32"/>
          <w:szCs w:val="32"/>
          <w:highlight w:val="none"/>
          <w:lang w:val="en-US" w:eastAsia="zh-CN"/>
        </w:rPr>
        <w:t>89.31万元，主要用于：疫情防控工作。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8.2022年中央财政疫情防控补助资金[第二批]</w:t>
      </w:r>
      <w:r>
        <w:rPr>
          <w:rFonts w:hint="eastAsia" w:ascii="仿宋_GB2312" w:hAnsi="仿宋_GB2312" w:eastAsia="仿宋_GB2312" w:cs="仿宋_GB2312"/>
          <w:color w:val="auto"/>
          <w:kern w:val="0"/>
          <w:sz w:val="32"/>
          <w:szCs w:val="32"/>
          <w:highlight w:val="none"/>
          <w:lang w:val="en-US" w:eastAsia="zh-CN"/>
        </w:rPr>
        <w:tab/>
      </w:r>
      <w:r>
        <w:rPr>
          <w:rFonts w:hint="eastAsia" w:ascii="仿宋_GB2312" w:hAnsi="仿宋_GB2312" w:eastAsia="仿宋_GB2312" w:cs="仿宋_GB2312"/>
          <w:color w:val="auto"/>
          <w:kern w:val="0"/>
          <w:sz w:val="32"/>
          <w:szCs w:val="32"/>
          <w:highlight w:val="none"/>
          <w:lang w:val="en-US" w:eastAsia="zh-CN"/>
        </w:rPr>
        <w:t>980.61万元，主要用于：疫情防控工作。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9.2023年自治区医务人员临时性工作补助资金[第二批]20.09万元，主要用于：医务人员临时性工作补助。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10.2023年计划生育免费技术服务项目州本级配套资金2.89万元，主要用于：计划生育免费技术服务。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11.2023年自治区计划生育奖励扶助制度补助资金[第二批]</w:t>
      </w:r>
      <w:r>
        <w:rPr>
          <w:rFonts w:hint="eastAsia" w:ascii="仿宋_GB2312" w:hAnsi="仿宋_GB2312" w:eastAsia="仿宋_GB2312" w:cs="仿宋_GB2312"/>
          <w:color w:val="auto"/>
          <w:kern w:val="0"/>
          <w:sz w:val="32"/>
          <w:szCs w:val="32"/>
          <w:highlight w:val="none"/>
          <w:lang w:val="en-US" w:eastAsia="zh-CN"/>
        </w:rPr>
        <w:tab/>
      </w:r>
      <w:r>
        <w:rPr>
          <w:rFonts w:hint="eastAsia" w:ascii="仿宋_GB2312" w:hAnsi="仿宋_GB2312" w:eastAsia="仿宋_GB2312" w:cs="仿宋_GB2312"/>
          <w:color w:val="auto"/>
          <w:kern w:val="0"/>
          <w:sz w:val="32"/>
          <w:szCs w:val="32"/>
          <w:highlight w:val="none"/>
          <w:lang w:val="en-US" w:eastAsia="zh-CN"/>
        </w:rPr>
        <w:t>2.75万元，主要用于：计划生育奖励扶助。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12.2023年计划生育奖扶州本级财政补助资金0.96万元，主要用于：计划生育奖扶。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13.关于提前下达2023年自治区计划生育家庭奖励扶助制度补助资金预算的通知1.24万元，主要用于：计划生育家庭奖励扶助。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14.关于提前下达2023年自治区计划生育服务补助资金预算的通知</w:t>
      </w:r>
      <w:r>
        <w:rPr>
          <w:rFonts w:hint="eastAsia" w:ascii="仿宋_GB2312" w:hAnsi="仿宋_GB2312" w:eastAsia="仿宋_GB2312" w:cs="仿宋_GB2312"/>
          <w:color w:val="auto"/>
          <w:kern w:val="0"/>
          <w:sz w:val="32"/>
          <w:szCs w:val="32"/>
          <w:highlight w:val="none"/>
          <w:lang w:val="en-US" w:eastAsia="zh-CN"/>
        </w:rPr>
        <w:tab/>
      </w:r>
      <w:r>
        <w:rPr>
          <w:rFonts w:hint="eastAsia" w:ascii="仿宋_GB2312" w:hAnsi="仿宋_GB2312" w:eastAsia="仿宋_GB2312" w:cs="仿宋_GB2312"/>
          <w:color w:val="auto"/>
          <w:kern w:val="0"/>
          <w:sz w:val="32"/>
          <w:szCs w:val="32"/>
          <w:highlight w:val="none"/>
          <w:lang w:val="en-US" w:eastAsia="zh-CN"/>
        </w:rPr>
        <w:t>0.13万元，主要用于：计划生育服务补助。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15.2023年中央计划生育转移支付资金[第二批]21.32万元，主要用于：计划生育服务补助。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呼图壁县卫生健康委员会2024年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7.95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减少2.02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下降20.26</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根据单位内控制度要求控制经费支出。</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呼图壁县卫生健康委员会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33.36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11.60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21.76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eastAsia="zh-CN"/>
        </w:rPr>
        <w:t>呼图壁县卫生健康委员会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33.36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33.36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呼图壁县卫生健康委员会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1994.2</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1032.70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48.81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48.81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13.73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15.87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2024年呼图壁县卫生健康委员会</w:t>
      </w:r>
      <w:r>
        <w:rPr>
          <w:rFonts w:hint="eastAsia" w:ascii="仿宋_GB2312" w:hAnsi="仿宋_GB2312" w:eastAsia="仿宋_GB2312" w:cs="仿宋_GB2312"/>
          <w:color w:val="auto"/>
          <w:kern w:val="0"/>
          <w:sz w:val="32"/>
          <w:szCs w:val="32"/>
          <w:highlight w:val="none"/>
        </w:rPr>
        <w:t>预算未安排购置车辆经费，安排购置50</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台（套），安排购置价值100</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整体预算绩效目标16个，涉及金额5054.77万元；当年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涉及预算金额5054.77万元；当年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bookmarkStart w:id="0" w:name="_GoBack"/>
      <w:bookmarkEnd w:id="0"/>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呼图壁县卫生健康委员会整体绩效目标表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呼图壁县卫生健康委员会</w:t>
            </w:r>
            <w:r>
              <w:rPr>
                <w:rFonts w:hint="eastAsia" w:ascii="宋体" w:hAnsi="宋体" w:eastAsia="宋体" w:cs="宋体"/>
                <w:i w:val="0"/>
                <w:iCs w:val="0"/>
                <w:color w:val="000000"/>
                <w:kern w:val="0"/>
                <w:sz w:val="20"/>
                <w:szCs w:val="20"/>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呼图壁县卫生健康委员会</w:t>
            </w:r>
            <w:r>
              <w:rPr>
                <w:rFonts w:hint="eastAsia" w:ascii="宋体" w:hAnsi="宋体" w:eastAsia="宋体" w:cs="宋体"/>
                <w:i w:val="0"/>
                <w:iCs w:val="0"/>
                <w:color w:val="000000"/>
                <w:kern w:val="0"/>
                <w:sz w:val="20"/>
                <w:szCs w:val="20"/>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tabs>
                <w:tab w:val="left" w:pos="735"/>
              </w:tabs>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买尔吾叶提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152926343109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7"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一、推进医药卫生体制改革、拟订全县卫生改革发展的目标规划和政策措施、依法对全县各级各类医疗卫生机构实施监督管理。                                                                                                      二、实施农村计划生育家庭奖励扶助制度，解决农村独生子女和双女家庭的养老问题，提高家庭发展能力,做好计生宣传及服务工 三、全年人口出生率、出生人口政策符合率达到自治区、州下达的指标以内，严格执行计划生育“一票否决”制度；社会抚养费征收率达95%。孕产妇死亡率、5岁以下儿童死亡率和婴儿死亡率4.8‰，计划生育技术服务查环查孕率均达到自治区、州下达的指标以。                                                                                                         四、向农村实行计划生育的育龄夫妻免费提供避孕、节育技术服务，所需经费由自治区和地方财政承担.强化孕前型管理工作，降低非意愿妊娠。</w:t>
            </w:r>
            <w:r>
              <w:rPr>
                <w:rFonts w:hint="eastAsia" w:ascii="宋体" w:hAnsi="宋体" w:eastAsia="宋体" w:cs="宋体"/>
                <w:i w:val="0"/>
                <w:iCs w:val="0"/>
                <w:color w:val="000000"/>
                <w:sz w:val="20"/>
                <w:szCs w:val="20"/>
                <w:u w:val="none"/>
              </w:rPr>
              <w:tab/>
            </w:r>
            <w:r>
              <w:rPr>
                <w:rFonts w:hint="eastAsia" w:ascii="宋体" w:hAnsi="宋体" w:eastAsia="宋体" w:cs="宋体"/>
                <w:i w:val="0"/>
                <w:iCs w:val="0"/>
                <w:color w:val="000000"/>
                <w:sz w:val="20"/>
                <w:szCs w:val="20"/>
                <w:u w:val="none"/>
              </w:rPr>
              <w:tab/>
            </w:r>
            <w:r>
              <w:rPr>
                <w:rFonts w:hint="eastAsia" w:ascii="宋体" w:hAnsi="宋体" w:eastAsia="宋体" w:cs="宋体"/>
                <w:i w:val="0"/>
                <w:iCs w:val="0"/>
                <w:color w:val="000000"/>
                <w:sz w:val="20"/>
                <w:szCs w:val="20"/>
                <w:u w:val="none"/>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5054.77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基本公共卫生服务人口</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&gt;=14万人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2024年主要目标任务</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&gt;=12万人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2024年主要目标任务</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基本公共卫生服务项目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&gt;=14项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2024年主要目标任务</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基本药物制度机构补助数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2024年主要目标任务</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体检及时率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2024年主要目标任务</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tbl>
      <w:tblPr>
        <w:tblStyle w:val="7"/>
        <w:tblW w:w="8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891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91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2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5"/>
        <w:gridCol w:w="35"/>
        <w:gridCol w:w="1009"/>
        <w:gridCol w:w="71"/>
        <w:gridCol w:w="1371"/>
        <w:gridCol w:w="105"/>
        <w:gridCol w:w="600"/>
        <w:gridCol w:w="105"/>
        <w:gridCol w:w="922"/>
        <w:gridCol w:w="38"/>
        <w:gridCol w:w="808"/>
        <w:gridCol w:w="116"/>
        <w:gridCol w:w="114"/>
        <w:gridCol w:w="462"/>
        <w:gridCol w:w="255"/>
        <w:gridCol w:w="445"/>
        <w:gridCol w:w="884"/>
        <w:gridCol w:w="525"/>
        <w:gridCol w:w="3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380" w:hRule="atLeast"/>
        </w:trPr>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821"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7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2024年基本公共卫生服务补助资金</w:t>
            </w:r>
          </w:p>
        </w:tc>
        <w:tc>
          <w:tcPr>
            <w:tcW w:w="15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1112.02</w:t>
            </w:r>
          </w:p>
        </w:tc>
        <w:tc>
          <w:tcPr>
            <w:tcW w:w="9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1112.02</w:t>
            </w:r>
          </w:p>
        </w:tc>
        <w:tc>
          <w:tcPr>
            <w:tcW w:w="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840" w:hRule="atLeast"/>
        </w:trPr>
        <w:tc>
          <w:tcPr>
            <w:tcW w:w="20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821" w:type="dxa"/>
            <w:gridSpan w:val="15"/>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掌握重点公共场所主要健康危害因素，评价健康风险，掌握农村环境卫生健康危害因素水平及动态变化。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4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1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76"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62"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40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高血压患者规范管理数</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&gt;=10350人次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2型糖尿病患者管理人数</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&gt;=4588人次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适龄儿童国家免疫规划疫苗接种率</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老年人中医药健康管理率</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&gt;=45%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儿童中医药健康管理率</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&gt;=45%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居民规范化电子健康档案覆盖率</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&gt;=60%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高血压患者基层规范管理服务率</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&gt;=60%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2型糖尿病患者基层规范管理服务率</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&gt;=60%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社区在册居家严重精神障碍患者健康管理率</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&gt;=75%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50"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城乡居民公共卫生差距</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不断缩小</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历史标准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按评判等级赋分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345" w:type="dxa"/>
          <w:trHeight w:val="444" w:hRule="atLeast"/>
        </w:trPr>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城乡居民对基本公共卫生服务满意度</w:t>
            </w:r>
          </w:p>
        </w:tc>
        <w:tc>
          <w:tcPr>
            <w:tcW w:w="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&gt;=85%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历史标准</w:t>
            </w:r>
          </w:p>
        </w:tc>
        <w:tc>
          <w:tcPr>
            <w:tcW w:w="1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1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满意度赋分</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255" w:type="dxa"/>
            <w:gridSpan w:val="1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255" w:type="dxa"/>
            <w:gridSpan w:val="1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09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2024年基本药物制度补助资金预算</w:t>
            </w:r>
          </w:p>
        </w:tc>
        <w:tc>
          <w:tcPr>
            <w:tcW w:w="1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112.48</w:t>
            </w:r>
          </w:p>
        </w:tc>
        <w:tc>
          <w:tcPr>
            <w:tcW w:w="1065"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112.48</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095" w:type="dxa"/>
            <w:gridSpan w:val="15"/>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基层医疗卫生机构服务质量进一步提高；对基本药物制度补助满意度进一步提高。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6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2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31"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32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7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实施基本药物制度的政府办基层医疗卫生机构数量</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w:t>
            </w:r>
          </w:p>
        </w:tc>
        <w:tc>
          <w:tcPr>
            <w:tcW w:w="1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实施基本药物制度的村卫生室数量</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&gt;=50个</w:t>
            </w:r>
          </w:p>
        </w:tc>
        <w:tc>
          <w:tcPr>
            <w:tcW w:w="1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50个</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基层医疗卫生机构“优质服务基层行”活动开展评价机构数比例</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行业标准</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基层医疗卫生机构“优质服务基层行”活动达到基本标准及以上的比例</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&gt;=70%</w:t>
            </w:r>
          </w:p>
        </w:tc>
        <w:tc>
          <w:tcPr>
            <w:tcW w:w="1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行业标准</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项目执行及时率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基本药物制度在基层持续实施</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w:t>
            </w:r>
          </w:p>
        </w:tc>
        <w:tc>
          <w:tcPr>
            <w:tcW w:w="1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对基本药物制度补助满意度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10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8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7"/>
        <w:tblW w:w="96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63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63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2024年全民体检项目（非定额）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695.45</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695.45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7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发现潜在的致病因素，有针对性的进行预防，为健康提供超前保障。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全民健康体检覆盖乡镇数量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开展全民健康体检业务指导次数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开展全民健康体检培训次数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体检完成率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工作任务完成截止时限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2024年10月30日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项目投资比例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全民健康体检受益人数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&gt;=79694人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7"/>
        <w:tblW w:w="96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6"/>
        <w:gridCol w:w="1076"/>
        <w:gridCol w:w="1427"/>
        <w:gridCol w:w="756"/>
        <w:gridCol w:w="1077"/>
        <w:gridCol w:w="1078"/>
        <w:gridCol w:w="1077"/>
        <w:gridCol w:w="1076"/>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63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63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2024年中央财政医疗服务与保障能力提升（中医药事业传承与发展部分）补助资金</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200</w:t>
            </w:r>
            <w:r>
              <w:rPr>
                <w:rFonts w:hint="eastAsia" w:ascii="宋体" w:hAnsi="宋体" w:cs="宋体"/>
                <w:i w:val="0"/>
                <w:iCs w:val="0"/>
                <w:color w:val="000000"/>
                <w:kern w:val="0"/>
                <w:sz w:val="18"/>
                <w:szCs w:val="18"/>
                <w:u w:val="none"/>
                <w:lang w:val="en-US" w:eastAsia="zh-CN" w:bidi="ar"/>
              </w:rPr>
              <w:t>.00</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200</w:t>
            </w:r>
            <w:r>
              <w:rPr>
                <w:rFonts w:hint="eastAsia" w:ascii="宋体" w:hAnsi="宋体" w:cs="宋体"/>
                <w:i w:val="0"/>
                <w:iCs w:val="0"/>
                <w:color w:val="000000"/>
                <w:kern w:val="0"/>
                <w:sz w:val="18"/>
                <w:szCs w:val="18"/>
                <w:u w:val="none"/>
                <w:lang w:val="en-US" w:eastAsia="zh-CN" w:bidi="ar"/>
              </w:rPr>
              <w:t>.00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7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为进一步加强我县中医医院中医特色优势专科建设和中医适宜技术推广能力建设，切实提高中医优势病种诊疗能力和综合服务能力，推动我县中医院高质量发展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2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支持县级中医医疗机构数量</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县级中医医院优势专科建设数量</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中医药适宜技术推广中心建设数量</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受支持医疗机构优势专科就诊人数提升率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受支持医疗机构中医能力提升率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中医药事业传承项目经费成本控制率</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推广中医适宜技术数量</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住院患者满意度</w:t>
            </w:r>
          </w:p>
        </w:tc>
        <w:tc>
          <w:tcPr>
            <w:tcW w:w="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tbl>
      <w:tblPr>
        <w:tblStyle w:val="7"/>
        <w:tblW w:w="95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521"/>
        <w:gridCol w:w="639"/>
        <w:gridCol w:w="1080"/>
        <w:gridCol w:w="1080"/>
        <w:gridCol w:w="1080"/>
        <w:gridCol w:w="1080"/>
        <w:gridCol w:w="9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58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8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2024年中央医疗服务与保障能力提升（公立医院综合改革）补助资金</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105.75</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105.75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2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为切实深化公立医院综合改革，建立健全现代医院管理制度，推进医院信息化建设，协调推进医疗价格、人事薪酬、药品物流、医保支付改革，提高医疗卫生服务质量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5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3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公立医院平均住院日</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公立医院医疗服务收入（不含药品、耗材、检查、化验收入）占医疗收入的比例</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&gt;=33.50%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公立医院资产负债率</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&lt;=40.40%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公立医院基础建设、设备购置长期负债占总资产的比例</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&lt;=6.57%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公立医院百元医疗收入的医疗支出（不含药品收入）</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&lt;=110元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基层医疗机构诊疗量占总诊疗量比例</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公立医院住院患者满意度</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7"/>
        <w:tblW w:w="94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49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49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2024年中央医疗服务与保障能力提升（医疗卫生机构能力建设）补助资金</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200</w:t>
            </w:r>
            <w:r>
              <w:rPr>
                <w:rFonts w:hint="eastAsia" w:ascii="宋体" w:hAnsi="宋体" w:cs="宋体"/>
                <w:i w:val="0"/>
                <w:iCs w:val="0"/>
                <w:color w:val="000000"/>
                <w:kern w:val="0"/>
                <w:sz w:val="18"/>
                <w:szCs w:val="18"/>
                <w:u w:val="none"/>
                <w:lang w:val="en-US" w:eastAsia="zh-CN" w:bidi="ar"/>
              </w:rPr>
              <w:t>.00</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200</w:t>
            </w:r>
            <w:r>
              <w:rPr>
                <w:rFonts w:hint="eastAsia" w:ascii="宋体" w:hAnsi="宋体" w:cs="宋体"/>
                <w:i w:val="0"/>
                <w:iCs w:val="0"/>
                <w:color w:val="000000"/>
                <w:kern w:val="0"/>
                <w:sz w:val="18"/>
                <w:szCs w:val="18"/>
                <w:u w:val="none"/>
                <w:lang w:val="en-US" w:eastAsia="zh-CN" w:bidi="ar"/>
              </w:rPr>
              <w:t>.00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3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为进一步加强呼图壁县医疗卫生机构能力建设，推动优质医疗资源扩容，持续提升医疗卫生机构服务能力，进一步完善县域医疗卫生服务体系，提高县域就诊率，做好此项资金使用工作。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支持县级公立医院数量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县医院建设重点专科数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建设重点专科患者增长率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项目资金支付及时率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医疗机构能力建设经费成本控制率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县域内就诊率（%）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住院患者满意度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7"/>
        <w:tblW w:w="95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426"/>
        <w:gridCol w:w="654"/>
        <w:gridCol w:w="231"/>
        <w:gridCol w:w="849"/>
        <w:gridCol w:w="351"/>
        <w:gridCol w:w="729"/>
        <w:gridCol w:w="156"/>
        <w:gridCol w:w="924"/>
        <w:gridCol w:w="1080"/>
        <w:gridCol w:w="825"/>
        <w:gridCol w:w="30"/>
        <w:gridCol w:w="15"/>
        <w:gridCol w:w="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05" w:hRule="atLeast"/>
        </w:trPr>
        <w:tc>
          <w:tcPr>
            <w:tcW w:w="9510" w:type="dxa"/>
            <w:gridSpan w:val="1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9510" w:type="dxa"/>
            <w:gridSpan w:val="1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5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59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2024年自治区公共卫生服务（地方公共卫生）补助资金</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魏晓娟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w:t>
            </w:r>
            <w:r>
              <w:rPr>
                <w:rFonts w:hint="eastAsia" w:ascii="宋体" w:hAnsi="宋体" w:cs="宋体"/>
                <w:i w:val="0"/>
                <w:iCs w:val="0"/>
                <w:color w:val="000000"/>
                <w:kern w:val="0"/>
                <w:sz w:val="18"/>
                <w:szCs w:val="18"/>
                <w:u w:val="none"/>
                <w:lang w:val="en-US" w:eastAsia="zh-CN" w:bidi="ar"/>
              </w:rPr>
              <w:t>.00</w:t>
            </w:r>
          </w:p>
        </w:tc>
        <w:tc>
          <w:tcPr>
            <w:tcW w:w="120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7</w:t>
            </w:r>
            <w:r>
              <w:rPr>
                <w:rFonts w:hint="eastAsia" w:ascii="宋体" w:hAnsi="宋体" w:cs="宋体"/>
                <w:i w:val="0"/>
                <w:iCs w:val="0"/>
                <w:color w:val="000000"/>
                <w:kern w:val="0"/>
                <w:sz w:val="18"/>
                <w:szCs w:val="18"/>
                <w:u w:val="none"/>
                <w:lang w:val="en-US" w:eastAsia="zh-CN" w:bidi="ar"/>
              </w:rPr>
              <w:t>.00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50" w:type="dxa"/>
            <w:gridSpan w:val="13"/>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按照国家卫生健康监督平台下达“双随机”监督检查任务，开展监督检查，并开展抽样检测，由具备CMA资质的机构出具检测报告，对违法行为进行查处办理。2、开展人间鼠疫宣传、培训、开展动物及人间鼠疫疫情监测，及时动态报告监测信息，及早为动物及人间鼠疫疫情发出预警；开展鼠疫防控应急演练，提高鼠防队伍的应急处置水平和实战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50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20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7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人间鼠疫监测三级监测网络管理人数</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&gt;=5人</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人间鼠疫健康教育与培训次数</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&gt;=5次</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旱獭鼠疫监测数量</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&gt;=120只</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鼠疫应急演练次数</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&gt;=1次</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鼠疫监测指标完成覆盖率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鼠疫疫源地人间、动物间处置率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鼠疫网络直报覆盖率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“双随机”监督检查及时率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项目投资比例</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控制动物间鼠疫、防范人间鼠疫，切实保障全县各族群众生命健康，为圆满完成健康中国2030目标奠定基础，保持乡镇、村人民群众的自然疫源性传染病预防意识和传染病自我保护意识。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提高监测和检测水平；促进鼠疫等自然疫源性疾病预防控制的意识和自我保护意识。</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5"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05" w:hRule="atLeast"/>
        </w:trPr>
        <w:tc>
          <w:tcPr>
            <w:tcW w:w="9465"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9465"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0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59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2024年自治区计划生育服务补助资金</w:t>
            </w:r>
          </w:p>
        </w:tc>
        <w:tc>
          <w:tcPr>
            <w:tcW w:w="18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28.35</w:t>
            </w:r>
          </w:p>
        </w:tc>
        <w:tc>
          <w:tcPr>
            <w:tcW w:w="120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28.35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05" w:type="dxa"/>
            <w:gridSpan w:val="11"/>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提高奖励扶助政策落实力度，带动促进优化生育政策工作思路和方法的转变，建立优化生育政策工作新机制，全面提升我县优化生育政策工作的整体水平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50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20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专干人数</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&lt;=189人</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专干人员发放补助次数</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=4次/年</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出生人口信息登记准确率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&gt;=98%</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补贴发放及时率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96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补助补助</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=125元/人/月</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优化生育服务水平</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60"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领取岗位津贴人员满意率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05" w:hRule="atLeast"/>
        </w:trPr>
        <w:tc>
          <w:tcPr>
            <w:tcW w:w="949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949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3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2024年自治区医疗服务与保障能力提升（卫生健康人才队伍建设）补助资金</w:t>
            </w:r>
          </w:p>
        </w:tc>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36</w:t>
            </w:r>
            <w:r>
              <w:rPr>
                <w:rFonts w:hint="eastAsia" w:ascii="宋体" w:hAnsi="宋体" w:cs="宋体"/>
                <w:i w:val="0"/>
                <w:iCs w:val="0"/>
                <w:color w:val="000000"/>
                <w:kern w:val="0"/>
                <w:sz w:val="18"/>
                <w:szCs w:val="18"/>
                <w:u w:val="none"/>
                <w:lang w:val="en-US" w:eastAsia="zh-CN" w:bidi="ar"/>
              </w:rPr>
              <w:t>.00</w:t>
            </w:r>
          </w:p>
        </w:tc>
        <w:tc>
          <w:tcPr>
            <w:tcW w:w="108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36</w:t>
            </w:r>
            <w:r>
              <w:rPr>
                <w:rFonts w:hint="eastAsia" w:ascii="宋体" w:hAnsi="宋体" w:cs="宋体"/>
                <w:i w:val="0"/>
                <w:iCs w:val="0"/>
                <w:color w:val="000000"/>
                <w:kern w:val="0"/>
                <w:sz w:val="18"/>
                <w:szCs w:val="18"/>
                <w:u w:val="none"/>
                <w:lang w:val="en-US" w:eastAsia="zh-CN" w:bidi="ar"/>
              </w:rPr>
              <w:t>.00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35" w:type="dxa"/>
            <w:gridSpan w:val="12"/>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为全县58名乡村医生发放自治区财政补助，进一步稳定乡村医生队伍，巩固完善村卫生室基本功能，筑牢农村卫生服务体系。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5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已取得执业助理医师及以上资格的乡村医生人数</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&gt;=25人</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25人</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乡村医生补助发放准确率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向乡村医生及时足额拨付自治区财政补助资金周期</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&gt;=1个月</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1个月</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有执业助理医师及以上资格证书的每月补助标准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=1120元</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1120元</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乡村医生月收入</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&gt;=800元</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800元</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稳定乡村医生队伍</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中长期</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30"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农村居民对乡村医生服务满意度</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&gt;=85%</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&gt;=85%</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525" w:type="dxa"/>
            <w:gridSpan w:val="1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25" w:type="dxa"/>
            <w:gridSpan w:val="1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6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2024年中央彩票公益金支持-宫颈癌检查及失能老人健康评估项目</w:t>
            </w:r>
          </w:p>
        </w:tc>
        <w:tc>
          <w:tcPr>
            <w:tcW w:w="21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12.8</w:t>
            </w:r>
            <w:r>
              <w:rPr>
                <w:rFonts w:hint="eastAsia" w:ascii="宋体" w:hAnsi="宋体" w:cs="宋体"/>
                <w:i w:val="0"/>
                <w:iCs w:val="0"/>
                <w:color w:val="000000"/>
                <w:kern w:val="0"/>
                <w:sz w:val="18"/>
                <w:szCs w:val="18"/>
                <w:u w:val="none"/>
                <w:lang w:val="en-US" w:eastAsia="zh-CN" w:bidi="ar"/>
              </w:rPr>
              <w:t>0</w:t>
            </w:r>
          </w:p>
        </w:tc>
        <w:tc>
          <w:tcPr>
            <w:tcW w:w="108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12.8</w:t>
            </w:r>
            <w:r>
              <w:rPr>
                <w:rFonts w:hint="eastAsia" w:ascii="宋体" w:hAnsi="宋体" w:cs="宋体"/>
                <w:i w:val="0"/>
                <w:iCs w:val="0"/>
                <w:color w:val="000000"/>
                <w:kern w:val="0"/>
                <w:sz w:val="18"/>
                <w:szCs w:val="18"/>
                <w:u w:val="none"/>
                <w:lang w:val="en-US" w:eastAsia="zh-CN" w:bidi="ar"/>
              </w:rPr>
              <w:t>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65"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1.为项目点辖区65岁及以上居家失能老年人开展健康评估与健康服务，改善失能老年人的生活质量。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2.逐步提高全县妇女整体健康水平，宫颈癌防治知识知晓率不断提高，促进基层逐步建立制度化、规范化的宫颈癌防治长效机制。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完成适龄妇女宫颈癌检查人数</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&gt;=1000人</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65岁以上老年人健康服务人数</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&gt;=382人</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385</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开展业务指导次数</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开展业务指导完成率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宫颈癌的早期诊断率</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支出成本</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&lt;=12.80万元</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老年人健康服务水平</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妇幼健康服务水平</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受益老人满意度</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tbl>
      <w:tblPr>
        <w:tblStyle w:val="7"/>
        <w:tblW w:w="96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6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6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第六批自治区预算内投资（350）雀儿沟卫生院搬迁项目</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30</w:t>
            </w:r>
            <w:r>
              <w:rPr>
                <w:rFonts w:hint="eastAsia" w:ascii="宋体" w:hAnsi="宋体" w:cs="宋体"/>
                <w:i w:val="0"/>
                <w:iCs w:val="0"/>
                <w:color w:val="000000"/>
                <w:kern w:val="0"/>
                <w:sz w:val="18"/>
                <w:szCs w:val="18"/>
                <w:u w:val="none"/>
                <w:lang w:val="en-US" w:eastAsia="zh-CN" w:bidi="ar"/>
              </w:rPr>
              <w:t>.00</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30</w:t>
            </w:r>
            <w:r>
              <w:rPr>
                <w:rFonts w:hint="eastAsia" w:ascii="宋体" w:hAnsi="宋体" w:cs="宋体"/>
                <w:i w:val="0"/>
                <w:iCs w:val="0"/>
                <w:color w:val="000000"/>
                <w:kern w:val="0"/>
                <w:sz w:val="18"/>
                <w:szCs w:val="18"/>
                <w:u w:val="none"/>
                <w:lang w:val="en-US" w:eastAsia="zh-CN" w:bidi="ar"/>
              </w:rPr>
              <w:t>.00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0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业务用房2000平方米（急诊室、内科、外科、儿科、妇科、药房、预防保健、中医理疗、检验、放射、B超、住院等），业务配套附属用房500平方米（污水处理、医疗垃圾暂存点、预检分诊、门卫室、食堂等），院内绿化硬化院墙等前期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项目总建设面积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=2766.49平方米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项目总工期</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项目前期费用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&lt;=30万元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提高农牧民群众医疗服务质量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改善医务人员工作环境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逐步改善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农牧民群众满意度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7"/>
        <w:tblW w:w="95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5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8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污水处理设备欠款（分期付款）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41.02</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8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完成2017年疾控中心、妇计中心、园户村卫生院污水处理设备采购及安装欠款分期支付。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欠款归还单位数量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污水处理设备完好率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污水处理率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污水处理设备验收及时率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污水处理达标率（%）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7"/>
        <w:tblW w:w="95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5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疫情防控补助资金</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1346.16</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1346.16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6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完成包括医疗机构工作人员在内的八类重点人群新冠肺炎病毒核酸检测工作，及社会群众的新冠肺炎病毒核酸检测工作。完成新冠疫苗接种任务。完成以新冠肺炎为主的病毒性传染病监测任务。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核酸检测点数量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&gt;=30个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检测结果准确率（%）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环境采样覆盖率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检测结果处理的及时性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项目投资比例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有效控制疫情扩散范围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ind w:left="0" w:leftChars="0" w:firstLine="0" w:firstLineChars="0"/>
        <w:rPr>
          <w:rFonts w:hint="eastAsia" w:ascii="楷体_GB2312" w:hAnsi="宋体" w:eastAsia="楷体_GB2312" w:cs="宋体"/>
          <w:b/>
          <w:kern w:val="0"/>
          <w:sz w:val="32"/>
          <w:szCs w:val="32"/>
          <w:highlight w:val="none"/>
        </w:rPr>
      </w:pPr>
    </w:p>
    <w:p>
      <w:pPr>
        <w:pStyle w:val="2"/>
        <w:ind w:left="0" w:leftChars="0" w:firstLine="0" w:firstLineChars="0"/>
        <w:rPr>
          <w:rFonts w:hint="eastAsia" w:ascii="楷体_GB2312" w:hAnsi="宋体" w:eastAsia="楷体_GB2312" w:cs="宋体"/>
          <w:b/>
          <w:kern w:val="0"/>
          <w:sz w:val="32"/>
          <w:szCs w:val="32"/>
          <w:highlight w:val="none"/>
        </w:rPr>
      </w:pPr>
    </w:p>
    <w:p>
      <w:pPr>
        <w:pStyle w:val="2"/>
        <w:ind w:left="0" w:leftChars="0" w:firstLine="0" w:firstLineChars="0"/>
        <w:rPr>
          <w:rFonts w:hint="eastAsia" w:ascii="楷体_GB2312" w:hAnsi="宋体" w:eastAsia="楷体_GB2312" w:cs="宋体"/>
          <w:b/>
          <w:kern w:val="0"/>
          <w:sz w:val="32"/>
          <w:szCs w:val="32"/>
          <w:highlight w:val="none"/>
        </w:rPr>
      </w:pPr>
    </w:p>
    <w:p>
      <w:pPr>
        <w:pStyle w:val="2"/>
        <w:ind w:left="0" w:leftChars="0" w:firstLine="0" w:firstLineChars="0"/>
        <w:rPr>
          <w:rFonts w:hint="eastAsia" w:ascii="楷体_GB2312" w:hAnsi="宋体" w:eastAsia="楷体_GB2312" w:cs="宋体"/>
          <w:b/>
          <w:kern w:val="0"/>
          <w:sz w:val="32"/>
          <w:szCs w:val="32"/>
          <w:highlight w:val="none"/>
        </w:rPr>
      </w:pPr>
    </w:p>
    <w:p>
      <w:pPr>
        <w:pStyle w:val="2"/>
        <w:ind w:left="0" w:leftChars="0" w:firstLine="0" w:firstLineChars="0"/>
        <w:rPr>
          <w:rFonts w:hint="eastAsia" w:ascii="楷体_GB2312" w:hAnsi="宋体" w:eastAsia="楷体_GB2312" w:cs="宋体"/>
          <w:b/>
          <w:kern w:val="0"/>
          <w:sz w:val="32"/>
          <w:szCs w:val="32"/>
          <w:highlight w:val="none"/>
        </w:rPr>
      </w:pPr>
    </w:p>
    <w:tbl>
      <w:tblPr>
        <w:tblStyle w:val="7"/>
        <w:tblW w:w="95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855"/>
        <w:gridCol w:w="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05" w:hRule="atLeast"/>
        </w:trPr>
        <w:tc>
          <w:tcPr>
            <w:tcW w:w="949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949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重大传染病防控经费</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魏晓娟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153.13</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3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1.以乡（镇）为单位适龄儿童免疫规划疫苗接种率达标，继续保持无脊髓灰质炎状态，进一步控制和降低疫苗针对传染病的发病。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2.开展人群查病及犬驱虫管理等，努力做好包虫病防治工作。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3.围绕全区艾滋病防治综合措施的实施与关键指标的落实，扩大HIV检测，保持疫情稳定。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4.开展重大慢性病早期筛查干预项目，落实慢性病及其相关危险因素监测。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5.提升结核病防治工作质量，聚焦精准诊断、精准报告、全程规范诊疗、提高治愈率。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6.持续开展重点传染病及健康危害因素监测项。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结核病防治工作覆盖乡镇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肺结核患者治疗任务完成率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肺结核患者成功治疗率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病原学阳性肺结核患者耐药筛查率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报告肺结核患者和疑似患者的总体到位率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0" w:type="dxa"/>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55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5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自治区医务人员临时性工作补助（第一批，第二批）</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58.17</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58.17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95" w:type="dxa"/>
            <w:gridSpan w:val="8"/>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用于2022年12月7日至2023年3月31日期间按规定发放医务人员临时性工作补助。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临时补助累计发放人数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&lt;=53人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补助资金发放准确率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临时补助发放周期</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=12月</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临时补助发放金额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&lt;=58.17万元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提高医务人员稳定性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提高医务人员工作积极性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发放对象满意度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2"/>
        <w:ind w:left="0" w:leftChars="0" w:firstLine="0" w:firstLineChars="0"/>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EE2224"/>
    <w:rsid w:val="01AB329B"/>
    <w:rsid w:val="04267B2D"/>
    <w:rsid w:val="05397FD9"/>
    <w:rsid w:val="070E6657"/>
    <w:rsid w:val="07366CE5"/>
    <w:rsid w:val="08450B28"/>
    <w:rsid w:val="08BE71DD"/>
    <w:rsid w:val="09311519"/>
    <w:rsid w:val="0B247F12"/>
    <w:rsid w:val="0CC16DFD"/>
    <w:rsid w:val="0D6E5FD0"/>
    <w:rsid w:val="0E9208E7"/>
    <w:rsid w:val="0F1D7933"/>
    <w:rsid w:val="0F69596F"/>
    <w:rsid w:val="10587512"/>
    <w:rsid w:val="10916BDA"/>
    <w:rsid w:val="131B0366"/>
    <w:rsid w:val="155245EE"/>
    <w:rsid w:val="1697741D"/>
    <w:rsid w:val="1732414C"/>
    <w:rsid w:val="1BEB54C3"/>
    <w:rsid w:val="1C3C6084"/>
    <w:rsid w:val="1C70496A"/>
    <w:rsid w:val="1CEB6DC6"/>
    <w:rsid w:val="1D161C95"/>
    <w:rsid w:val="1D3E1AFE"/>
    <w:rsid w:val="1EB61656"/>
    <w:rsid w:val="20DD55C0"/>
    <w:rsid w:val="217334DC"/>
    <w:rsid w:val="22DB78DD"/>
    <w:rsid w:val="244D65B8"/>
    <w:rsid w:val="2492221D"/>
    <w:rsid w:val="25062ADA"/>
    <w:rsid w:val="25570FB0"/>
    <w:rsid w:val="26B4291F"/>
    <w:rsid w:val="26E769FA"/>
    <w:rsid w:val="293B2E83"/>
    <w:rsid w:val="29E20C2B"/>
    <w:rsid w:val="2A012DF7"/>
    <w:rsid w:val="2AFC4894"/>
    <w:rsid w:val="2B3C0AF3"/>
    <w:rsid w:val="2C5E74FB"/>
    <w:rsid w:val="2C8527D0"/>
    <w:rsid w:val="2D3D0CA6"/>
    <w:rsid w:val="2D480265"/>
    <w:rsid w:val="2D977453"/>
    <w:rsid w:val="2EF22236"/>
    <w:rsid w:val="30DB53F7"/>
    <w:rsid w:val="30E459C9"/>
    <w:rsid w:val="32FE0B87"/>
    <w:rsid w:val="34AB0E34"/>
    <w:rsid w:val="369E7E0E"/>
    <w:rsid w:val="3AF3289E"/>
    <w:rsid w:val="3EC6120F"/>
    <w:rsid w:val="3F012E72"/>
    <w:rsid w:val="3FDF4D23"/>
    <w:rsid w:val="43C26223"/>
    <w:rsid w:val="43D8307E"/>
    <w:rsid w:val="4658020B"/>
    <w:rsid w:val="46CE3131"/>
    <w:rsid w:val="477259C4"/>
    <w:rsid w:val="47A83D2C"/>
    <w:rsid w:val="47FE3C82"/>
    <w:rsid w:val="494F7907"/>
    <w:rsid w:val="499579C4"/>
    <w:rsid w:val="4C0055E5"/>
    <w:rsid w:val="4C3677AE"/>
    <w:rsid w:val="4C706B3A"/>
    <w:rsid w:val="4E237B67"/>
    <w:rsid w:val="4EEA11D1"/>
    <w:rsid w:val="4FFA76CE"/>
    <w:rsid w:val="509C52C9"/>
    <w:rsid w:val="51C15CED"/>
    <w:rsid w:val="52285DEB"/>
    <w:rsid w:val="52AD62F0"/>
    <w:rsid w:val="53C40A63"/>
    <w:rsid w:val="546308FE"/>
    <w:rsid w:val="559F6609"/>
    <w:rsid w:val="55B025BD"/>
    <w:rsid w:val="57180030"/>
    <w:rsid w:val="58A60397"/>
    <w:rsid w:val="5A962068"/>
    <w:rsid w:val="5D9F65A8"/>
    <w:rsid w:val="5E12149B"/>
    <w:rsid w:val="5E211E11"/>
    <w:rsid w:val="5F2346ED"/>
    <w:rsid w:val="60100193"/>
    <w:rsid w:val="61086613"/>
    <w:rsid w:val="6113278F"/>
    <w:rsid w:val="62FF11E8"/>
    <w:rsid w:val="6408782B"/>
    <w:rsid w:val="64B83C13"/>
    <w:rsid w:val="65322CBF"/>
    <w:rsid w:val="66D10836"/>
    <w:rsid w:val="67265C45"/>
    <w:rsid w:val="68CC52CB"/>
    <w:rsid w:val="68DE4FFE"/>
    <w:rsid w:val="69254B35"/>
    <w:rsid w:val="694B58D7"/>
    <w:rsid w:val="69CE4E15"/>
    <w:rsid w:val="6B230861"/>
    <w:rsid w:val="6B7F3246"/>
    <w:rsid w:val="6D1A41A2"/>
    <w:rsid w:val="6DC9533D"/>
    <w:rsid w:val="6E4C36CF"/>
    <w:rsid w:val="6EF07839"/>
    <w:rsid w:val="6F4B1F5A"/>
    <w:rsid w:val="6F63000B"/>
    <w:rsid w:val="706C483A"/>
    <w:rsid w:val="72B56DCF"/>
    <w:rsid w:val="748E3B32"/>
    <w:rsid w:val="75B570E6"/>
    <w:rsid w:val="75CB4DF2"/>
    <w:rsid w:val="771C3E1B"/>
    <w:rsid w:val="780A1873"/>
    <w:rsid w:val="78103D5C"/>
    <w:rsid w:val="787A3EB6"/>
    <w:rsid w:val="787D11B8"/>
    <w:rsid w:val="78F624FD"/>
    <w:rsid w:val="792C5912"/>
    <w:rsid w:val="792D7C59"/>
    <w:rsid w:val="7B51019F"/>
    <w:rsid w:val="7B77597B"/>
    <w:rsid w:val="7DEA4FE6"/>
    <w:rsid w:val="7E8B30DA"/>
    <w:rsid w:val="7F5E2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character" w:customStyle="1" w:styleId="12">
    <w:name w:val="font31"/>
    <w:basedOn w:val="9"/>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2024-07-16T06:01:15Z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690AEB393D744C4AA0EF89B78CEBC4FC</vt:lpwstr>
  </property>
</Properties>
</file>