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rPr>
        <w:t>昌吉州青少年示范性综合实践基地</w:t>
      </w:r>
      <w:r>
        <w:rPr>
          <w:rFonts w:hint="eastAsia" w:ascii="方正小标宋_GBK" w:hAnsi="宋体" w:eastAsia="方正小标宋_GBK"/>
          <w:color w:val="auto"/>
          <w:kern w:val="0"/>
          <w:sz w:val="44"/>
          <w:szCs w:val="44"/>
          <w:lang w:val="en-US" w:eastAsia="zh-CN"/>
        </w:rPr>
        <w:t>服务</w:t>
      </w:r>
      <w:r>
        <w:rPr>
          <w:rFonts w:hint="eastAsia" w:ascii="方正小标宋_GBK" w:hAnsi="宋体" w:eastAsia="方正小标宋_GBK"/>
          <w:color w:val="auto"/>
          <w:kern w:val="0"/>
          <w:sz w:val="44"/>
          <w:szCs w:val="44"/>
        </w:rPr>
        <w:t>中心</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2024年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宋体" w:eastAsia="仿宋_GB2312"/>
          <w:b/>
          <w:color w:val="auto"/>
          <w:kern w:val="0"/>
          <w:sz w:val="32"/>
          <w:szCs w:val="32"/>
        </w:rPr>
        <w:t>昌吉州青少年示范性综合实践基地</w:t>
      </w:r>
      <w:r>
        <w:rPr>
          <w:rFonts w:hint="eastAsia" w:ascii="仿宋_GB2312" w:hAnsi="宋体" w:eastAsia="仿宋_GB2312"/>
          <w:b/>
          <w:color w:val="auto"/>
          <w:kern w:val="0"/>
          <w:sz w:val="32"/>
          <w:szCs w:val="32"/>
          <w:lang w:val="en-US" w:eastAsia="zh-CN"/>
        </w:rPr>
        <w:t>服务</w:t>
      </w:r>
      <w:r>
        <w:rPr>
          <w:rFonts w:hint="eastAsia" w:ascii="仿宋_GB2312" w:hAnsi="宋体" w:eastAsia="仿宋_GB2312"/>
          <w:b/>
          <w:color w:val="auto"/>
          <w:kern w:val="0"/>
          <w:sz w:val="32"/>
          <w:szCs w:val="32"/>
        </w:rPr>
        <w:t>中心</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宋体" w:eastAsia="仿宋_GB2312"/>
          <w:b/>
          <w:color w:val="auto"/>
          <w:kern w:val="0"/>
          <w:sz w:val="32"/>
          <w:szCs w:val="32"/>
        </w:rPr>
        <w:t>昌吉州青少年示范性综合实践基地</w:t>
      </w:r>
      <w:r>
        <w:rPr>
          <w:rFonts w:hint="eastAsia" w:ascii="仿宋_GB2312" w:hAnsi="宋体" w:eastAsia="仿宋_GB2312"/>
          <w:b/>
          <w:color w:val="auto"/>
          <w:kern w:val="0"/>
          <w:sz w:val="32"/>
          <w:szCs w:val="32"/>
          <w:lang w:val="en-US" w:eastAsia="zh-CN"/>
        </w:rPr>
        <w:t>服务</w:t>
      </w:r>
      <w:r>
        <w:rPr>
          <w:rFonts w:hint="eastAsia" w:ascii="仿宋_GB2312" w:hAnsi="宋体" w:eastAsia="仿宋_GB2312"/>
          <w:b/>
          <w:color w:val="auto"/>
          <w:kern w:val="0"/>
          <w:sz w:val="32"/>
          <w:szCs w:val="32"/>
        </w:rPr>
        <w:t>中心</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宋体" w:eastAsia="仿宋_GB2312"/>
          <w:b/>
          <w:color w:val="auto"/>
          <w:kern w:val="0"/>
          <w:sz w:val="32"/>
          <w:szCs w:val="32"/>
        </w:rPr>
        <w:t>昌吉州青少年示范性综合实践基地</w:t>
      </w:r>
      <w:r>
        <w:rPr>
          <w:rFonts w:hint="eastAsia" w:ascii="仿宋_GB2312" w:hAnsi="宋体" w:eastAsia="仿宋_GB2312"/>
          <w:b/>
          <w:color w:val="auto"/>
          <w:kern w:val="0"/>
          <w:sz w:val="32"/>
          <w:szCs w:val="32"/>
          <w:lang w:val="en-US" w:eastAsia="zh-CN"/>
        </w:rPr>
        <w:t>服务</w:t>
      </w:r>
      <w:r>
        <w:rPr>
          <w:rFonts w:hint="eastAsia" w:ascii="仿宋_GB2312" w:hAnsi="宋体" w:eastAsia="仿宋_GB2312"/>
          <w:b/>
          <w:color w:val="auto"/>
          <w:kern w:val="0"/>
          <w:sz w:val="32"/>
          <w:szCs w:val="32"/>
        </w:rPr>
        <w:t>中心</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rPr>
        <w:t>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第一部</w:t>
      </w:r>
      <w:r>
        <w:rPr>
          <w:rFonts w:hint="eastAsia" w:ascii="黑体" w:hAnsi="黑体" w:eastAsia="黑体"/>
          <w:color w:val="auto"/>
          <w:kern w:val="0"/>
          <w:sz w:val="32"/>
          <w:szCs w:val="32"/>
          <w:highlight w:val="none"/>
          <w:lang w:val="en-US" w:eastAsia="zh-CN"/>
        </w:rPr>
        <w:t xml:space="preserve">分  </w:t>
      </w:r>
      <w:r>
        <w:rPr>
          <w:rFonts w:hint="eastAsia" w:ascii="黑体" w:hAnsi="黑体" w:eastAsia="黑体"/>
          <w:color w:val="auto"/>
          <w:kern w:val="0"/>
          <w:sz w:val="32"/>
          <w:szCs w:val="32"/>
          <w:highlight w:val="none"/>
          <w:lang w:eastAsia="zh-CN"/>
        </w:rPr>
        <w:t>2024年昌吉州青少年示范性综合实践基地</w:t>
      </w:r>
      <w:r>
        <w:rPr>
          <w:rFonts w:hint="eastAsia" w:ascii="黑体" w:hAnsi="黑体" w:eastAsia="黑体"/>
          <w:color w:val="auto"/>
          <w:kern w:val="0"/>
          <w:sz w:val="32"/>
          <w:szCs w:val="32"/>
          <w:highlight w:val="none"/>
          <w:lang w:val="en-US" w:eastAsia="zh-CN"/>
        </w:rPr>
        <w:t>服务</w:t>
      </w:r>
      <w:r>
        <w:rPr>
          <w:rFonts w:hint="eastAsia" w:ascii="黑体" w:hAnsi="黑体" w:eastAsia="黑体"/>
          <w:color w:val="auto"/>
          <w:kern w:val="0"/>
          <w:sz w:val="32"/>
          <w:szCs w:val="32"/>
          <w:highlight w:val="none"/>
          <w:lang w:eastAsia="zh-CN"/>
        </w:rPr>
        <w:t>中心</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_GB2312"/>
          <w:color w:val="auto"/>
          <w:kern w:val="0"/>
          <w:sz w:val="32"/>
          <w:szCs w:val="32"/>
          <w:shd w:val="clear" w:color="auto" w:fill="FFFFFF"/>
          <w:lang w:bidi="ar"/>
        </w:rPr>
      </w:pPr>
      <w:r>
        <w:rPr>
          <w:rFonts w:hint="eastAsia" w:ascii="仿宋" w:hAnsi="仿宋" w:eastAsia="仿宋" w:cs="仿宋"/>
          <w:bCs/>
          <w:color w:val="auto"/>
          <w:sz w:val="32"/>
          <w:szCs w:val="32"/>
        </w:rPr>
        <w:t>1、</w:t>
      </w:r>
      <w:r>
        <w:rPr>
          <w:rFonts w:hint="eastAsia" w:ascii="仿宋" w:hAnsi="仿宋" w:eastAsia="仿宋" w:cs="仿宋_GB2312"/>
          <w:color w:val="auto"/>
          <w:kern w:val="0"/>
          <w:sz w:val="32"/>
          <w:szCs w:val="32"/>
          <w:shd w:val="clear" w:color="auto" w:fill="FFFFFF"/>
          <w:lang w:bidi="ar"/>
        </w:rPr>
        <w:t>负责昌吉州、呼图壁周边县市小学综合实践活动的组织、协调和服务保障工作；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_GB2312"/>
          <w:color w:val="auto"/>
          <w:kern w:val="0"/>
          <w:sz w:val="32"/>
          <w:szCs w:val="32"/>
          <w:shd w:val="clear" w:color="auto" w:fill="FFFFFF"/>
          <w:lang w:bidi="ar"/>
        </w:rPr>
      </w:pPr>
      <w:r>
        <w:rPr>
          <w:rFonts w:hint="eastAsia" w:ascii="仿宋" w:hAnsi="仿宋" w:eastAsia="仿宋" w:cs="仿宋_GB2312"/>
          <w:color w:val="auto"/>
          <w:kern w:val="0"/>
          <w:sz w:val="32"/>
          <w:szCs w:val="32"/>
          <w:shd w:val="clear" w:color="auto" w:fill="FFFFFF"/>
          <w:lang w:val="en-US" w:eastAsia="zh-CN" w:bidi="ar"/>
        </w:rPr>
        <w:t xml:space="preserve">2、 </w:t>
      </w:r>
      <w:r>
        <w:rPr>
          <w:rFonts w:hint="eastAsia" w:ascii="仿宋" w:hAnsi="仿宋" w:eastAsia="仿宋" w:cs="仿宋_GB2312"/>
          <w:color w:val="auto"/>
          <w:kern w:val="0"/>
          <w:sz w:val="32"/>
          <w:szCs w:val="32"/>
          <w:shd w:val="clear" w:color="auto" w:fill="FFFFFF"/>
          <w:lang w:bidi="ar"/>
        </w:rPr>
        <w:t>开展学工、学农、学军、科普和技术创新教育、生命安全教育、环保和可持续发展教育等综合实践教育活动；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_GB2312"/>
          <w:color w:val="auto"/>
          <w:kern w:val="0"/>
          <w:sz w:val="32"/>
          <w:szCs w:val="32"/>
          <w:shd w:val="clear" w:color="auto" w:fill="FFFFFF"/>
          <w:lang w:bidi="ar"/>
        </w:rPr>
      </w:pPr>
      <w:r>
        <w:rPr>
          <w:rFonts w:hint="eastAsia" w:ascii="仿宋" w:hAnsi="仿宋" w:eastAsia="仿宋" w:cs="仿宋_GB2312"/>
          <w:color w:val="auto"/>
          <w:kern w:val="0"/>
          <w:sz w:val="32"/>
          <w:szCs w:val="32"/>
          <w:shd w:val="clear" w:color="auto" w:fill="FFFFFF"/>
          <w:lang w:val="en-US" w:eastAsia="zh-CN" w:bidi="ar"/>
        </w:rPr>
        <w:t>3、</w:t>
      </w:r>
      <w:r>
        <w:rPr>
          <w:rFonts w:hint="eastAsia" w:ascii="仿宋" w:hAnsi="仿宋" w:eastAsia="仿宋" w:cs="仿宋_GB2312"/>
          <w:color w:val="auto"/>
          <w:kern w:val="0"/>
          <w:sz w:val="32"/>
          <w:szCs w:val="32"/>
          <w:shd w:val="clear" w:color="auto" w:fill="FFFFFF"/>
          <w:lang w:bidi="ar"/>
        </w:rPr>
        <w:t>管理和指导呼图壁县和周边县市各中小学开展社会实践活动。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cs="宋体"/>
          <w:bCs/>
          <w:color w:val="auto"/>
          <w:kern w:val="0"/>
          <w:sz w:val="32"/>
          <w:szCs w:val="32"/>
          <w:highlight w:val="none"/>
        </w:rPr>
      </w:pPr>
      <w:r>
        <w:rPr>
          <w:rFonts w:hint="eastAsia" w:ascii="仿宋" w:hAnsi="仿宋" w:eastAsia="仿宋" w:cs="仿宋_GB2312"/>
          <w:color w:val="auto"/>
          <w:kern w:val="0"/>
          <w:sz w:val="32"/>
          <w:szCs w:val="32"/>
          <w:shd w:val="clear" w:color="auto" w:fill="FFFFFF"/>
          <w:lang w:val="en-US" w:eastAsia="zh-CN" w:bidi="ar"/>
        </w:rPr>
        <w:t>4、</w:t>
      </w:r>
      <w:r>
        <w:rPr>
          <w:rFonts w:hint="eastAsia" w:ascii="仿宋" w:hAnsi="仿宋" w:eastAsia="仿宋" w:cs="仿宋_GB2312"/>
          <w:color w:val="auto"/>
          <w:kern w:val="0"/>
          <w:sz w:val="32"/>
          <w:szCs w:val="32"/>
          <w:shd w:val="clear" w:color="auto" w:fill="FFFFFF"/>
          <w:lang w:bidi="ar"/>
        </w:rPr>
        <w:t xml:space="preserve">负责实践课程资源的开发、教材的选定或编写以及活动项目实施规程的制定和实践效果评估等工作。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firstLineChars="200"/>
        <w:jc w:val="left"/>
        <w:rPr>
          <w:rFonts w:hint="eastAsia" w:ascii="仿宋_GB2312" w:hAnsi="宋体" w:eastAsia="仿宋_GB2312" w:cs="宋体"/>
          <w:color w:val="auto"/>
          <w:kern w:val="0"/>
          <w:sz w:val="32"/>
          <w:szCs w:val="32"/>
        </w:rPr>
      </w:pPr>
      <w:r>
        <w:rPr>
          <w:rFonts w:hint="eastAsia" w:ascii="仿宋" w:hAnsi="仿宋" w:eastAsia="仿宋" w:cs="仿宋"/>
          <w:bCs/>
          <w:color w:val="auto"/>
          <w:sz w:val="32"/>
          <w:szCs w:val="32"/>
        </w:rPr>
        <w:t>昌吉州青少年示范性综合实践基地</w:t>
      </w:r>
      <w:r>
        <w:rPr>
          <w:rFonts w:hint="eastAsia" w:ascii="仿宋" w:hAnsi="仿宋" w:eastAsia="仿宋" w:cs="仿宋"/>
          <w:bCs/>
          <w:color w:val="auto"/>
          <w:sz w:val="32"/>
          <w:szCs w:val="32"/>
          <w:lang w:val="en-US" w:eastAsia="zh-CN"/>
        </w:rPr>
        <w:t>服务</w:t>
      </w:r>
      <w:r>
        <w:rPr>
          <w:rFonts w:hint="eastAsia" w:ascii="仿宋" w:hAnsi="仿宋" w:eastAsia="仿宋" w:cs="仿宋"/>
          <w:bCs/>
          <w:color w:val="auto"/>
          <w:sz w:val="32"/>
          <w:szCs w:val="32"/>
        </w:rPr>
        <w:t>中心无下属预算单位，</w:t>
      </w:r>
      <w:r>
        <w:rPr>
          <w:rFonts w:hint="eastAsia" w:ascii="仿宋_GB2312" w:hAnsi="黑体" w:eastAsia="仿宋_GB2312" w:cs="宋体"/>
          <w:bCs/>
          <w:color w:val="auto"/>
          <w:kern w:val="0"/>
          <w:sz w:val="32"/>
          <w:szCs w:val="32"/>
        </w:rPr>
        <w:t>下设</w:t>
      </w:r>
      <w:r>
        <w:rPr>
          <w:rFonts w:hint="eastAsia" w:ascii="仿宋_GB2312" w:hAnsi="黑体" w:eastAsia="仿宋_GB2312" w:cs="宋体"/>
          <w:bCs/>
          <w:color w:val="auto"/>
          <w:kern w:val="0"/>
          <w:sz w:val="32"/>
          <w:szCs w:val="32"/>
          <w:lang w:val="en-US" w:eastAsia="zh-CN"/>
        </w:rPr>
        <w:t>4</w:t>
      </w:r>
      <w:r>
        <w:rPr>
          <w:rFonts w:hint="eastAsia" w:ascii="仿宋_GB2312" w:hAnsi="黑体" w:eastAsia="仿宋_GB2312" w:cs="宋体"/>
          <w:bCs/>
          <w:color w:val="auto"/>
          <w:kern w:val="0"/>
          <w:sz w:val="32"/>
          <w:szCs w:val="32"/>
        </w:rPr>
        <w:t>个处室，分别是：</w:t>
      </w:r>
      <w:r>
        <w:rPr>
          <w:rFonts w:hint="eastAsia" w:ascii="仿宋_GB2312" w:hAnsi="宋体" w:eastAsia="仿宋_GB2312" w:cs="宋体"/>
          <w:color w:val="auto"/>
          <w:kern w:val="0"/>
          <w:sz w:val="32"/>
          <w:szCs w:val="32"/>
        </w:rPr>
        <w:t>综合办公</w:t>
      </w:r>
      <w:r>
        <w:rPr>
          <w:rFonts w:hint="eastAsia" w:ascii="仿宋_GB2312" w:hAnsi="宋体" w:eastAsia="仿宋_GB2312" w:cs="宋体"/>
          <w:color w:val="auto"/>
          <w:kern w:val="0"/>
          <w:sz w:val="32"/>
          <w:szCs w:val="32"/>
          <w:lang w:eastAsia="zh-CN"/>
        </w:rPr>
        <w:t>室、教务处、</w:t>
      </w:r>
      <w:r>
        <w:rPr>
          <w:rFonts w:hint="eastAsia" w:ascii="仿宋_GB2312" w:hAnsi="宋体" w:eastAsia="仿宋_GB2312" w:cs="宋体"/>
          <w:color w:val="auto"/>
          <w:kern w:val="0"/>
          <w:sz w:val="32"/>
          <w:szCs w:val="32"/>
        </w:rPr>
        <w:t>总务室、</w:t>
      </w:r>
      <w:r>
        <w:rPr>
          <w:rFonts w:hint="eastAsia" w:ascii="仿宋_GB2312" w:hAnsi="宋体" w:eastAsia="仿宋_GB2312" w:cs="宋体"/>
          <w:color w:val="auto"/>
          <w:kern w:val="0"/>
          <w:sz w:val="32"/>
          <w:szCs w:val="32"/>
          <w:lang w:val="en-US" w:eastAsia="zh-CN"/>
        </w:rPr>
        <w:t>安全办</w:t>
      </w:r>
      <w:r>
        <w:rPr>
          <w:rFonts w:hint="eastAsia" w:ascii="仿宋_GB2312" w:hAnsi="宋体" w:eastAsia="仿宋_GB2312" w:cs="宋体"/>
          <w:color w:val="auto"/>
          <w:kern w:val="0"/>
          <w:sz w:val="32"/>
          <w:szCs w:val="32"/>
        </w:rPr>
        <w:t>。</w:t>
      </w:r>
    </w:p>
    <w:p>
      <w:pPr>
        <w:widowControl/>
        <w:spacing w:line="560" w:lineRule="exact"/>
        <w:ind w:firstLine="640" w:firstLineChars="200"/>
        <w:jc w:val="left"/>
        <w:rPr>
          <w:rFonts w:hint="eastAsia"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lang w:val="en-US" w:eastAsia="zh-CN"/>
        </w:rPr>
        <w:t>单位</w:t>
      </w:r>
      <w:r>
        <w:rPr>
          <w:rFonts w:hint="eastAsia" w:ascii="仿宋_GB2312" w:hAnsi="黑体" w:eastAsia="仿宋_GB2312" w:cs="宋体"/>
          <w:bCs/>
          <w:color w:val="auto"/>
          <w:kern w:val="0"/>
          <w:sz w:val="32"/>
          <w:szCs w:val="32"/>
        </w:rPr>
        <w:t>编制数</w:t>
      </w:r>
      <w:r>
        <w:rPr>
          <w:rFonts w:hint="eastAsia" w:ascii="仿宋_GB2312" w:hAnsi="黑体" w:eastAsia="仿宋_GB2312" w:cs="宋体"/>
          <w:bCs/>
          <w:color w:val="auto"/>
          <w:kern w:val="0"/>
          <w:sz w:val="32"/>
          <w:szCs w:val="32"/>
          <w:lang w:val="en-US" w:eastAsia="zh-CN"/>
        </w:rPr>
        <w:t>7</w:t>
      </w:r>
      <w:r>
        <w:rPr>
          <w:rFonts w:hint="eastAsia" w:ascii="仿宋_GB2312" w:hAnsi="黑体" w:eastAsia="仿宋_GB2312" w:cs="宋体"/>
          <w:bCs/>
          <w:color w:val="auto"/>
          <w:kern w:val="0"/>
          <w:sz w:val="32"/>
          <w:szCs w:val="32"/>
        </w:rPr>
        <w:t>人，实有人数</w:t>
      </w:r>
      <w:r>
        <w:rPr>
          <w:rFonts w:hint="eastAsia" w:ascii="仿宋_GB2312" w:hAnsi="黑体" w:eastAsia="仿宋_GB2312" w:cs="宋体"/>
          <w:bCs/>
          <w:color w:val="auto"/>
          <w:kern w:val="0"/>
          <w:sz w:val="32"/>
          <w:szCs w:val="32"/>
          <w:lang w:val="en-US" w:eastAsia="zh-CN"/>
        </w:rPr>
        <w:t>7</w:t>
      </w:r>
      <w:r>
        <w:rPr>
          <w:rFonts w:hint="eastAsia" w:ascii="仿宋_GB2312" w:hAnsi="黑体" w:eastAsia="仿宋_GB2312" w:cs="宋体"/>
          <w:bCs/>
          <w:color w:val="auto"/>
          <w:kern w:val="0"/>
          <w:sz w:val="32"/>
          <w:szCs w:val="32"/>
        </w:rPr>
        <w:t>人，其中：在职</w:t>
      </w:r>
      <w:r>
        <w:rPr>
          <w:rFonts w:hint="eastAsia" w:ascii="仿宋_GB2312" w:hAnsi="黑体" w:eastAsia="仿宋_GB2312" w:cs="宋体"/>
          <w:bCs/>
          <w:color w:val="auto"/>
          <w:kern w:val="0"/>
          <w:sz w:val="32"/>
          <w:szCs w:val="32"/>
          <w:lang w:val="en-US" w:eastAsia="zh-CN"/>
        </w:rPr>
        <w:t>7</w:t>
      </w:r>
      <w:r>
        <w:rPr>
          <w:rFonts w:hint="eastAsia" w:ascii="仿宋_GB2312" w:hAnsi="黑体" w:eastAsia="仿宋_GB2312" w:cs="宋体"/>
          <w:bCs/>
          <w:color w:val="auto"/>
          <w:kern w:val="0"/>
          <w:sz w:val="32"/>
          <w:szCs w:val="32"/>
        </w:rPr>
        <w:t>人，增加0人；离休0人，增加0人。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page"/>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rPr>
        <w:t>编制单位：</w:t>
      </w:r>
      <w:r>
        <w:rPr>
          <w:rFonts w:hint="eastAsia" w:ascii="仿宋_GB2312" w:hAnsi="宋体" w:eastAsia="仿宋_GB2312" w:cs="宋体"/>
          <w:color w:val="auto"/>
          <w:kern w:val="0"/>
          <w:sz w:val="24"/>
        </w:rPr>
        <w:t>昌吉州青少年示范性综合实践基地</w:t>
      </w:r>
      <w:r>
        <w:rPr>
          <w:rFonts w:hint="eastAsia" w:ascii="仿宋_GB2312" w:hAnsi="宋体" w:eastAsia="仿宋_GB2312" w:cs="宋体"/>
          <w:color w:val="auto"/>
          <w:kern w:val="0"/>
          <w:sz w:val="24"/>
          <w:lang w:val="en-US" w:eastAsia="zh-CN"/>
        </w:rPr>
        <w:t>服务</w:t>
      </w:r>
      <w:r>
        <w:rPr>
          <w:rFonts w:hint="eastAsia" w:ascii="仿宋_GB2312" w:hAnsi="宋体" w:eastAsia="仿宋_GB2312" w:cs="宋体"/>
          <w:color w:val="auto"/>
          <w:kern w:val="0"/>
          <w:sz w:val="24"/>
        </w:rPr>
        <w:t>中心</w:t>
      </w:r>
      <w:r>
        <w:rPr>
          <w:rFonts w:hint="eastAsia" w:ascii="仿宋_GB2312" w:hAnsi="宋体" w:eastAsia="仿宋_GB2312"/>
          <w:color w:val="auto"/>
          <w:kern w:val="0"/>
          <w:sz w:val="24"/>
        </w:rPr>
        <w:t xml:space="preserve">       </w:t>
      </w:r>
      <w:r>
        <w:rPr>
          <w:rFonts w:hint="eastAsia" w:ascii="仿宋_GB2312" w:hAnsi="宋体" w:eastAsia="仿宋_GB2312"/>
          <w:color w:val="auto"/>
          <w:kern w:val="0"/>
          <w:sz w:val="24"/>
          <w:lang w:val="en-US" w:eastAsia="zh-CN"/>
        </w:rPr>
        <w:t xml:space="preserve">     </w:t>
      </w:r>
      <w:r>
        <w:rPr>
          <w:rFonts w:hint="eastAsia" w:ascii="仿宋_GB2312" w:hAnsi="宋体" w:eastAsia="仿宋_GB2312"/>
          <w:color w:val="auto"/>
          <w:kern w:val="0"/>
          <w:sz w:val="24"/>
        </w:rPr>
        <w:t>单位：万元</w:t>
      </w:r>
    </w:p>
    <w:tbl>
      <w:tblPr>
        <w:tblStyle w:val="5"/>
        <w:tblW w:w="8662" w:type="dxa"/>
        <w:jc w:val="center"/>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jc w:val="center"/>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231.72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143.02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143.02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217.9</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13.82</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88.70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jc w:val="center"/>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231.72</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231.72</w:t>
            </w:r>
            <w:r>
              <w:rPr>
                <w:rFonts w:hint="eastAsia" w:ascii="仿宋_GB2312" w:hAnsi="宋体" w:eastAsia="仿宋_GB2312" w:cs="宋体"/>
                <w:color w:val="auto"/>
                <w:kern w:val="0"/>
                <w:sz w:val="18"/>
                <w:szCs w:val="18"/>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单位收入总体情况表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s="宋体"/>
          <w:color w:val="auto"/>
          <w:kern w:val="0"/>
          <w:sz w:val="24"/>
        </w:rPr>
        <w:t>昌吉州青少年示范性综合实践基地</w:t>
      </w:r>
      <w:r>
        <w:rPr>
          <w:rFonts w:hint="eastAsia" w:ascii="仿宋_GB2312" w:hAnsi="宋体" w:eastAsia="仿宋_GB2312" w:cs="宋体"/>
          <w:color w:val="auto"/>
          <w:kern w:val="0"/>
          <w:sz w:val="24"/>
          <w:lang w:val="en-US" w:eastAsia="zh-CN"/>
        </w:rPr>
        <w:t>服务</w:t>
      </w:r>
      <w:r>
        <w:rPr>
          <w:rFonts w:hint="eastAsia" w:ascii="仿宋_GB2312" w:hAnsi="宋体" w:eastAsia="仿宋_GB2312" w:cs="宋体"/>
          <w:color w:val="auto"/>
          <w:kern w:val="0"/>
          <w:sz w:val="24"/>
        </w:rPr>
        <w:t>中心</w:t>
      </w:r>
      <w:r>
        <w:rPr>
          <w:rFonts w:hint="eastAsia" w:ascii="仿宋_GB2312" w:hAnsi="宋体" w:eastAsia="仿宋_GB2312"/>
          <w:color w:val="auto"/>
          <w:kern w:val="0"/>
          <w:sz w:val="24"/>
        </w:rPr>
        <w:t xml:space="preserve">      </w:t>
      </w:r>
      <w:r>
        <w:rPr>
          <w:rFonts w:hint="eastAsia" w:ascii="仿宋_GB2312" w:hAnsi="宋体" w:eastAsia="仿宋_GB2312"/>
          <w:color w:val="auto"/>
          <w:kern w:val="0"/>
          <w:sz w:val="24"/>
          <w:lang w:val="en-US" w:eastAsia="zh-CN"/>
        </w:rPr>
        <w:t xml:space="preserve">        </w:t>
      </w:r>
      <w:r>
        <w:rPr>
          <w:rFonts w:hint="eastAsia" w:ascii="仿宋_GB2312" w:hAnsi="宋体" w:eastAsia="仿宋_GB2312"/>
          <w:color w:val="auto"/>
          <w:kern w:val="0"/>
          <w:sz w:val="24"/>
        </w:rPr>
        <w:t>单位：万元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5"/>
        <w:tblW w:w="10069" w:type="dxa"/>
        <w:jc w:val="center"/>
        <w:tblLayout w:type="fixed"/>
        <w:tblCellMar>
          <w:top w:w="0" w:type="dxa"/>
          <w:left w:w="108" w:type="dxa"/>
          <w:bottom w:w="0" w:type="dxa"/>
          <w:right w:w="108" w:type="dxa"/>
        </w:tblCellMar>
      </w:tblPr>
      <w:tblGrid>
        <w:gridCol w:w="559"/>
        <w:gridCol w:w="480"/>
        <w:gridCol w:w="435"/>
        <w:gridCol w:w="1371"/>
        <w:gridCol w:w="930"/>
        <w:gridCol w:w="750"/>
        <w:gridCol w:w="975"/>
        <w:gridCol w:w="465"/>
        <w:gridCol w:w="345"/>
        <w:gridCol w:w="420"/>
        <w:gridCol w:w="399"/>
        <w:gridCol w:w="465"/>
        <w:gridCol w:w="540"/>
        <w:gridCol w:w="1101"/>
        <w:gridCol w:w="390"/>
        <w:gridCol w:w="444"/>
      </w:tblGrid>
      <w:tr>
        <w:tblPrEx>
          <w:tblCellMar>
            <w:top w:w="0" w:type="dxa"/>
            <w:left w:w="108" w:type="dxa"/>
            <w:bottom w:w="0" w:type="dxa"/>
            <w:right w:w="108" w:type="dxa"/>
          </w:tblCellMar>
        </w:tblPrEx>
        <w:trPr>
          <w:trHeight w:val="697" w:hRule="atLeast"/>
          <w:jc w:val="center"/>
        </w:trPr>
        <w:tc>
          <w:tcPr>
            <w:tcW w:w="1474"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371" w:type="dxa"/>
            <w:vMerge w:val="restart"/>
            <w:tcBorders>
              <w:top w:val="single" w:color="auto" w:sz="4" w:space="0"/>
              <w:left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30" w:type="dxa"/>
            <w:vMerge w:val="restart"/>
            <w:tcBorders>
              <w:top w:val="single" w:color="auto" w:sz="4" w:space="0"/>
              <w:left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3819"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40" w:type="dxa"/>
            <w:vMerge w:val="restart"/>
            <w:tcBorders>
              <w:top w:val="single" w:color="auto" w:sz="4" w:space="0"/>
              <w:left w:val="single" w:color="auto"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1101" w:type="dxa"/>
            <w:vMerge w:val="restart"/>
            <w:tcBorders>
              <w:top w:val="single" w:color="auto" w:sz="4" w:space="0"/>
              <w:left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390" w:type="dxa"/>
            <w:vMerge w:val="restart"/>
            <w:tcBorders>
              <w:top w:val="single" w:color="auto" w:sz="4" w:space="0"/>
              <w:left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44" w:type="dxa"/>
            <w:vMerge w:val="restart"/>
            <w:tcBorders>
              <w:top w:val="single" w:color="auto" w:sz="4" w:space="0"/>
              <w:left w:val="single" w:color="auto" w:sz="4" w:space="0"/>
              <w:right w:val="single" w:color="auto" w:sz="4" w:space="0"/>
            </w:tcBorders>
            <w:noWrap w:val="0"/>
            <w:vAlign w:val="center"/>
          </w:tcPr>
          <w:p>
            <w:pPr>
              <w:jc w:val="center"/>
              <w:rPr>
                <w:rFonts w:hint="eastAsia" w:ascii="仿宋_GB2312" w:hAnsi="Times New Roman" w:eastAsia="仿宋_GB2312" w:cs="Times New Roman"/>
                <w:b/>
                <w:color w:val="auto"/>
                <w:kern w:val="2"/>
                <w:sz w:val="20"/>
                <w:szCs w:val="20"/>
                <w:highlight w:val="none"/>
                <w:lang w:val="en-US" w:eastAsia="zh-CN" w:bidi="ar-SA"/>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90" w:hRule="atLeast"/>
          <w:jc w:val="center"/>
        </w:trPr>
        <w:tc>
          <w:tcPr>
            <w:tcW w:w="559"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8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35"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371" w:type="dxa"/>
            <w:vMerge w:val="continue"/>
            <w:tcBorders>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30" w:type="dxa"/>
            <w:vMerge w:val="continue"/>
            <w:tcBorders>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7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46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4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9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46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40" w:type="dxa"/>
            <w:vMerge w:val="continue"/>
            <w:tcBorders>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1101" w:type="dxa"/>
            <w:vMerge w:val="continue"/>
            <w:tcBorders>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90" w:type="dxa"/>
            <w:vMerge w:val="continue"/>
            <w:tcBorders>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44" w:type="dxa"/>
            <w:vMerge w:val="continue"/>
            <w:tcBorders>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jc w:val="center"/>
        </w:trPr>
        <w:tc>
          <w:tcPr>
            <w:tcW w:w="559"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hint="eastAsia" w:asciiTheme="minorEastAsia" w:hAnsiTheme="minorEastAsia" w:eastAsiaTheme="minorEastAsia" w:cstheme="minorEastAsia"/>
                <w:color w:val="auto"/>
                <w:kern w:val="2"/>
                <w:sz w:val="16"/>
                <w:szCs w:val="16"/>
                <w:lang w:val="en-US" w:eastAsia="zh-CN" w:bidi="ar-SA"/>
              </w:rPr>
            </w:pPr>
            <w:r>
              <w:rPr>
                <w:rFonts w:hint="eastAsia" w:asciiTheme="minorEastAsia" w:hAnsiTheme="minorEastAsia" w:eastAsiaTheme="minorEastAsia" w:cstheme="minorEastAsia"/>
                <w:color w:val="auto"/>
                <w:sz w:val="16"/>
                <w:szCs w:val="16"/>
                <w:lang w:val="en-US" w:eastAsia="zh-CN"/>
              </w:rPr>
              <w:t>205</w:t>
            </w:r>
          </w:p>
        </w:tc>
        <w:tc>
          <w:tcPr>
            <w:tcW w:w="480" w:type="dxa"/>
            <w:tcBorders>
              <w:top w:val="nil"/>
              <w:left w:val="nil"/>
              <w:bottom w:val="single" w:color="auto" w:sz="4" w:space="0"/>
              <w:right w:val="single" w:color="auto" w:sz="4" w:space="0"/>
            </w:tcBorders>
            <w:shd w:val="clear" w:color="auto" w:fill="auto"/>
            <w:noWrap w:val="0"/>
            <w:vAlign w:val="center"/>
          </w:tcPr>
          <w:p>
            <w:pPr>
              <w:jc w:val="center"/>
              <w:rPr>
                <w:rFonts w:hint="eastAsia" w:asciiTheme="minorEastAsia" w:hAnsiTheme="minorEastAsia" w:eastAsiaTheme="minorEastAsia" w:cstheme="minorEastAsia"/>
                <w:color w:val="auto"/>
                <w:kern w:val="2"/>
                <w:sz w:val="16"/>
                <w:szCs w:val="16"/>
                <w:lang w:val="en-US" w:eastAsia="zh-CN" w:bidi="ar-SA"/>
              </w:rPr>
            </w:pPr>
          </w:p>
        </w:tc>
        <w:tc>
          <w:tcPr>
            <w:tcW w:w="435" w:type="dxa"/>
            <w:tcBorders>
              <w:top w:val="nil"/>
              <w:left w:val="nil"/>
              <w:bottom w:val="single" w:color="auto" w:sz="4" w:space="0"/>
              <w:right w:val="single" w:color="auto" w:sz="4" w:space="0"/>
            </w:tcBorders>
            <w:shd w:val="clear" w:color="auto" w:fill="auto"/>
            <w:noWrap w:val="0"/>
            <w:vAlign w:val="center"/>
          </w:tcPr>
          <w:p>
            <w:pPr>
              <w:jc w:val="center"/>
              <w:rPr>
                <w:rFonts w:hint="eastAsia" w:asciiTheme="minorEastAsia" w:hAnsiTheme="minorEastAsia" w:eastAsiaTheme="minorEastAsia" w:cstheme="minorEastAsia"/>
                <w:color w:val="auto"/>
                <w:kern w:val="2"/>
                <w:sz w:val="16"/>
                <w:szCs w:val="16"/>
                <w:lang w:val="en-US" w:eastAsia="zh-CN" w:bidi="ar-SA"/>
              </w:rPr>
            </w:pPr>
          </w:p>
        </w:tc>
        <w:tc>
          <w:tcPr>
            <w:tcW w:w="1371" w:type="dxa"/>
            <w:tcBorders>
              <w:top w:val="single" w:color="auto" w:sz="4" w:space="0"/>
              <w:left w:val="nil"/>
              <w:bottom w:val="single" w:color="auto" w:sz="4" w:space="0"/>
              <w:right w:val="single" w:color="auto" w:sz="4" w:space="0"/>
            </w:tcBorders>
            <w:shd w:val="clear" w:color="auto" w:fill="auto"/>
            <w:noWrap w:val="0"/>
            <w:vAlign w:val="center"/>
          </w:tcPr>
          <w:p>
            <w:pPr>
              <w:jc w:val="center"/>
              <w:rPr>
                <w:rFonts w:hint="eastAsia" w:asciiTheme="minorEastAsia" w:hAnsiTheme="minorEastAsia" w:eastAsiaTheme="minorEastAsia" w:cstheme="minorEastAsia"/>
                <w:color w:val="auto"/>
                <w:kern w:val="2"/>
                <w:sz w:val="16"/>
                <w:szCs w:val="16"/>
                <w:lang w:val="en-US" w:eastAsia="zh-CN" w:bidi="ar-SA"/>
              </w:rPr>
            </w:pPr>
            <w:r>
              <w:rPr>
                <w:rFonts w:hint="eastAsia" w:asciiTheme="minorEastAsia" w:hAnsiTheme="minorEastAsia" w:eastAsiaTheme="minorEastAsia" w:cstheme="minorEastAsia"/>
                <w:bCs/>
                <w:color w:val="auto"/>
                <w:sz w:val="16"/>
                <w:szCs w:val="16"/>
              </w:rPr>
              <w:t>教育支出</w:t>
            </w:r>
          </w:p>
        </w:tc>
        <w:tc>
          <w:tcPr>
            <w:tcW w:w="930" w:type="dxa"/>
            <w:tcBorders>
              <w:top w:val="single" w:color="auto" w:sz="4" w:space="0"/>
              <w:left w:val="nil"/>
              <w:bottom w:val="single" w:color="auto" w:sz="4" w:space="0"/>
              <w:right w:val="single" w:color="auto" w:sz="4" w:space="0"/>
            </w:tcBorders>
            <w:shd w:val="clear" w:color="auto" w:fill="auto"/>
            <w:noWrap w:val="0"/>
            <w:vAlign w:val="center"/>
          </w:tcPr>
          <w:p>
            <w:pPr>
              <w:jc w:val="center"/>
              <w:rPr>
                <w:rFonts w:hint="eastAsia" w:asciiTheme="minorEastAsia" w:hAnsiTheme="minorEastAsia" w:eastAsiaTheme="minorEastAsia" w:cstheme="minorEastAsia"/>
                <w:color w:val="auto"/>
                <w:sz w:val="16"/>
                <w:szCs w:val="16"/>
                <w:highlight w:val="none"/>
                <w:lang w:val="en-US"/>
              </w:rPr>
            </w:pPr>
            <w:r>
              <w:rPr>
                <w:rFonts w:hint="eastAsia" w:asciiTheme="minorEastAsia" w:hAnsiTheme="minorEastAsia" w:eastAsiaTheme="minorEastAsia" w:cstheme="minorEastAsia"/>
                <w:color w:val="auto"/>
                <w:sz w:val="16"/>
                <w:szCs w:val="16"/>
                <w:highlight w:val="none"/>
                <w:lang w:val="en-US" w:eastAsia="zh-CN"/>
              </w:rPr>
              <w:t>217.90</w:t>
            </w:r>
          </w:p>
        </w:tc>
        <w:tc>
          <w:tcPr>
            <w:tcW w:w="750" w:type="dxa"/>
            <w:tcBorders>
              <w:top w:val="single" w:color="auto" w:sz="4" w:space="0"/>
              <w:left w:val="nil"/>
              <w:bottom w:val="single" w:color="auto" w:sz="4" w:space="0"/>
              <w:right w:val="single" w:color="auto" w:sz="4" w:space="0"/>
            </w:tcBorders>
            <w:shd w:val="clear" w:color="auto" w:fill="auto"/>
            <w:noWrap w:val="0"/>
            <w:vAlign w:val="center"/>
          </w:tcPr>
          <w:p>
            <w:pPr>
              <w:jc w:val="center"/>
              <w:rPr>
                <w:rFonts w:hint="eastAsia" w:asciiTheme="minorEastAsia" w:hAnsiTheme="minorEastAsia" w:eastAsiaTheme="minorEastAsia" w:cstheme="minorEastAsia"/>
                <w:color w:val="auto"/>
                <w:sz w:val="16"/>
                <w:szCs w:val="16"/>
                <w:highlight w:val="none"/>
              </w:rPr>
            </w:pPr>
            <w:r>
              <w:rPr>
                <w:rFonts w:hint="eastAsia" w:asciiTheme="minorEastAsia" w:hAnsiTheme="minorEastAsia" w:eastAsiaTheme="minorEastAsia" w:cstheme="minorEastAsia"/>
                <w:color w:val="auto"/>
                <w:sz w:val="16"/>
                <w:szCs w:val="16"/>
                <w:highlight w:val="none"/>
                <w:lang w:val="en-US" w:eastAsia="zh-CN"/>
              </w:rPr>
              <w:t>129.20</w:t>
            </w:r>
          </w:p>
        </w:tc>
        <w:tc>
          <w:tcPr>
            <w:tcW w:w="975" w:type="dxa"/>
            <w:tcBorders>
              <w:top w:val="single" w:color="auto" w:sz="4" w:space="0"/>
              <w:left w:val="nil"/>
              <w:bottom w:val="single" w:color="auto" w:sz="4" w:space="0"/>
              <w:right w:val="single" w:color="auto" w:sz="4" w:space="0"/>
            </w:tcBorders>
            <w:shd w:val="clear" w:color="auto" w:fill="auto"/>
            <w:noWrap w:val="0"/>
            <w:vAlign w:val="center"/>
          </w:tcPr>
          <w:p>
            <w:pPr>
              <w:jc w:val="center"/>
              <w:rPr>
                <w:rFonts w:hint="eastAsia" w:asciiTheme="minorEastAsia" w:hAnsiTheme="minorEastAsia" w:eastAsiaTheme="minorEastAsia" w:cstheme="minorEastAsia"/>
                <w:color w:val="auto"/>
                <w:sz w:val="16"/>
                <w:szCs w:val="16"/>
                <w:highlight w:val="none"/>
              </w:rPr>
            </w:pPr>
            <w:r>
              <w:rPr>
                <w:rFonts w:hint="eastAsia" w:asciiTheme="minorEastAsia" w:hAnsiTheme="minorEastAsia" w:eastAsiaTheme="minorEastAsia" w:cstheme="minorEastAsia"/>
                <w:color w:val="auto"/>
                <w:sz w:val="16"/>
                <w:szCs w:val="16"/>
                <w:highlight w:val="none"/>
                <w:lang w:val="en-US" w:eastAsia="zh-CN"/>
              </w:rPr>
              <w:t>129.20</w:t>
            </w:r>
          </w:p>
        </w:tc>
        <w:tc>
          <w:tcPr>
            <w:tcW w:w="465" w:type="dxa"/>
            <w:tcBorders>
              <w:top w:val="single" w:color="auto" w:sz="4" w:space="0"/>
              <w:left w:val="nil"/>
              <w:bottom w:val="single" w:color="auto" w:sz="4" w:space="0"/>
              <w:right w:val="single" w:color="auto" w:sz="4" w:space="0"/>
            </w:tcBorders>
            <w:shd w:val="clear" w:color="auto" w:fill="auto"/>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345" w:type="dxa"/>
            <w:tcBorders>
              <w:top w:val="single" w:color="auto" w:sz="4" w:space="0"/>
              <w:left w:val="nil"/>
              <w:bottom w:val="single" w:color="auto" w:sz="4" w:space="0"/>
              <w:right w:val="single" w:color="auto" w:sz="4" w:space="0"/>
            </w:tcBorders>
            <w:shd w:val="clear" w:color="auto" w:fill="auto"/>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420" w:type="dxa"/>
            <w:tcBorders>
              <w:top w:val="single" w:color="auto" w:sz="4" w:space="0"/>
              <w:left w:val="nil"/>
              <w:bottom w:val="single" w:color="auto" w:sz="4" w:space="0"/>
              <w:right w:val="single" w:color="auto" w:sz="4" w:space="0"/>
            </w:tcBorders>
            <w:shd w:val="clear" w:color="auto" w:fill="auto"/>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399" w:type="dxa"/>
            <w:tcBorders>
              <w:top w:val="single" w:color="auto" w:sz="4" w:space="0"/>
              <w:left w:val="nil"/>
              <w:bottom w:val="single" w:color="auto" w:sz="4" w:space="0"/>
              <w:right w:val="single" w:color="auto" w:sz="4" w:space="0"/>
            </w:tcBorders>
            <w:shd w:val="clear" w:color="auto" w:fill="auto"/>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465" w:type="dxa"/>
            <w:tcBorders>
              <w:top w:val="single" w:color="auto" w:sz="4" w:space="0"/>
              <w:left w:val="nil"/>
              <w:bottom w:val="single" w:color="auto" w:sz="4" w:space="0"/>
              <w:right w:val="single" w:color="auto" w:sz="4" w:space="0"/>
            </w:tcBorders>
            <w:shd w:val="clear" w:color="auto" w:fill="auto"/>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5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110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Theme="minorEastAsia" w:hAnsiTheme="minorEastAsia" w:eastAsiaTheme="minorEastAsia" w:cstheme="minorEastAsia"/>
                <w:color w:val="auto"/>
                <w:sz w:val="16"/>
                <w:szCs w:val="16"/>
                <w:highlight w:val="none"/>
                <w:lang w:val="en-US" w:eastAsia="zh-CN"/>
              </w:rPr>
            </w:pPr>
            <w:r>
              <w:rPr>
                <w:rFonts w:hint="eastAsia" w:asciiTheme="minorEastAsia" w:hAnsiTheme="minorEastAsia" w:eastAsiaTheme="minorEastAsia" w:cstheme="minorEastAsia"/>
                <w:color w:val="auto"/>
                <w:sz w:val="16"/>
                <w:szCs w:val="16"/>
                <w:highlight w:val="none"/>
                <w:lang w:val="en-US" w:eastAsia="zh-CN"/>
              </w:rPr>
              <w:t>88.70</w:t>
            </w:r>
          </w:p>
        </w:tc>
        <w:tc>
          <w:tcPr>
            <w:tcW w:w="3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44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Theme="minorEastAsia" w:hAnsiTheme="minorEastAsia" w:eastAsiaTheme="minorEastAsia" w:cstheme="minorEastAsia"/>
                <w:color w:val="auto"/>
                <w:sz w:val="16"/>
                <w:szCs w:val="16"/>
                <w:highlight w:val="none"/>
              </w:rPr>
            </w:pPr>
          </w:p>
        </w:tc>
      </w:tr>
      <w:tr>
        <w:tblPrEx>
          <w:tblCellMar>
            <w:top w:w="0" w:type="dxa"/>
            <w:left w:w="108" w:type="dxa"/>
            <w:bottom w:w="0" w:type="dxa"/>
            <w:right w:w="108" w:type="dxa"/>
          </w:tblCellMar>
        </w:tblPrEx>
        <w:trPr>
          <w:trHeight w:val="615" w:hRule="atLeast"/>
          <w:jc w:val="center"/>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kern w:val="2"/>
                <w:sz w:val="16"/>
                <w:szCs w:val="16"/>
                <w:lang w:val="en-US" w:eastAsia="zh-CN" w:bidi="ar-SA"/>
              </w:rPr>
            </w:pPr>
            <w:r>
              <w:rPr>
                <w:rFonts w:hint="eastAsia" w:asciiTheme="minorEastAsia" w:hAnsiTheme="minorEastAsia" w:eastAsiaTheme="minorEastAsia" w:cstheme="minorEastAsia"/>
                <w:color w:val="auto"/>
                <w:sz w:val="16"/>
                <w:szCs w:val="16"/>
                <w:lang w:val="en-US" w:eastAsia="zh-CN"/>
              </w:rPr>
              <w:t>205</w:t>
            </w:r>
          </w:p>
        </w:tc>
        <w:tc>
          <w:tcPr>
            <w:tcW w:w="480"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kern w:val="2"/>
                <w:sz w:val="16"/>
                <w:szCs w:val="16"/>
                <w:lang w:val="en-US" w:eastAsia="zh-CN" w:bidi="ar-SA"/>
              </w:rPr>
            </w:pPr>
            <w:r>
              <w:rPr>
                <w:rFonts w:hint="eastAsia" w:asciiTheme="minorEastAsia" w:hAnsiTheme="minorEastAsia" w:eastAsiaTheme="minorEastAsia" w:cstheme="minorEastAsia"/>
                <w:color w:val="auto"/>
                <w:sz w:val="16"/>
                <w:szCs w:val="16"/>
                <w:lang w:val="en-US" w:eastAsia="zh-CN"/>
              </w:rPr>
              <w:t>02</w:t>
            </w:r>
          </w:p>
        </w:tc>
        <w:tc>
          <w:tcPr>
            <w:tcW w:w="43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kern w:val="2"/>
                <w:sz w:val="16"/>
                <w:szCs w:val="16"/>
                <w:lang w:val="en-US" w:eastAsia="zh-CN" w:bidi="ar-SA"/>
              </w:rPr>
            </w:pPr>
          </w:p>
        </w:tc>
        <w:tc>
          <w:tcPr>
            <w:tcW w:w="1371"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kern w:val="2"/>
                <w:sz w:val="16"/>
                <w:szCs w:val="16"/>
                <w:lang w:val="en-US" w:eastAsia="zh-CN" w:bidi="ar-SA"/>
              </w:rPr>
            </w:pPr>
            <w:r>
              <w:rPr>
                <w:rFonts w:hint="eastAsia" w:asciiTheme="minorEastAsia" w:hAnsiTheme="minorEastAsia" w:eastAsiaTheme="minorEastAsia" w:cstheme="minorEastAsia"/>
                <w:bCs/>
                <w:color w:val="auto"/>
                <w:sz w:val="16"/>
                <w:szCs w:val="16"/>
              </w:rPr>
              <w:t>普通教育</w:t>
            </w:r>
          </w:p>
        </w:tc>
        <w:tc>
          <w:tcPr>
            <w:tcW w:w="930"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lang w:val="en-US"/>
              </w:rPr>
            </w:pPr>
            <w:r>
              <w:rPr>
                <w:rFonts w:hint="eastAsia" w:asciiTheme="minorEastAsia" w:hAnsiTheme="minorEastAsia" w:eastAsiaTheme="minorEastAsia" w:cstheme="minorEastAsia"/>
                <w:color w:val="auto"/>
                <w:sz w:val="16"/>
                <w:szCs w:val="16"/>
                <w:highlight w:val="none"/>
                <w:lang w:val="en-US" w:eastAsia="zh-CN"/>
              </w:rPr>
              <w:t>217.90</w:t>
            </w:r>
          </w:p>
        </w:tc>
        <w:tc>
          <w:tcPr>
            <w:tcW w:w="750"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r>
              <w:rPr>
                <w:rFonts w:hint="eastAsia" w:asciiTheme="minorEastAsia" w:hAnsiTheme="minorEastAsia" w:eastAsiaTheme="minorEastAsia" w:cstheme="minorEastAsia"/>
                <w:color w:val="auto"/>
                <w:sz w:val="16"/>
                <w:szCs w:val="16"/>
                <w:highlight w:val="none"/>
                <w:lang w:val="en-US" w:eastAsia="zh-CN"/>
              </w:rPr>
              <w:t>129.20</w:t>
            </w:r>
          </w:p>
        </w:tc>
        <w:tc>
          <w:tcPr>
            <w:tcW w:w="97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r>
              <w:rPr>
                <w:rFonts w:hint="eastAsia" w:asciiTheme="minorEastAsia" w:hAnsiTheme="minorEastAsia" w:eastAsiaTheme="minorEastAsia" w:cstheme="minorEastAsia"/>
                <w:color w:val="auto"/>
                <w:sz w:val="16"/>
                <w:szCs w:val="16"/>
                <w:highlight w:val="none"/>
                <w:lang w:val="en-US" w:eastAsia="zh-CN"/>
              </w:rPr>
              <w:t>129.20</w:t>
            </w:r>
          </w:p>
        </w:tc>
        <w:tc>
          <w:tcPr>
            <w:tcW w:w="46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34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399"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46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540"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1101"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r>
              <w:rPr>
                <w:rFonts w:hint="eastAsia" w:asciiTheme="minorEastAsia" w:hAnsiTheme="minorEastAsia" w:eastAsiaTheme="minorEastAsia" w:cstheme="minorEastAsia"/>
                <w:color w:val="auto"/>
                <w:sz w:val="16"/>
                <w:szCs w:val="16"/>
                <w:highlight w:val="none"/>
                <w:lang w:val="en-US" w:eastAsia="zh-CN"/>
              </w:rPr>
              <w:t>88.70</w:t>
            </w:r>
          </w:p>
        </w:tc>
        <w:tc>
          <w:tcPr>
            <w:tcW w:w="390"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444"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r>
      <w:tr>
        <w:tblPrEx>
          <w:tblCellMar>
            <w:top w:w="0" w:type="dxa"/>
            <w:left w:w="108" w:type="dxa"/>
            <w:bottom w:w="0" w:type="dxa"/>
            <w:right w:w="108" w:type="dxa"/>
          </w:tblCellMar>
        </w:tblPrEx>
        <w:trPr>
          <w:trHeight w:val="645" w:hRule="atLeast"/>
          <w:jc w:val="center"/>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kern w:val="2"/>
                <w:sz w:val="16"/>
                <w:szCs w:val="16"/>
                <w:lang w:val="en-US" w:eastAsia="zh-CN" w:bidi="ar-SA"/>
              </w:rPr>
            </w:pPr>
            <w:r>
              <w:rPr>
                <w:rFonts w:hint="eastAsia" w:asciiTheme="minorEastAsia" w:hAnsiTheme="minorEastAsia" w:eastAsiaTheme="minorEastAsia" w:cstheme="minorEastAsia"/>
                <w:color w:val="auto"/>
                <w:sz w:val="16"/>
                <w:szCs w:val="16"/>
                <w:lang w:val="en-US" w:eastAsia="zh-CN"/>
              </w:rPr>
              <w:t>205</w:t>
            </w:r>
          </w:p>
        </w:tc>
        <w:tc>
          <w:tcPr>
            <w:tcW w:w="480"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kern w:val="2"/>
                <w:sz w:val="16"/>
                <w:szCs w:val="16"/>
                <w:lang w:val="en-US" w:eastAsia="zh-CN" w:bidi="ar-SA"/>
              </w:rPr>
            </w:pPr>
            <w:r>
              <w:rPr>
                <w:rFonts w:hint="eastAsia" w:asciiTheme="minorEastAsia" w:hAnsiTheme="minorEastAsia" w:eastAsiaTheme="minorEastAsia" w:cstheme="minorEastAsia"/>
                <w:color w:val="auto"/>
                <w:sz w:val="16"/>
                <w:szCs w:val="16"/>
                <w:lang w:val="en-US" w:eastAsia="zh-CN"/>
              </w:rPr>
              <w:t>02</w:t>
            </w:r>
          </w:p>
        </w:tc>
        <w:tc>
          <w:tcPr>
            <w:tcW w:w="43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kern w:val="2"/>
                <w:sz w:val="16"/>
                <w:szCs w:val="16"/>
                <w:lang w:val="en-US" w:eastAsia="zh-CN" w:bidi="ar-SA"/>
              </w:rPr>
            </w:pPr>
            <w:r>
              <w:rPr>
                <w:rFonts w:hint="eastAsia" w:asciiTheme="minorEastAsia" w:hAnsiTheme="minorEastAsia" w:eastAsiaTheme="minorEastAsia" w:cstheme="minorEastAsia"/>
                <w:color w:val="auto"/>
                <w:sz w:val="16"/>
                <w:szCs w:val="16"/>
                <w:lang w:val="en-US" w:eastAsia="zh-CN"/>
              </w:rPr>
              <w:t>02</w:t>
            </w:r>
          </w:p>
        </w:tc>
        <w:tc>
          <w:tcPr>
            <w:tcW w:w="1371"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kern w:val="2"/>
                <w:sz w:val="16"/>
                <w:szCs w:val="16"/>
                <w:lang w:val="en-US" w:eastAsia="zh-CN" w:bidi="ar-SA"/>
              </w:rPr>
            </w:pPr>
            <w:r>
              <w:rPr>
                <w:rFonts w:hint="eastAsia" w:asciiTheme="minorEastAsia" w:hAnsiTheme="minorEastAsia" w:eastAsiaTheme="minorEastAsia" w:cstheme="minorEastAsia"/>
                <w:bCs/>
                <w:color w:val="auto"/>
                <w:sz w:val="16"/>
                <w:szCs w:val="16"/>
              </w:rPr>
              <w:t>小学教育</w:t>
            </w:r>
          </w:p>
        </w:tc>
        <w:tc>
          <w:tcPr>
            <w:tcW w:w="930"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lang w:val="en-US"/>
              </w:rPr>
            </w:pPr>
            <w:r>
              <w:rPr>
                <w:rFonts w:hint="eastAsia" w:asciiTheme="minorEastAsia" w:hAnsiTheme="minorEastAsia" w:eastAsiaTheme="minorEastAsia" w:cstheme="minorEastAsia"/>
                <w:color w:val="auto"/>
                <w:sz w:val="16"/>
                <w:szCs w:val="16"/>
                <w:highlight w:val="none"/>
                <w:lang w:val="en-US" w:eastAsia="zh-CN"/>
              </w:rPr>
              <w:t>217.90</w:t>
            </w:r>
          </w:p>
        </w:tc>
        <w:tc>
          <w:tcPr>
            <w:tcW w:w="750"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r>
              <w:rPr>
                <w:rFonts w:hint="eastAsia" w:asciiTheme="minorEastAsia" w:hAnsiTheme="minorEastAsia" w:eastAsiaTheme="minorEastAsia" w:cstheme="minorEastAsia"/>
                <w:color w:val="auto"/>
                <w:sz w:val="16"/>
                <w:szCs w:val="16"/>
                <w:highlight w:val="none"/>
                <w:lang w:val="en-US" w:eastAsia="zh-CN"/>
              </w:rPr>
              <w:t>129.20</w:t>
            </w:r>
          </w:p>
        </w:tc>
        <w:tc>
          <w:tcPr>
            <w:tcW w:w="97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r>
              <w:rPr>
                <w:rFonts w:hint="eastAsia" w:asciiTheme="minorEastAsia" w:hAnsiTheme="minorEastAsia" w:eastAsiaTheme="minorEastAsia" w:cstheme="minorEastAsia"/>
                <w:color w:val="auto"/>
                <w:sz w:val="16"/>
                <w:szCs w:val="16"/>
                <w:highlight w:val="none"/>
                <w:lang w:val="en-US" w:eastAsia="zh-CN"/>
              </w:rPr>
              <w:t>129.20</w:t>
            </w:r>
          </w:p>
        </w:tc>
        <w:tc>
          <w:tcPr>
            <w:tcW w:w="46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34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399"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46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540"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1101"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r>
              <w:rPr>
                <w:rFonts w:hint="eastAsia" w:asciiTheme="minorEastAsia" w:hAnsiTheme="minorEastAsia" w:eastAsiaTheme="minorEastAsia" w:cstheme="minorEastAsia"/>
                <w:color w:val="auto"/>
                <w:sz w:val="16"/>
                <w:szCs w:val="16"/>
                <w:highlight w:val="none"/>
                <w:lang w:val="en-US" w:eastAsia="zh-CN"/>
              </w:rPr>
              <w:t>88.70</w:t>
            </w:r>
          </w:p>
        </w:tc>
        <w:tc>
          <w:tcPr>
            <w:tcW w:w="390"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444"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r>
      <w:tr>
        <w:tblPrEx>
          <w:tblCellMar>
            <w:top w:w="0" w:type="dxa"/>
            <w:left w:w="108" w:type="dxa"/>
            <w:bottom w:w="0" w:type="dxa"/>
            <w:right w:w="108" w:type="dxa"/>
          </w:tblCellMar>
        </w:tblPrEx>
        <w:trPr>
          <w:trHeight w:val="703" w:hRule="atLeast"/>
          <w:jc w:val="center"/>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kern w:val="2"/>
                <w:sz w:val="16"/>
                <w:szCs w:val="16"/>
                <w:lang w:val="en-US" w:eastAsia="zh-CN" w:bidi="ar-SA"/>
              </w:rPr>
            </w:pPr>
            <w:r>
              <w:rPr>
                <w:rFonts w:hint="eastAsia" w:asciiTheme="minorEastAsia" w:hAnsiTheme="minorEastAsia" w:eastAsiaTheme="minorEastAsia" w:cstheme="minorEastAsia"/>
                <w:color w:val="auto"/>
                <w:sz w:val="16"/>
                <w:szCs w:val="16"/>
                <w:lang w:val="en-US" w:eastAsia="zh-CN"/>
              </w:rPr>
              <w:t>208</w:t>
            </w:r>
          </w:p>
        </w:tc>
        <w:tc>
          <w:tcPr>
            <w:tcW w:w="480"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kern w:val="2"/>
                <w:sz w:val="16"/>
                <w:szCs w:val="16"/>
                <w:lang w:val="en-US" w:eastAsia="zh-CN" w:bidi="ar-SA"/>
              </w:rPr>
            </w:pPr>
          </w:p>
        </w:tc>
        <w:tc>
          <w:tcPr>
            <w:tcW w:w="43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kern w:val="2"/>
                <w:sz w:val="16"/>
                <w:szCs w:val="16"/>
                <w:lang w:val="en-US" w:eastAsia="zh-CN" w:bidi="ar-SA"/>
              </w:rPr>
            </w:pPr>
          </w:p>
        </w:tc>
        <w:tc>
          <w:tcPr>
            <w:tcW w:w="1371"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kern w:val="2"/>
                <w:sz w:val="16"/>
                <w:szCs w:val="16"/>
                <w:lang w:val="en-US" w:eastAsia="zh-CN" w:bidi="ar-SA"/>
              </w:rPr>
            </w:pPr>
            <w:r>
              <w:rPr>
                <w:rFonts w:hint="eastAsia" w:asciiTheme="minorEastAsia" w:hAnsiTheme="minorEastAsia" w:eastAsiaTheme="minorEastAsia" w:cstheme="minorEastAsia"/>
                <w:bCs/>
                <w:color w:val="auto"/>
                <w:sz w:val="16"/>
                <w:szCs w:val="16"/>
              </w:rPr>
              <w:t>社会保障和就业支出</w:t>
            </w:r>
          </w:p>
        </w:tc>
        <w:tc>
          <w:tcPr>
            <w:tcW w:w="930"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r>
              <w:rPr>
                <w:rFonts w:hint="eastAsia" w:asciiTheme="minorEastAsia" w:hAnsiTheme="minorEastAsia" w:eastAsiaTheme="minorEastAsia" w:cstheme="minorEastAsia"/>
                <w:color w:val="auto"/>
                <w:sz w:val="16"/>
                <w:szCs w:val="16"/>
                <w:highlight w:val="none"/>
                <w:lang w:val="en-US" w:eastAsia="zh-CN"/>
              </w:rPr>
              <w:t>13.82</w:t>
            </w:r>
          </w:p>
        </w:tc>
        <w:tc>
          <w:tcPr>
            <w:tcW w:w="750"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r>
              <w:rPr>
                <w:rFonts w:hint="eastAsia" w:asciiTheme="minorEastAsia" w:hAnsiTheme="minorEastAsia" w:eastAsiaTheme="minorEastAsia" w:cstheme="minorEastAsia"/>
                <w:color w:val="auto"/>
                <w:sz w:val="16"/>
                <w:szCs w:val="16"/>
                <w:highlight w:val="none"/>
                <w:lang w:val="en-US" w:eastAsia="zh-CN"/>
              </w:rPr>
              <w:t>13.82</w:t>
            </w:r>
          </w:p>
        </w:tc>
        <w:tc>
          <w:tcPr>
            <w:tcW w:w="97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r>
              <w:rPr>
                <w:rFonts w:hint="eastAsia" w:asciiTheme="minorEastAsia" w:hAnsiTheme="minorEastAsia" w:eastAsiaTheme="minorEastAsia" w:cstheme="minorEastAsia"/>
                <w:color w:val="auto"/>
                <w:sz w:val="16"/>
                <w:szCs w:val="16"/>
                <w:highlight w:val="none"/>
                <w:lang w:val="en-US" w:eastAsia="zh-CN"/>
              </w:rPr>
              <w:t>13.82</w:t>
            </w:r>
          </w:p>
        </w:tc>
        <w:tc>
          <w:tcPr>
            <w:tcW w:w="46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34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399"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46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540"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1101"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390"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444"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r>
      <w:tr>
        <w:tblPrEx>
          <w:tblCellMar>
            <w:top w:w="0" w:type="dxa"/>
            <w:left w:w="108" w:type="dxa"/>
            <w:bottom w:w="0" w:type="dxa"/>
            <w:right w:w="108" w:type="dxa"/>
          </w:tblCellMar>
        </w:tblPrEx>
        <w:trPr>
          <w:trHeight w:val="673" w:hRule="atLeast"/>
          <w:jc w:val="center"/>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kern w:val="2"/>
                <w:sz w:val="16"/>
                <w:szCs w:val="16"/>
                <w:lang w:val="en-US" w:eastAsia="zh-CN" w:bidi="ar-SA"/>
              </w:rPr>
            </w:pPr>
            <w:r>
              <w:rPr>
                <w:rFonts w:hint="eastAsia" w:asciiTheme="minorEastAsia" w:hAnsiTheme="minorEastAsia" w:eastAsiaTheme="minorEastAsia" w:cstheme="minorEastAsia"/>
                <w:color w:val="auto"/>
                <w:sz w:val="16"/>
                <w:szCs w:val="16"/>
                <w:lang w:val="en-US" w:eastAsia="zh-CN"/>
              </w:rPr>
              <w:t>208</w:t>
            </w:r>
          </w:p>
        </w:tc>
        <w:tc>
          <w:tcPr>
            <w:tcW w:w="480"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kern w:val="2"/>
                <w:sz w:val="16"/>
                <w:szCs w:val="16"/>
                <w:lang w:val="en-US" w:eastAsia="zh-CN" w:bidi="ar-SA"/>
              </w:rPr>
            </w:pPr>
            <w:r>
              <w:rPr>
                <w:rFonts w:hint="eastAsia" w:asciiTheme="minorEastAsia" w:hAnsiTheme="minorEastAsia" w:eastAsiaTheme="minorEastAsia" w:cstheme="minorEastAsia"/>
                <w:color w:val="auto"/>
                <w:sz w:val="16"/>
                <w:szCs w:val="16"/>
                <w:lang w:val="en-US" w:eastAsia="zh-CN"/>
              </w:rPr>
              <w:t>05</w:t>
            </w:r>
          </w:p>
        </w:tc>
        <w:tc>
          <w:tcPr>
            <w:tcW w:w="43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kern w:val="2"/>
                <w:sz w:val="16"/>
                <w:szCs w:val="16"/>
                <w:lang w:val="en-US" w:eastAsia="zh-CN" w:bidi="ar-SA"/>
              </w:rPr>
            </w:pPr>
          </w:p>
        </w:tc>
        <w:tc>
          <w:tcPr>
            <w:tcW w:w="1371"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kern w:val="2"/>
                <w:sz w:val="16"/>
                <w:szCs w:val="16"/>
                <w:lang w:val="en-US" w:eastAsia="zh-CN" w:bidi="ar-SA"/>
              </w:rPr>
            </w:pPr>
            <w:r>
              <w:rPr>
                <w:rFonts w:hint="eastAsia" w:asciiTheme="minorEastAsia" w:hAnsiTheme="minorEastAsia" w:eastAsiaTheme="minorEastAsia" w:cstheme="minorEastAsia"/>
                <w:bCs/>
                <w:color w:val="auto"/>
                <w:sz w:val="16"/>
                <w:szCs w:val="16"/>
              </w:rPr>
              <w:t>行政事业单位养老支出</w:t>
            </w:r>
          </w:p>
        </w:tc>
        <w:tc>
          <w:tcPr>
            <w:tcW w:w="930"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r>
              <w:rPr>
                <w:rFonts w:hint="eastAsia" w:asciiTheme="minorEastAsia" w:hAnsiTheme="minorEastAsia" w:eastAsiaTheme="minorEastAsia" w:cstheme="minorEastAsia"/>
                <w:color w:val="auto"/>
                <w:sz w:val="16"/>
                <w:szCs w:val="16"/>
                <w:highlight w:val="none"/>
                <w:lang w:val="en-US" w:eastAsia="zh-CN"/>
              </w:rPr>
              <w:t>13.82</w:t>
            </w:r>
          </w:p>
        </w:tc>
        <w:tc>
          <w:tcPr>
            <w:tcW w:w="750"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r>
              <w:rPr>
                <w:rFonts w:hint="eastAsia" w:asciiTheme="minorEastAsia" w:hAnsiTheme="minorEastAsia" w:eastAsiaTheme="minorEastAsia" w:cstheme="minorEastAsia"/>
                <w:color w:val="auto"/>
                <w:sz w:val="16"/>
                <w:szCs w:val="16"/>
                <w:highlight w:val="none"/>
                <w:lang w:val="en-US" w:eastAsia="zh-CN"/>
              </w:rPr>
              <w:t>13.82</w:t>
            </w:r>
          </w:p>
        </w:tc>
        <w:tc>
          <w:tcPr>
            <w:tcW w:w="97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r>
              <w:rPr>
                <w:rFonts w:hint="eastAsia" w:asciiTheme="minorEastAsia" w:hAnsiTheme="minorEastAsia" w:eastAsiaTheme="minorEastAsia" w:cstheme="minorEastAsia"/>
                <w:color w:val="auto"/>
                <w:sz w:val="16"/>
                <w:szCs w:val="16"/>
                <w:highlight w:val="none"/>
                <w:lang w:val="en-US" w:eastAsia="zh-CN"/>
              </w:rPr>
              <w:t>13.82</w:t>
            </w:r>
          </w:p>
        </w:tc>
        <w:tc>
          <w:tcPr>
            <w:tcW w:w="46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34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399"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46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540"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1101"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390"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444"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r>
      <w:tr>
        <w:tblPrEx>
          <w:tblCellMar>
            <w:top w:w="0" w:type="dxa"/>
            <w:left w:w="108" w:type="dxa"/>
            <w:bottom w:w="0" w:type="dxa"/>
            <w:right w:w="108" w:type="dxa"/>
          </w:tblCellMar>
        </w:tblPrEx>
        <w:trPr>
          <w:trHeight w:val="887" w:hRule="atLeast"/>
          <w:jc w:val="center"/>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kern w:val="2"/>
                <w:sz w:val="16"/>
                <w:szCs w:val="16"/>
                <w:lang w:val="en-US" w:eastAsia="zh-CN" w:bidi="ar-SA"/>
              </w:rPr>
            </w:pPr>
            <w:r>
              <w:rPr>
                <w:rFonts w:hint="eastAsia" w:asciiTheme="minorEastAsia" w:hAnsiTheme="minorEastAsia" w:eastAsiaTheme="minorEastAsia" w:cstheme="minorEastAsia"/>
                <w:color w:val="auto"/>
                <w:sz w:val="16"/>
                <w:szCs w:val="16"/>
                <w:lang w:val="en-US" w:eastAsia="zh-CN"/>
              </w:rPr>
              <w:t>208</w:t>
            </w:r>
          </w:p>
        </w:tc>
        <w:tc>
          <w:tcPr>
            <w:tcW w:w="480"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kern w:val="2"/>
                <w:sz w:val="16"/>
                <w:szCs w:val="16"/>
                <w:lang w:val="en-US" w:eastAsia="zh-CN" w:bidi="ar-SA"/>
              </w:rPr>
            </w:pPr>
            <w:r>
              <w:rPr>
                <w:rFonts w:hint="eastAsia" w:asciiTheme="minorEastAsia" w:hAnsiTheme="minorEastAsia" w:eastAsiaTheme="minorEastAsia" w:cstheme="minorEastAsia"/>
                <w:color w:val="auto"/>
                <w:sz w:val="16"/>
                <w:szCs w:val="16"/>
                <w:lang w:val="en-US" w:eastAsia="zh-CN"/>
              </w:rPr>
              <w:t>05</w:t>
            </w:r>
          </w:p>
        </w:tc>
        <w:tc>
          <w:tcPr>
            <w:tcW w:w="43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kern w:val="2"/>
                <w:sz w:val="16"/>
                <w:szCs w:val="16"/>
                <w:lang w:val="en-US" w:eastAsia="zh-CN" w:bidi="ar-SA"/>
              </w:rPr>
            </w:pPr>
            <w:r>
              <w:rPr>
                <w:rFonts w:hint="eastAsia" w:asciiTheme="minorEastAsia" w:hAnsiTheme="minorEastAsia" w:eastAsiaTheme="minorEastAsia" w:cstheme="minorEastAsia"/>
                <w:color w:val="auto"/>
                <w:sz w:val="16"/>
                <w:szCs w:val="16"/>
                <w:lang w:val="en-US" w:eastAsia="zh-CN"/>
              </w:rPr>
              <w:t>05</w:t>
            </w:r>
          </w:p>
        </w:tc>
        <w:tc>
          <w:tcPr>
            <w:tcW w:w="1371"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kern w:val="2"/>
                <w:sz w:val="16"/>
                <w:szCs w:val="16"/>
                <w:lang w:val="en-US" w:eastAsia="zh-CN" w:bidi="ar-SA"/>
              </w:rPr>
            </w:pPr>
            <w:r>
              <w:rPr>
                <w:rFonts w:hint="eastAsia" w:asciiTheme="minorEastAsia" w:hAnsiTheme="minorEastAsia" w:eastAsiaTheme="minorEastAsia" w:cstheme="minorEastAsia"/>
                <w:bCs/>
                <w:color w:val="auto"/>
                <w:sz w:val="16"/>
                <w:szCs w:val="16"/>
              </w:rPr>
              <w:t>机关事业单位基本养老保险缴费支出</w:t>
            </w:r>
          </w:p>
        </w:tc>
        <w:tc>
          <w:tcPr>
            <w:tcW w:w="930"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r>
              <w:rPr>
                <w:rFonts w:hint="eastAsia" w:asciiTheme="minorEastAsia" w:hAnsiTheme="minorEastAsia" w:eastAsiaTheme="minorEastAsia" w:cstheme="minorEastAsia"/>
                <w:color w:val="auto"/>
                <w:sz w:val="16"/>
                <w:szCs w:val="16"/>
                <w:highlight w:val="none"/>
                <w:lang w:val="en-US" w:eastAsia="zh-CN"/>
              </w:rPr>
              <w:t>13.82</w:t>
            </w:r>
          </w:p>
        </w:tc>
        <w:tc>
          <w:tcPr>
            <w:tcW w:w="750"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r>
              <w:rPr>
                <w:rFonts w:hint="eastAsia" w:asciiTheme="minorEastAsia" w:hAnsiTheme="minorEastAsia" w:eastAsiaTheme="minorEastAsia" w:cstheme="minorEastAsia"/>
                <w:color w:val="auto"/>
                <w:sz w:val="16"/>
                <w:szCs w:val="16"/>
                <w:highlight w:val="none"/>
                <w:lang w:val="en-US" w:eastAsia="zh-CN"/>
              </w:rPr>
              <w:t>13.82</w:t>
            </w:r>
          </w:p>
        </w:tc>
        <w:tc>
          <w:tcPr>
            <w:tcW w:w="97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r>
              <w:rPr>
                <w:rFonts w:hint="eastAsia" w:asciiTheme="minorEastAsia" w:hAnsiTheme="minorEastAsia" w:eastAsiaTheme="minorEastAsia" w:cstheme="minorEastAsia"/>
                <w:color w:val="auto"/>
                <w:sz w:val="16"/>
                <w:szCs w:val="16"/>
                <w:highlight w:val="none"/>
                <w:lang w:val="en-US" w:eastAsia="zh-CN"/>
              </w:rPr>
              <w:t>13.82</w:t>
            </w:r>
          </w:p>
        </w:tc>
        <w:tc>
          <w:tcPr>
            <w:tcW w:w="46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34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399"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46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540"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1101"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390"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c>
          <w:tcPr>
            <w:tcW w:w="444"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6"/>
                <w:szCs w:val="16"/>
                <w:highlight w:val="none"/>
              </w:rPr>
            </w:pPr>
          </w:p>
        </w:tc>
      </w:tr>
      <w:tr>
        <w:tblPrEx>
          <w:tblCellMar>
            <w:top w:w="0" w:type="dxa"/>
            <w:left w:w="108" w:type="dxa"/>
            <w:bottom w:w="0" w:type="dxa"/>
            <w:right w:w="108" w:type="dxa"/>
          </w:tblCellMar>
        </w:tblPrEx>
        <w:trPr>
          <w:trHeight w:val="465" w:hRule="atLeast"/>
          <w:jc w:val="center"/>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bCs/>
                <w:color w:val="auto"/>
                <w:sz w:val="16"/>
                <w:szCs w:val="16"/>
                <w:highlight w:val="none"/>
              </w:rPr>
            </w:pPr>
          </w:p>
        </w:tc>
        <w:tc>
          <w:tcPr>
            <w:tcW w:w="480"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bCs/>
                <w:color w:val="auto"/>
                <w:sz w:val="16"/>
                <w:szCs w:val="16"/>
                <w:highlight w:val="none"/>
              </w:rPr>
            </w:pPr>
          </w:p>
        </w:tc>
        <w:tc>
          <w:tcPr>
            <w:tcW w:w="43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bCs/>
                <w:color w:val="auto"/>
                <w:sz w:val="16"/>
                <w:szCs w:val="16"/>
                <w:highlight w:val="none"/>
              </w:rPr>
            </w:pPr>
          </w:p>
        </w:tc>
        <w:tc>
          <w:tcPr>
            <w:tcW w:w="1371"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bCs/>
                <w:color w:val="auto"/>
                <w:sz w:val="16"/>
                <w:szCs w:val="16"/>
                <w:highlight w:val="none"/>
                <w:lang w:val="en-US" w:eastAsia="zh-CN"/>
              </w:rPr>
            </w:pPr>
            <w:r>
              <w:rPr>
                <w:rFonts w:hint="eastAsia" w:asciiTheme="minorEastAsia" w:hAnsiTheme="minorEastAsia" w:eastAsiaTheme="minorEastAsia" w:cstheme="minorEastAsia"/>
                <w:b/>
                <w:bCs/>
                <w:color w:val="auto"/>
                <w:sz w:val="16"/>
                <w:szCs w:val="16"/>
                <w:highlight w:val="none"/>
                <w:lang w:val="en-US" w:eastAsia="zh-CN"/>
              </w:rPr>
              <w:t>合 计</w:t>
            </w:r>
          </w:p>
        </w:tc>
        <w:tc>
          <w:tcPr>
            <w:tcW w:w="930"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bCs/>
                <w:color w:val="auto"/>
                <w:sz w:val="16"/>
                <w:szCs w:val="16"/>
                <w:highlight w:val="none"/>
              </w:rPr>
            </w:pPr>
            <w:r>
              <w:rPr>
                <w:rFonts w:hint="eastAsia" w:asciiTheme="minorEastAsia" w:hAnsiTheme="minorEastAsia" w:eastAsiaTheme="minorEastAsia" w:cstheme="minorEastAsia"/>
                <w:b/>
                <w:bCs/>
                <w:color w:val="auto"/>
                <w:sz w:val="16"/>
                <w:szCs w:val="16"/>
                <w:highlight w:val="none"/>
                <w:lang w:val="en-US" w:eastAsia="zh-CN"/>
              </w:rPr>
              <w:t>231.72</w:t>
            </w:r>
          </w:p>
        </w:tc>
        <w:tc>
          <w:tcPr>
            <w:tcW w:w="750"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bCs/>
                <w:color w:val="auto"/>
                <w:sz w:val="16"/>
                <w:szCs w:val="16"/>
                <w:highlight w:val="none"/>
              </w:rPr>
            </w:pPr>
            <w:r>
              <w:rPr>
                <w:rFonts w:hint="eastAsia" w:asciiTheme="minorEastAsia" w:hAnsiTheme="minorEastAsia" w:eastAsiaTheme="minorEastAsia" w:cstheme="minorEastAsia"/>
                <w:b/>
                <w:bCs/>
                <w:color w:val="auto"/>
                <w:sz w:val="16"/>
                <w:szCs w:val="16"/>
                <w:highlight w:val="none"/>
                <w:lang w:val="en-US" w:eastAsia="zh-CN"/>
              </w:rPr>
              <w:t>143.02</w:t>
            </w:r>
          </w:p>
        </w:tc>
        <w:tc>
          <w:tcPr>
            <w:tcW w:w="97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bCs/>
                <w:color w:val="auto"/>
                <w:sz w:val="16"/>
                <w:szCs w:val="16"/>
                <w:highlight w:val="none"/>
              </w:rPr>
            </w:pPr>
            <w:r>
              <w:rPr>
                <w:rFonts w:hint="eastAsia" w:asciiTheme="minorEastAsia" w:hAnsiTheme="minorEastAsia" w:eastAsiaTheme="minorEastAsia" w:cstheme="minorEastAsia"/>
                <w:b/>
                <w:bCs/>
                <w:color w:val="auto"/>
                <w:sz w:val="16"/>
                <w:szCs w:val="16"/>
                <w:highlight w:val="none"/>
                <w:lang w:val="en-US" w:eastAsia="zh-CN"/>
              </w:rPr>
              <w:t>143.02</w:t>
            </w:r>
          </w:p>
        </w:tc>
        <w:tc>
          <w:tcPr>
            <w:tcW w:w="46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bCs/>
                <w:color w:val="auto"/>
                <w:sz w:val="16"/>
                <w:szCs w:val="16"/>
                <w:highlight w:val="none"/>
              </w:rPr>
            </w:pPr>
          </w:p>
        </w:tc>
        <w:tc>
          <w:tcPr>
            <w:tcW w:w="34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bCs/>
                <w:color w:val="auto"/>
                <w:sz w:val="16"/>
                <w:szCs w:val="16"/>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bCs/>
                <w:color w:val="auto"/>
                <w:sz w:val="16"/>
                <w:szCs w:val="16"/>
                <w:highlight w:val="none"/>
              </w:rPr>
            </w:pPr>
          </w:p>
        </w:tc>
        <w:tc>
          <w:tcPr>
            <w:tcW w:w="399"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bCs/>
                <w:color w:val="auto"/>
                <w:sz w:val="16"/>
                <w:szCs w:val="16"/>
                <w:highlight w:val="none"/>
              </w:rPr>
            </w:pPr>
          </w:p>
        </w:tc>
        <w:tc>
          <w:tcPr>
            <w:tcW w:w="465"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bCs/>
                <w:color w:val="auto"/>
                <w:sz w:val="16"/>
                <w:szCs w:val="16"/>
                <w:highlight w:val="none"/>
              </w:rPr>
            </w:pPr>
          </w:p>
        </w:tc>
        <w:tc>
          <w:tcPr>
            <w:tcW w:w="540"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bCs/>
                <w:color w:val="auto"/>
                <w:sz w:val="16"/>
                <w:szCs w:val="16"/>
                <w:highlight w:val="none"/>
              </w:rPr>
            </w:pPr>
          </w:p>
        </w:tc>
        <w:tc>
          <w:tcPr>
            <w:tcW w:w="1101"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bCs/>
                <w:color w:val="auto"/>
                <w:sz w:val="16"/>
                <w:szCs w:val="16"/>
                <w:highlight w:val="none"/>
                <w:lang w:val="en-US" w:eastAsia="zh-CN"/>
              </w:rPr>
            </w:pPr>
            <w:r>
              <w:rPr>
                <w:rFonts w:hint="eastAsia" w:asciiTheme="minorEastAsia" w:hAnsiTheme="minorEastAsia" w:eastAsiaTheme="minorEastAsia" w:cstheme="minorEastAsia"/>
                <w:b/>
                <w:bCs/>
                <w:color w:val="auto"/>
                <w:sz w:val="16"/>
                <w:szCs w:val="16"/>
                <w:highlight w:val="none"/>
                <w:lang w:val="en-US" w:eastAsia="zh-CN"/>
              </w:rPr>
              <w:t>88.70</w:t>
            </w:r>
          </w:p>
        </w:tc>
        <w:tc>
          <w:tcPr>
            <w:tcW w:w="390"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bCs/>
                <w:color w:val="auto"/>
                <w:sz w:val="16"/>
                <w:szCs w:val="16"/>
                <w:highlight w:val="none"/>
              </w:rPr>
            </w:pPr>
          </w:p>
        </w:tc>
        <w:tc>
          <w:tcPr>
            <w:tcW w:w="444"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bCs/>
                <w:color w:val="auto"/>
                <w:sz w:val="16"/>
                <w:szCs w:val="16"/>
                <w:highlight w:val="none"/>
              </w:rPr>
            </w:pP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rPr>
        <w:t>昌吉州青少年示范性综合实践基地</w:t>
      </w:r>
      <w:r>
        <w:rPr>
          <w:rFonts w:hint="eastAsia" w:ascii="仿宋_GB2312" w:hAnsi="宋体" w:eastAsia="仿宋_GB2312" w:cs="宋体"/>
          <w:color w:val="auto"/>
          <w:kern w:val="0"/>
          <w:sz w:val="24"/>
          <w:lang w:val="en-US" w:eastAsia="zh-CN"/>
        </w:rPr>
        <w:t>服务</w:t>
      </w:r>
      <w:r>
        <w:rPr>
          <w:rFonts w:hint="eastAsia" w:ascii="仿宋_GB2312" w:hAnsi="宋体" w:eastAsia="仿宋_GB2312" w:cs="宋体"/>
          <w:color w:val="auto"/>
          <w:kern w:val="0"/>
          <w:sz w:val="24"/>
        </w:rPr>
        <w:t>中心</w:t>
      </w:r>
      <w:r>
        <w:rPr>
          <w:rFonts w:hint="eastAsia" w:ascii="仿宋_GB2312" w:hAnsi="宋体" w:eastAsia="仿宋_GB2312"/>
          <w:color w:val="auto"/>
          <w:kern w:val="0"/>
          <w:sz w:val="24"/>
        </w:rPr>
        <w:t xml:space="preserve">      </w:t>
      </w:r>
      <w:r>
        <w:rPr>
          <w:rFonts w:hint="eastAsia" w:ascii="仿宋_GB2312" w:hAnsi="宋体" w:eastAsia="仿宋_GB2312"/>
          <w:color w:val="auto"/>
          <w:kern w:val="0"/>
          <w:sz w:val="24"/>
          <w:lang w:val="en-US" w:eastAsia="zh-CN"/>
        </w:rPr>
        <w:t xml:space="preserve">        </w:t>
      </w:r>
      <w:r>
        <w:rPr>
          <w:rFonts w:hint="eastAsia" w:ascii="仿宋_GB2312" w:hAnsi="宋体" w:eastAsia="仿宋_GB2312"/>
          <w:color w:val="auto"/>
          <w:kern w:val="0"/>
          <w:sz w:val="24"/>
        </w:rPr>
        <w:t>单位：万元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5"/>
        <w:tblW w:w="9420" w:type="dxa"/>
        <w:jc w:val="center"/>
        <w:tblLayout w:type="fixed"/>
        <w:tblCellMar>
          <w:top w:w="0" w:type="dxa"/>
          <w:left w:w="108" w:type="dxa"/>
          <w:bottom w:w="0" w:type="dxa"/>
          <w:right w:w="108" w:type="dxa"/>
        </w:tblCellMar>
      </w:tblPr>
      <w:tblGrid>
        <w:gridCol w:w="516"/>
        <w:gridCol w:w="417"/>
        <w:gridCol w:w="417"/>
        <w:gridCol w:w="2548"/>
        <w:gridCol w:w="1824"/>
        <w:gridCol w:w="1826"/>
        <w:gridCol w:w="1872"/>
      </w:tblGrid>
      <w:tr>
        <w:tblPrEx>
          <w:tblCellMar>
            <w:top w:w="0" w:type="dxa"/>
            <w:left w:w="108" w:type="dxa"/>
            <w:bottom w:w="0" w:type="dxa"/>
            <w:right w:w="108" w:type="dxa"/>
          </w:tblCellMar>
        </w:tblPrEx>
        <w:trPr>
          <w:trHeight w:val="328" w:hRule="atLeast"/>
          <w:jc w:val="center"/>
        </w:trPr>
        <w:tc>
          <w:tcPr>
            <w:tcW w:w="389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2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jc w:val="center"/>
        </w:trPr>
        <w:tc>
          <w:tcPr>
            <w:tcW w:w="135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4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jc w:val="center"/>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4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jc w:val="center"/>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0"/>
                <w:sz w:val="20"/>
                <w:szCs w:val="20"/>
                <w:lang w:val="en-US" w:eastAsia="zh-CN" w:bidi="ar-SA"/>
              </w:rPr>
            </w:pPr>
            <w:r>
              <w:rPr>
                <w:rFonts w:hint="eastAsia" w:asciiTheme="minorEastAsia" w:hAnsiTheme="minorEastAsia" w:eastAsiaTheme="minorEastAsia" w:cstheme="minorEastAsia"/>
                <w:b w:val="0"/>
                <w:bCs w:val="0"/>
                <w:color w:val="auto"/>
                <w:sz w:val="20"/>
                <w:szCs w:val="20"/>
              </w:rPr>
              <w:t>205</w:t>
            </w:r>
          </w:p>
        </w:tc>
        <w:tc>
          <w:tcPr>
            <w:tcW w:w="417"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0"/>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0"/>
                <w:sz w:val="20"/>
                <w:szCs w:val="20"/>
                <w:lang w:val="en-US" w:eastAsia="zh-CN" w:bidi="ar-SA"/>
              </w:rPr>
            </w:pPr>
          </w:p>
        </w:tc>
        <w:tc>
          <w:tcPr>
            <w:tcW w:w="2548" w:type="dxa"/>
            <w:tcBorders>
              <w:top w:val="nil"/>
              <w:left w:val="nil"/>
              <w:bottom w:val="single" w:color="auto" w:sz="4" w:space="0"/>
              <w:right w:val="single" w:color="auto" w:sz="4" w:space="0"/>
            </w:tcBorders>
            <w:noWrap w:val="0"/>
            <w:vAlign w:val="center"/>
          </w:tcPr>
          <w:p>
            <w:pPr>
              <w:jc w:val="left"/>
              <w:rPr>
                <w:rFonts w:hint="eastAsia" w:asciiTheme="minorEastAsia" w:hAnsiTheme="minorEastAsia" w:eastAsiaTheme="minorEastAsia" w:cstheme="minorEastAsia"/>
                <w:b w:val="0"/>
                <w:bCs w:val="0"/>
                <w:color w:val="auto"/>
                <w:kern w:val="0"/>
                <w:sz w:val="20"/>
                <w:szCs w:val="20"/>
                <w:lang w:val="en-US" w:eastAsia="zh-CN" w:bidi="ar-SA"/>
              </w:rPr>
            </w:pPr>
            <w:r>
              <w:rPr>
                <w:rFonts w:hint="eastAsia" w:asciiTheme="minorEastAsia" w:hAnsiTheme="minorEastAsia" w:eastAsiaTheme="minorEastAsia" w:cstheme="minorEastAsia"/>
                <w:b w:val="0"/>
                <w:bCs w:val="0"/>
                <w:color w:val="auto"/>
                <w:sz w:val="20"/>
                <w:szCs w:val="20"/>
              </w:rPr>
              <w:t>教育支出</w:t>
            </w:r>
          </w:p>
        </w:tc>
        <w:tc>
          <w:tcPr>
            <w:tcW w:w="1824"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highlight w:val="none"/>
                <w:lang w:val="en-US" w:eastAsia="zh-CN" w:bidi="ar-SA"/>
              </w:rPr>
            </w:pPr>
            <w:r>
              <w:rPr>
                <w:rFonts w:hint="eastAsia" w:asciiTheme="minorEastAsia" w:hAnsiTheme="minorEastAsia" w:eastAsiaTheme="minorEastAsia" w:cstheme="minorEastAsia"/>
                <w:b w:val="0"/>
                <w:bCs w:val="0"/>
                <w:color w:val="auto"/>
                <w:sz w:val="20"/>
                <w:szCs w:val="20"/>
                <w:highlight w:val="none"/>
                <w:lang w:val="en-US" w:eastAsia="zh-CN"/>
              </w:rPr>
              <w:t>217.90</w:t>
            </w:r>
          </w:p>
        </w:tc>
        <w:tc>
          <w:tcPr>
            <w:tcW w:w="1826"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highlight w:val="none"/>
                <w:lang w:val="en-US" w:eastAsia="zh-CN" w:bidi="ar-SA"/>
              </w:rPr>
            </w:pPr>
            <w:r>
              <w:rPr>
                <w:rFonts w:hint="eastAsia" w:asciiTheme="minorEastAsia" w:hAnsiTheme="minorEastAsia" w:eastAsiaTheme="minorEastAsia" w:cstheme="minorEastAsia"/>
                <w:b w:val="0"/>
                <w:bCs w:val="0"/>
                <w:color w:val="auto"/>
                <w:sz w:val="20"/>
                <w:szCs w:val="20"/>
                <w:highlight w:val="none"/>
                <w:lang w:val="en-US" w:eastAsia="zh-CN"/>
              </w:rPr>
              <w:t>129.20</w:t>
            </w:r>
          </w:p>
        </w:tc>
        <w:tc>
          <w:tcPr>
            <w:tcW w:w="1872"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highlight w:val="none"/>
                <w:lang w:val="en-US" w:eastAsia="zh-CN" w:bidi="ar-SA"/>
              </w:rPr>
            </w:pPr>
            <w:r>
              <w:rPr>
                <w:rFonts w:hint="eastAsia" w:asciiTheme="minorEastAsia" w:hAnsiTheme="minorEastAsia" w:eastAsiaTheme="minorEastAsia" w:cstheme="minorEastAsia"/>
                <w:b w:val="0"/>
                <w:bCs w:val="0"/>
                <w:color w:val="auto"/>
                <w:sz w:val="20"/>
                <w:szCs w:val="20"/>
                <w:highlight w:val="none"/>
                <w:lang w:val="en-US" w:eastAsia="zh-CN"/>
              </w:rPr>
              <w:t>88.70</w:t>
            </w:r>
          </w:p>
        </w:tc>
      </w:tr>
      <w:tr>
        <w:tblPrEx>
          <w:tblCellMar>
            <w:top w:w="0" w:type="dxa"/>
            <w:left w:w="108" w:type="dxa"/>
            <w:bottom w:w="0" w:type="dxa"/>
            <w:right w:w="108" w:type="dxa"/>
          </w:tblCellMar>
        </w:tblPrEx>
        <w:trPr>
          <w:trHeight w:val="405" w:hRule="atLeast"/>
          <w:jc w:val="center"/>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205</w:t>
            </w:r>
          </w:p>
        </w:tc>
        <w:tc>
          <w:tcPr>
            <w:tcW w:w="417"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lang w:val="en-US" w:eastAsia="zh-CN" w:bidi="ar-SA"/>
              </w:rPr>
            </w:pPr>
          </w:p>
        </w:tc>
        <w:tc>
          <w:tcPr>
            <w:tcW w:w="2548" w:type="dxa"/>
            <w:tcBorders>
              <w:top w:val="nil"/>
              <w:left w:val="nil"/>
              <w:bottom w:val="single" w:color="auto" w:sz="4" w:space="0"/>
              <w:right w:val="single" w:color="auto" w:sz="4" w:space="0"/>
            </w:tcBorders>
            <w:noWrap w:val="0"/>
            <w:vAlign w:val="center"/>
          </w:tcPr>
          <w:p>
            <w:pPr>
              <w:jc w:val="left"/>
              <w:rPr>
                <w:rFonts w:hint="eastAsia" w:asciiTheme="minorEastAsia" w:hAnsiTheme="minorEastAsia" w:eastAsiaTheme="minorEastAsia" w:cstheme="minorEastAsia"/>
                <w:b w:val="0"/>
                <w:bCs w:val="0"/>
                <w:color w:val="auto"/>
                <w:kern w:val="0"/>
                <w:sz w:val="20"/>
                <w:szCs w:val="20"/>
                <w:lang w:val="en-US" w:eastAsia="zh-CN" w:bidi="ar-SA"/>
              </w:rPr>
            </w:pPr>
            <w:r>
              <w:rPr>
                <w:rFonts w:hint="eastAsia" w:asciiTheme="minorEastAsia" w:hAnsiTheme="minorEastAsia" w:eastAsiaTheme="minorEastAsia" w:cstheme="minorEastAsia"/>
                <w:b w:val="0"/>
                <w:bCs w:val="0"/>
                <w:color w:val="auto"/>
                <w:sz w:val="20"/>
                <w:szCs w:val="20"/>
              </w:rPr>
              <w:t>普通教育</w:t>
            </w:r>
          </w:p>
        </w:tc>
        <w:tc>
          <w:tcPr>
            <w:tcW w:w="1824"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highlight w:val="none"/>
                <w:lang w:val="en-US" w:eastAsia="zh-CN" w:bidi="ar-SA"/>
              </w:rPr>
            </w:pPr>
            <w:r>
              <w:rPr>
                <w:rFonts w:hint="eastAsia" w:asciiTheme="minorEastAsia" w:hAnsiTheme="minorEastAsia" w:eastAsiaTheme="minorEastAsia" w:cstheme="minorEastAsia"/>
                <w:b w:val="0"/>
                <w:bCs w:val="0"/>
                <w:color w:val="auto"/>
                <w:sz w:val="20"/>
                <w:szCs w:val="20"/>
                <w:highlight w:val="none"/>
                <w:lang w:val="en-US" w:eastAsia="zh-CN"/>
              </w:rPr>
              <w:t>217.90</w:t>
            </w:r>
          </w:p>
        </w:tc>
        <w:tc>
          <w:tcPr>
            <w:tcW w:w="1826"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highlight w:val="none"/>
                <w:lang w:val="en-US" w:eastAsia="zh-CN" w:bidi="ar-SA"/>
              </w:rPr>
            </w:pPr>
            <w:r>
              <w:rPr>
                <w:rFonts w:hint="eastAsia" w:asciiTheme="minorEastAsia" w:hAnsiTheme="minorEastAsia" w:eastAsiaTheme="minorEastAsia" w:cstheme="minorEastAsia"/>
                <w:b w:val="0"/>
                <w:bCs w:val="0"/>
                <w:color w:val="auto"/>
                <w:sz w:val="20"/>
                <w:szCs w:val="20"/>
                <w:highlight w:val="none"/>
                <w:lang w:val="en-US" w:eastAsia="zh-CN"/>
              </w:rPr>
              <w:t>129.20</w:t>
            </w:r>
          </w:p>
        </w:tc>
        <w:tc>
          <w:tcPr>
            <w:tcW w:w="1872"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highlight w:val="none"/>
                <w:lang w:val="en-US" w:eastAsia="zh-CN" w:bidi="ar-SA"/>
              </w:rPr>
            </w:pPr>
            <w:r>
              <w:rPr>
                <w:rFonts w:hint="eastAsia" w:asciiTheme="minorEastAsia" w:hAnsiTheme="minorEastAsia" w:eastAsiaTheme="minorEastAsia" w:cstheme="minorEastAsia"/>
                <w:b w:val="0"/>
                <w:bCs w:val="0"/>
                <w:color w:val="auto"/>
                <w:sz w:val="20"/>
                <w:szCs w:val="20"/>
                <w:highlight w:val="none"/>
                <w:lang w:val="en-US" w:eastAsia="zh-CN"/>
              </w:rPr>
              <w:t>88.70</w:t>
            </w:r>
          </w:p>
        </w:tc>
      </w:tr>
      <w:tr>
        <w:tblPrEx>
          <w:tblCellMar>
            <w:top w:w="0" w:type="dxa"/>
            <w:left w:w="108" w:type="dxa"/>
            <w:bottom w:w="0" w:type="dxa"/>
            <w:right w:w="108" w:type="dxa"/>
          </w:tblCellMar>
        </w:tblPrEx>
        <w:trPr>
          <w:trHeight w:val="405" w:hRule="atLeast"/>
          <w:jc w:val="center"/>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205</w:t>
            </w:r>
          </w:p>
        </w:tc>
        <w:tc>
          <w:tcPr>
            <w:tcW w:w="417"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02</w:t>
            </w:r>
          </w:p>
        </w:tc>
        <w:tc>
          <w:tcPr>
            <w:tcW w:w="2548" w:type="dxa"/>
            <w:tcBorders>
              <w:top w:val="nil"/>
              <w:left w:val="nil"/>
              <w:bottom w:val="single" w:color="auto" w:sz="4" w:space="0"/>
              <w:right w:val="single" w:color="auto" w:sz="4" w:space="0"/>
            </w:tcBorders>
            <w:noWrap w:val="0"/>
            <w:vAlign w:val="center"/>
          </w:tcPr>
          <w:p>
            <w:pPr>
              <w:jc w:val="lef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rPr>
              <w:t>小学教育</w:t>
            </w:r>
          </w:p>
        </w:tc>
        <w:tc>
          <w:tcPr>
            <w:tcW w:w="1824"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highlight w:val="none"/>
                <w:lang w:val="en-US" w:eastAsia="zh-CN" w:bidi="ar-SA"/>
              </w:rPr>
            </w:pPr>
            <w:r>
              <w:rPr>
                <w:rFonts w:hint="eastAsia" w:asciiTheme="minorEastAsia" w:hAnsiTheme="minorEastAsia" w:eastAsiaTheme="minorEastAsia" w:cstheme="minorEastAsia"/>
                <w:b w:val="0"/>
                <w:bCs w:val="0"/>
                <w:color w:val="auto"/>
                <w:sz w:val="20"/>
                <w:szCs w:val="20"/>
                <w:highlight w:val="none"/>
                <w:lang w:val="en-US" w:eastAsia="zh-CN"/>
              </w:rPr>
              <w:t>217.90</w:t>
            </w:r>
          </w:p>
        </w:tc>
        <w:tc>
          <w:tcPr>
            <w:tcW w:w="1826"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highlight w:val="none"/>
                <w:lang w:val="en-US" w:eastAsia="zh-CN" w:bidi="ar-SA"/>
              </w:rPr>
            </w:pPr>
            <w:r>
              <w:rPr>
                <w:rFonts w:hint="eastAsia" w:asciiTheme="minorEastAsia" w:hAnsiTheme="minorEastAsia" w:eastAsiaTheme="minorEastAsia" w:cstheme="minorEastAsia"/>
                <w:b w:val="0"/>
                <w:bCs w:val="0"/>
                <w:color w:val="auto"/>
                <w:sz w:val="20"/>
                <w:szCs w:val="20"/>
                <w:highlight w:val="none"/>
                <w:lang w:val="en-US" w:eastAsia="zh-CN"/>
              </w:rPr>
              <w:t>129.20</w:t>
            </w:r>
          </w:p>
        </w:tc>
        <w:tc>
          <w:tcPr>
            <w:tcW w:w="1872"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highlight w:val="none"/>
                <w:lang w:val="en-US" w:eastAsia="zh-CN" w:bidi="ar-SA"/>
              </w:rPr>
            </w:pPr>
            <w:r>
              <w:rPr>
                <w:rFonts w:hint="eastAsia" w:asciiTheme="minorEastAsia" w:hAnsiTheme="minorEastAsia" w:eastAsiaTheme="minorEastAsia" w:cstheme="minorEastAsia"/>
                <w:b w:val="0"/>
                <w:bCs w:val="0"/>
                <w:color w:val="auto"/>
                <w:sz w:val="20"/>
                <w:szCs w:val="20"/>
                <w:highlight w:val="none"/>
                <w:lang w:val="en-US" w:eastAsia="zh-CN"/>
              </w:rPr>
              <w:t>88.70</w:t>
            </w:r>
          </w:p>
        </w:tc>
      </w:tr>
      <w:tr>
        <w:tblPrEx>
          <w:tblCellMar>
            <w:top w:w="0" w:type="dxa"/>
            <w:left w:w="108" w:type="dxa"/>
            <w:bottom w:w="0" w:type="dxa"/>
            <w:right w:w="108" w:type="dxa"/>
          </w:tblCellMar>
        </w:tblPrEx>
        <w:trPr>
          <w:trHeight w:val="405" w:hRule="atLeast"/>
          <w:jc w:val="center"/>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lang w:val="en-US" w:eastAsia="zh-CN" w:bidi="ar-SA"/>
              </w:rPr>
            </w:pPr>
          </w:p>
        </w:tc>
        <w:tc>
          <w:tcPr>
            <w:tcW w:w="2548" w:type="dxa"/>
            <w:tcBorders>
              <w:top w:val="nil"/>
              <w:left w:val="nil"/>
              <w:bottom w:val="single" w:color="auto" w:sz="4" w:space="0"/>
              <w:right w:val="single" w:color="auto" w:sz="4" w:space="0"/>
            </w:tcBorders>
            <w:noWrap w:val="0"/>
            <w:vAlign w:val="center"/>
          </w:tcPr>
          <w:p>
            <w:pPr>
              <w:jc w:val="lef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rPr>
              <w:t>社会保障和就业支出</w:t>
            </w:r>
          </w:p>
        </w:tc>
        <w:tc>
          <w:tcPr>
            <w:tcW w:w="1824"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highlight w:val="none"/>
                <w:lang w:val="en-US" w:eastAsia="zh-CN" w:bidi="ar-SA"/>
              </w:rPr>
            </w:pPr>
            <w:r>
              <w:rPr>
                <w:rFonts w:hint="eastAsia" w:asciiTheme="minorEastAsia" w:hAnsiTheme="minorEastAsia" w:eastAsiaTheme="minorEastAsia" w:cstheme="minorEastAsia"/>
                <w:b w:val="0"/>
                <w:bCs w:val="0"/>
                <w:color w:val="auto"/>
                <w:sz w:val="20"/>
                <w:szCs w:val="20"/>
                <w:highlight w:val="none"/>
                <w:lang w:val="en-US" w:eastAsia="zh-CN"/>
              </w:rPr>
              <w:t>13.82</w:t>
            </w:r>
          </w:p>
        </w:tc>
        <w:tc>
          <w:tcPr>
            <w:tcW w:w="1826"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highlight w:val="none"/>
                <w:lang w:val="en-US" w:eastAsia="zh-CN" w:bidi="ar-SA"/>
              </w:rPr>
            </w:pPr>
            <w:r>
              <w:rPr>
                <w:rFonts w:hint="eastAsia" w:asciiTheme="minorEastAsia" w:hAnsiTheme="minorEastAsia" w:eastAsiaTheme="minorEastAsia" w:cstheme="minorEastAsia"/>
                <w:b w:val="0"/>
                <w:bCs w:val="0"/>
                <w:color w:val="auto"/>
                <w:sz w:val="20"/>
                <w:szCs w:val="20"/>
                <w:highlight w:val="none"/>
                <w:lang w:val="en-US" w:eastAsia="zh-CN"/>
              </w:rPr>
              <w:t>13.82</w:t>
            </w:r>
          </w:p>
        </w:tc>
        <w:tc>
          <w:tcPr>
            <w:tcW w:w="1872"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05" w:hRule="atLeast"/>
          <w:jc w:val="center"/>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lang w:val="en-US" w:eastAsia="zh-CN" w:bidi="ar-SA"/>
              </w:rPr>
            </w:pPr>
          </w:p>
        </w:tc>
        <w:tc>
          <w:tcPr>
            <w:tcW w:w="2548" w:type="dxa"/>
            <w:tcBorders>
              <w:top w:val="nil"/>
              <w:left w:val="nil"/>
              <w:bottom w:val="single" w:color="auto" w:sz="4" w:space="0"/>
              <w:right w:val="single" w:color="auto" w:sz="4" w:space="0"/>
            </w:tcBorders>
            <w:noWrap w:val="0"/>
            <w:vAlign w:val="center"/>
          </w:tcPr>
          <w:p>
            <w:pPr>
              <w:jc w:val="lef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rPr>
              <w:t>行政事业单位养老支出</w:t>
            </w:r>
          </w:p>
        </w:tc>
        <w:tc>
          <w:tcPr>
            <w:tcW w:w="1824"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highlight w:val="none"/>
                <w:lang w:val="en-US" w:eastAsia="zh-CN" w:bidi="ar-SA"/>
              </w:rPr>
            </w:pPr>
            <w:r>
              <w:rPr>
                <w:rFonts w:hint="eastAsia" w:asciiTheme="minorEastAsia" w:hAnsiTheme="minorEastAsia" w:eastAsiaTheme="minorEastAsia" w:cstheme="minorEastAsia"/>
                <w:b w:val="0"/>
                <w:bCs w:val="0"/>
                <w:color w:val="auto"/>
                <w:sz w:val="20"/>
                <w:szCs w:val="20"/>
                <w:highlight w:val="none"/>
                <w:lang w:val="en-US" w:eastAsia="zh-CN"/>
              </w:rPr>
              <w:t>13.82</w:t>
            </w:r>
          </w:p>
        </w:tc>
        <w:tc>
          <w:tcPr>
            <w:tcW w:w="1826"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highlight w:val="none"/>
                <w:lang w:val="en-US" w:eastAsia="zh-CN" w:bidi="ar-SA"/>
              </w:rPr>
            </w:pPr>
            <w:r>
              <w:rPr>
                <w:rFonts w:hint="eastAsia" w:asciiTheme="minorEastAsia" w:hAnsiTheme="minorEastAsia" w:eastAsiaTheme="minorEastAsia" w:cstheme="minorEastAsia"/>
                <w:b w:val="0"/>
                <w:bCs w:val="0"/>
                <w:color w:val="auto"/>
                <w:sz w:val="20"/>
                <w:szCs w:val="20"/>
                <w:highlight w:val="none"/>
                <w:lang w:val="en-US" w:eastAsia="zh-CN"/>
              </w:rPr>
              <w:t>13.82</w:t>
            </w:r>
          </w:p>
        </w:tc>
        <w:tc>
          <w:tcPr>
            <w:tcW w:w="1872"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05" w:hRule="atLeast"/>
          <w:jc w:val="center"/>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05</w:t>
            </w:r>
          </w:p>
        </w:tc>
        <w:tc>
          <w:tcPr>
            <w:tcW w:w="2548" w:type="dxa"/>
            <w:tcBorders>
              <w:top w:val="nil"/>
              <w:left w:val="nil"/>
              <w:bottom w:val="single" w:color="auto" w:sz="4" w:space="0"/>
              <w:right w:val="single" w:color="auto" w:sz="4" w:space="0"/>
            </w:tcBorders>
            <w:noWrap w:val="0"/>
            <w:vAlign w:val="center"/>
          </w:tcPr>
          <w:p>
            <w:pPr>
              <w:jc w:val="lef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rPr>
              <w:t>机关事业单位基本养老保险缴费支出</w:t>
            </w:r>
          </w:p>
        </w:tc>
        <w:tc>
          <w:tcPr>
            <w:tcW w:w="1824"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highlight w:val="none"/>
                <w:lang w:val="en-US" w:eastAsia="zh-CN" w:bidi="ar-SA"/>
              </w:rPr>
            </w:pPr>
            <w:r>
              <w:rPr>
                <w:rFonts w:hint="eastAsia" w:asciiTheme="minorEastAsia" w:hAnsiTheme="minorEastAsia" w:eastAsiaTheme="minorEastAsia" w:cstheme="minorEastAsia"/>
                <w:b w:val="0"/>
                <w:bCs w:val="0"/>
                <w:color w:val="auto"/>
                <w:sz w:val="20"/>
                <w:szCs w:val="20"/>
                <w:highlight w:val="none"/>
                <w:lang w:val="en-US" w:eastAsia="zh-CN"/>
              </w:rPr>
              <w:t>13.82</w:t>
            </w:r>
          </w:p>
        </w:tc>
        <w:tc>
          <w:tcPr>
            <w:tcW w:w="1826"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highlight w:val="none"/>
                <w:lang w:val="en-US" w:eastAsia="zh-CN" w:bidi="ar-SA"/>
              </w:rPr>
            </w:pPr>
            <w:r>
              <w:rPr>
                <w:rFonts w:hint="eastAsia" w:asciiTheme="minorEastAsia" w:hAnsiTheme="minorEastAsia" w:eastAsiaTheme="minorEastAsia" w:cstheme="minorEastAsia"/>
                <w:b w:val="0"/>
                <w:bCs w:val="0"/>
                <w:color w:val="auto"/>
                <w:sz w:val="20"/>
                <w:szCs w:val="20"/>
                <w:highlight w:val="none"/>
                <w:lang w:val="en-US" w:eastAsia="zh-CN"/>
              </w:rPr>
              <w:t>13.82</w:t>
            </w:r>
          </w:p>
        </w:tc>
        <w:tc>
          <w:tcPr>
            <w:tcW w:w="1872"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05" w:hRule="atLeast"/>
          <w:jc w:val="center"/>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516"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48" w:type="dxa"/>
            <w:tcBorders>
              <w:top w:val="nil"/>
              <w:left w:val="nil"/>
              <w:bottom w:val="single" w:color="auto" w:sz="4" w:space="0"/>
              <w:right w:val="single" w:color="auto" w:sz="4" w:space="0"/>
            </w:tcBorders>
            <w:noWrap w:val="0"/>
            <w:vAlign w:val="center"/>
          </w:tcPr>
          <w:p>
            <w:pPr>
              <w:rPr>
                <w:color w:val="auto"/>
                <w:highlight w:val="none"/>
              </w:rPr>
            </w:pPr>
          </w:p>
        </w:tc>
        <w:tc>
          <w:tcPr>
            <w:tcW w:w="1824" w:type="dxa"/>
            <w:tcBorders>
              <w:top w:val="nil"/>
              <w:left w:val="nil"/>
              <w:bottom w:val="single" w:color="auto" w:sz="4" w:space="0"/>
              <w:right w:val="single" w:color="auto" w:sz="4" w:space="0"/>
            </w:tcBorders>
            <w:noWrap w:val="0"/>
            <w:vAlign w:val="center"/>
          </w:tcPr>
          <w:p>
            <w:pPr>
              <w:rPr>
                <w:color w:val="auto"/>
                <w:highlight w:val="none"/>
              </w:rPr>
            </w:pPr>
          </w:p>
        </w:tc>
        <w:tc>
          <w:tcPr>
            <w:tcW w:w="1826" w:type="dxa"/>
            <w:tcBorders>
              <w:top w:val="nil"/>
              <w:left w:val="nil"/>
              <w:bottom w:val="single" w:color="auto" w:sz="4" w:space="0"/>
              <w:right w:val="single" w:color="auto" w:sz="4" w:space="0"/>
            </w:tcBorders>
            <w:noWrap w:val="0"/>
            <w:vAlign w:val="center"/>
          </w:tcPr>
          <w:p>
            <w:pPr>
              <w:rPr>
                <w:color w:val="auto"/>
                <w:highlight w:val="none"/>
              </w:rPr>
            </w:pPr>
          </w:p>
        </w:tc>
        <w:tc>
          <w:tcPr>
            <w:tcW w:w="1872" w:type="dxa"/>
            <w:tcBorders>
              <w:top w:val="nil"/>
              <w:left w:val="nil"/>
              <w:bottom w:val="single" w:color="auto" w:sz="4" w:space="0"/>
              <w:right w:val="single" w:color="auto" w:sz="4" w:space="0"/>
            </w:tcBorders>
            <w:noWrap w:val="0"/>
            <w:vAlign w:val="center"/>
          </w:tcPr>
          <w:p>
            <w:pPr>
              <w:rPr>
                <w:color w:val="auto"/>
                <w:highlight w:val="none"/>
              </w:rPr>
            </w:pPr>
          </w:p>
        </w:tc>
      </w:tr>
      <w:tr>
        <w:tblPrEx>
          <w:tblCellMar>
            <w:top w:w="0" w:type="dxa"/>
            <w:left w:w="108" w:type="dxa"/>
            <w:bottom w:w="0" w:type="dxa"/>
            <w:right w:w="108" w:type="dxa"/>
          </w:tblCellMar>
        </w:tblPrEx>
        <w:trPr>
          <w:trHeight w:val="405" w:hRule="atLeast"/>
          <w:jc w:val="center"/>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4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231.72</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143.02</w:t>
            </w:r>
          </w:p>
        </w:tc>
        <w:tc>
          <w:tcPr>
            <w:tcW w:w="1872"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88.70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rPr>
        <w:t>昌吉州青少年示范性综合实践基地</w:t>
      </w:r>
      <w:r>
        <w:rPr>
          <w:rFonts w:hint="eastAsia" w:ascii="仿宋_GB2312" w:hAnsi="宋体" w:eastAsia="仿宋_GB2312" w:cs="宋体"/>
          <w:color w:val="auto"/>
          <w:kern w:val="0"/>
          <w:sz w:val="24"/>
          <w:lang w:val="en-US" w:eastAsia="zh-CN"/>
        </w:rPr>
        <w:t>服务</w:t>
      </w:r>
      <w:r>
        <w:rPr>
          <w:rFonts w:hint="eastAsia" w:ascii="仿宋_GB2312" w:hAnsi="宋体" w:eastAsia="仿宋_GB2312" w:cs="宋体"/>
          <w:color w:val="auto"/>
          <w:kern w:val="0"/>
          <w:sz w:val="24"/>
        </w:rPr>
        <w:t>中心</w:t>
      </w:r>
      <w:r>
        <w:rPr>
          <w:rFonts w:hint="eastAsia" w:ascii="仿宋_GB2312" w:hAnsi="宋体" w:eastAsia="仿宋_GB2312"/>
          <w:color w:val="auto"/>
          <w:kern w:val="0"/>
          <w:sz w:val="24"/>
        </w:rPr>
        <w:t xml:space="preserve">      </w:t>
      </w:r>
      <w:r>
        <w:rPr>
          <w:rFonts w:hint="eastAsia" w:ascii="仿宋_GB2312" w:hAnsi="宋体" w:eastAsia="仿宋_GB2312"/>
          <w:color w:val="auto"/>
          <w:kern w:val="0"/>
          <w:sz w:val="24"/>
          <w:lang w:val="en-US" w:eastAsia="zh-CN"/>
        </w:rPr>
        <w:t xml:space="preserve">          </w:t>
      </w:r>
      <w:r>
        <w:rPr>
          <w:rFonts w:hint="eastAsia" w:ascii="仿宋_GB2312" w:hAnsi="宋体" w:eastAsia="仿宋_GB2312"/>
          <w:color w:val="auto"/>
          <w:kern w:val="0"/>
          <w:sz w:val="24"/>
        </w:rPr>
        <w:t>单位：万元</w:t>
      </w:r>
      <w:r>
        <w:rPr>
          <w:rFonts w:hint="eastAsia" w:ascii="仿宋_GB2312" w:hAnsi="宋体" w:eastAsia="仿宋_GB2312"/>
          <w:color w:val="auto"/>
          <w:kern w:val="0"/>
          <w:sz w:val="24"/>
          <w:highlight w:val="none"/>
        </w:rPr>
        <w:t xml:space="preserve">   </w:t>
      </w:r>
    </w:p>
    <w:tbl>
      <w:tblPr>
        <w:tblStyle w:val="5"/>
        <w:tblW w:w="10579" w:type="dxa"/>
        <w:tblInd w:w="0" w:type="dxa"/>
        <w:tblLayout w:type="fixed"/>
        <w:tblCellMar>
          <w:top w:w="0" w:type="dxa"/>
          <w:left w:w="108" w:type="dxa"/>
          <w:bottom w:w="0" w:type="dxa"/>
          <w:right w:w="108" w:type="dxa"/>
        </w:tblCellMar>
      </w:tblPr>
      <w:tblGrid>
        <w:gridCol w:w="1929"/>
        <w:gridCol w:w="914"/>
        <w:gridCol w:w="2570"/>
        <w:gridCol w:w="900"/>
        <w:gridCol w:w="876"/>
        <w:gridCol w:w="1130"/>
        <w:gridCol w:w="1130"/>
        <w:gridCol w:w="1130"/>
      </w:tblGrid>
      <w:tr>
        <w:tblPrEx>
          <w:tblCellMar>
            <w:top w:w="0" w:type="dxa"/>
            <w:left w:w="108" w:type="dxa"/>
            <w:bottom w:w="0" w:type="dxa"/>
            <w:right w:w="108" w:type="dxa"/>
          </w:tblCellMar>
        </w:tblPrEx>
        <w:trPr>
          <w:gridAfter w:val="1"/>
          <w:wAfter w:w="1130" w:type="dxa"/>
          <w:trHeight w:val="285" w:hRule="atLeast"/>
        </w:trPr>
        <w:tc>
          <w:tcPr>
            <w:tcW w:w="2843"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06"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gridAfter w:val="1"/>
          <w:wAfter w:w="1130" w:type="dxa"/>
          <w:trHeight w:val="500" w:hRule="atLeas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143.02</w:t>
            </w: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143.02</w:t>
            </w: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297"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129.2</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129.2</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13.82</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13.82</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gridAfter w:val="1"/>
          <w:wAfter w:w="1130" w:type="dxa"/>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143.02</w:t>
            </w:r>
            <w:r>
              <w:rPr>
                <w:rFonts w:hint="eastAsia" w:ascii="仿宋_GB2312" w:hAnsi="宋体" w:eastAsia="仿宋_GB2312" w:cs="宋体"/>
                <w:b/>
                <w:bCs/>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143.02</w:t>
            </w:r>
            <w:r>
              <w:rPr>
                <w:rFonts w:hint="eastAsia" w:ascii="宋体" w:hAnsi="宋体" w:cs="宋体"/>
                <w:color w:val="auto"/>
                <w:kern w:val="0"/>
                <w:sz w:val="22"/>
                <w:szCs w:val="22"/>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143.02</w:t>
            </w:r>
            <w:r>
              <w:rPr>
                <w:rFonts w:hint="eastAsia" w:ascii="宋体" w:hAnsi="宋体" w:cs="宋体"/>
                <w:color w:val="auto"/>
                <w:kern w:val="0"/>
                <w:sz w:val="22"/>
                <w:szCs w:val="22"/>
                <w:highlight w:val="none"/>
              </w:rPr>
              <w:t>　</w:t>
            </w:r>
          </w:p>
        </w:tc>
        <w:tc>
          <w:tcPr>
            <w:tcW w:w="2260"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8"/>
                <w:szCs w:val="18"/>
                <w:highlight w:val="none"/>
                <w:lang w:val="en-US" w:eastAsia="zh-CN" w:bidi="ar-SA"/>
              </w:rPr>
            </w:pPr>
          </w:p>
        </w:tc>
        <w:tc>
          <w:tcPr>
            <w:tcW w:w="1130" w:type="dxa"/>
            <w:tcBorders>
              <w:top w:val="nil"/>
              <w:left w:val="nil"/>
              <w:bottom w:val="nil"/>
              <w:right w:val="nil"/>
            </w:tcBorders>
            <w:noWrap w:val="0"/>
            <w:vAlign w:val="center"/>
          </w:tcPr>
          <w:p>
            <w:pPr>
              <w:widowControl/>
              <w:spacing w:line="280" w:lineRule="exact"/>
              <w:jc w:val="right"/>
              <w:rPr>
                <w:rFonts w:hint="eastAsia" w:ascii="宋体" w:hAnsi="宋体" w:eastAsia="宋体" w:cs="宋体"/>
                <w:color w:val="auto"/>
                <w:kern w:val="0"/>
                <w:sz w:val="18"/>
                <w:szCs w:val="18"/>
                <w:highlight w:val="none"/>
                <w:lang w:val="en-US" w:eastAsia="zh-CN" w:bidi="ar-SA"/>
              </w:rPr>
            </w:pP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fixed"/>
        <w:tblCellMar>
          <w:top w:w="0" w:type="dxa"/>
          <w:left w:w="108" w:type="dxa"/>
          <w:bottom w:w="0" w:type="dxa"/>
          <w:right w:w="108" w:type="dxa"/>
        </w:tblCellMar>
      </w:tblPr>
      <w:tblGrid>
        <w:gridCol w:w="516"/>
        <w:gridCol w:w="499"/>
        <w:gridCol w:w="502"/>
        <w:gridCol w:w="2495"/>
        <w:gridCol w:w="1675"/>
        <w:gridCol w:w="1835"/>
        <w:gridCol w:w="1692"/>
      </w:tblGrid>
      <w:tr>
        <w:tblPrEx>
          <w:tblCellMar>
            <w:top w:w="0" w:type="dxa"/>
            <w:left w:w="108" w:type="dxa"/>
            <w:bottom w:w="0" w:type="dxa"/>
            <w:right w:w="108" w:type="dxa"/>
          </w:tblCellMar>
        </w:tblPrEx>
        <w:trPr>
          <w:trHeight w:val="450" w:hRule="atLeast"/>
        </w:trPr>
        <w:tc>
          <w:tcPr>
            <w:tcW w:w="9214"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9214" w:type="dxa"/>
            <w:gridSpan w:val="7"/>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rPr>
              <w:t>昌吉州青少年示范性综合实践基地</w:t>
            </w:r>
            <w:r>
              <w:rPr>
                <w:rFonts w:hint="eastAsia" w:ascii="仿宋_GB2312" w:hAnsi="宋体" w:eastAsia="仿宋_GB2312" w:cs="宋体"/>
                <w:color w:val="auto"/>
                <w:kern w:val="0"/>
                <w:sz w:val="24"/>
                <w:lang w:val="en-US" w:eastAsia="zh-CN"/>
              </w:rPr>
              <w:t>服务</w:t>
            </w:r>
            <w:r>
              <w:rPr>
                <w:rFonts w:hint="eastAsia" w:ascii="仿宋_GB2312" w:hAnsi="宋体" w:eastAsia="仿宋_GB2312" w:cs="宋体"/>
                <w:color w:val="auto"/>
                <w:kern w:val="0"/>
                <w:sz w:val="24"/>
              </w:rPr>
              <w:t>中心</w:t>
            </w:r>
            <w:r>
              <w:rPr>
                <w:rFonts w:hint="eastAsia" w:ascii="仿宋_GB2312" w:hAnsi="宋体" w:eastAsia="仿宋_GB2312"/>
                <w:color w:val="auto"/>
                <w:kern w:val="0"/>
                <w:sz w:val="24"/>
              </w:rPr>
              <w:t xml:space="preserve">      </w:t>
            </w:r>
            <w:r>
              <w:rPr>
                <w:rFonts w:hint="eastAsia" w:ascii="仿宋_GB2312" w:hAnsi="宋体" w:eastAsia="仿宋_GB2312"/>
                <w:color w:val="auto"/>
                <w:kern w:val="0"/>
                <w:sz w:val="24"/>
                <w:lang w:val="en-US" w:eastAsia="zh-CN"/>
              </w:rPr>
              <w:t xml:space="preserve">           </w:t>
            </w:r>
            <w:r>
              <w:rPr>
                <w:rFonts w:hint="eastAsia" w:ascii="仿宋_GB2312" w:hAnsi="宋体" w:eastAsia="仿宋_GB2312"/>
                <w:color w:val="auto"/>
                <w:kern w:val="0"/>
                <w:sz w:val="24"/>
              </w:rPr>
              <w:t>单位：万元</w:t>
            </w:r>
          </w:p>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r>
      <w:tr>
        <w:tblPrEx>
          <w:tblCellMar>
            <w:top w:w="0" w:type="dxa"/>
            <w:left w:w="108" w:type="dxa"/>
            <w:bottom w:w="0" w:type="dxa"/>
            <w:right w:w="108" w:type="dxa"/>
          </w:tblCellMar>
        </w:tblPrEx>
        <w:trPr>
          <w:trHeight w:val="405" w:hRule="atLeast"/>
        </w:trPr>
        <w:tc>
          <w:tcPr>
            <w:tcW w:w="4012"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2"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205　</w:t>
            </w:r>
          </w:p>
        </w:tc>
        <w:tc>
          <w:tcPr>
            <w:tcW w:w="499"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　</w:t>
            </w:r>
          </w:p>
        </w:tc>
        <w:tc>
          <w:tcPr>
            <w:tcW w:w="502"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　</w:t>
            </w:r>
          </w:p>
        </w:tc>
        <w:tc>
          <w:tcPr>
            <w:tcW w:w="2495" w:type="dxa"/>
            <w:tcBorders>
              <w:top w:val="nil"/>
              <w:left w:val="nil"/>
              <w:bottom w:val="single" w:color="auto" w:sz="4" w:space="0"/>
              <w:right w:val="single" w:color="auto" w:sz="4" w:space="0"/>
            </w:tcBorders>
            <w:noWrap w:val="0"/>
            <w:vAlign w:val="center"/>
          </w:tcPr>
          <w:p>
            <w:pPr>
              <w:jc w:val="lef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rPr>
              <w:t>教育支出　</w:t>
            </w:r>
          </w:p>
        </w:tc>
        <w:tc>
          <w:tcPr>
            <w:tcW w:w="1675"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val="0"/>
                <w:color w:val="auto"/>
                <w:kern w:val="0"/>
                <w:sz w:val="20"/>
                <w:szCs w:val="20"/>
                <w:highlight w:val="none"/>
                <w:lang w:val="en-US" w:eastAsia="zh-CN" w:bidi="ar-SA"/>
              </w:rPr>
            </w:pPr>
            <w:r>
              <w:rPr>
                <w:rFonts w:hint="eastAsia" w:asciiTheme="minorEastAsia" w:hAnsiTheme="minorEastAsia" w:eastAsiaTheme="minorEastAsia" w:cstheme="minorEastAsia"/>
                <w:b w:val="0"/>
                <w:bCs w:val="0"/>
                <w:color w:val="auto"/>
                <w:kern w:val="0"/>
                <w:sz w:val="20"/>
                <w:szCs w:val="20"/>
                <w:highlight w:val="none"/>
                <w:lang w:val="en-US" w:eastAsia="zh-CN"/>
              </w:rPr>
              <w:t>129.20</w:t>
            </w:r>
          </w:p>
        </w:tc>
        <w:tc>
          <w:tcPr>
            <w:tcW w:w="1835"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val="0"/>
                <w:color w:val="auto"/>
                <w:kern w:val="0"/>
                <w:sz w:val="20"/>
                <w:szCs w:val="20"/>
                <w:highlight w:val="none"/>
                <w:lang w:val="en-US" w:eastAsia="zh-CN"/>
              </w:rPr>
            </w:pPr>
            <w:r>
              <w:rPr>
                <w:rFonts w:hint="eastAsia" w:asciiTheme="minorEastAsia" w:hAnsiTheme="minorEastAsia" w:eastAsiaTheme="minorEastAsia" w:cstheme="minorEastAsia"/>
                <w:b w:val="0"/>
                <w:bCs w:val="0"/>
                <w:color w:val="auto"/>
                <w:kern w:val="0"/>
                <w:sz w:val="20"/>
                <w:szCs w:val="20"/>
                <w:highlight w:val="none"/>
                <w:lang w:val="en-US" w:eastAsia="zh-CN"/>
              </w:rPr>
              <w:t>129.20</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 w:val="0"/>
                <w:bCs w:val="0"/>
                <w:color w:val="auto"/>
                <w:kern w:val="0"/>
                <w:sz w:val="20"/>
                <w:szCs w:val="20"/>
                <w:highlight w:val="none"/>
              </w:rPr>
            </w:pPr>
            <w:r>
              <w:rPr>
                <w:rFonts w:hint="eastAsia" w:asciiTheme="minorEastAsia" w:hAnsiTheme="minorEastAsia" w:eastAsiaTheme="minorEastAsia" w:cstheme="minorEastAsia"/>
                <w:b w:val="0"/>
                <w:bCs w:val="0"/>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205　</w:t>
            </w:r>
          </w:p>
        </w:tc>
        <w:tc>
          <w:tcPr>
            <w:tcW w:w="499"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02　</w:t>
            </w:r>
          </w:p>
        </w:tc>
        <w:tc>
          <w:tcPr>
            <w:tcW w:w="502"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　</w:t>
            </w:r>
          </w:p>
        </w:tc>
        <w:tc>
          <w:tcPr>
            <w:tcW w:w="2495" w:type="dxa"/>
            <w:tcBorders>
              <w:top w:val="nil"/>
              <w:left w:val="nil"/>
              <w:bottom w:val="single" w:color="auto" w:sz="4" w:space="0"/>
              <w:right w:val="single" w:color="auto" w:sz="4" w:space="0"/>
            </w:tcBorders>
            <w:noWrap w:val="0"/>
            <w:vAlign w:val="center"/>
          </w:tcPr>
          <w:p>
            <w:pPr>
              <w:jc w:val="lef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rPr>
              <w:t>普通教育</w:t>
            </w:r>
          </w:p>
        </w:tc>
        <w:tc>
          <w:tcPr>
            <w:tcW w:w="1675"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val="0"/>
                <w:color w:val="auto"/>
                <w:kern w:val="0"/>
                <w:sz w:val="20"/>
                <w:szCs w:val="20"/>
                <w:highlight w:val="none"/>
                <w:lang w:val="en-US" w:eastAsia="zh-CN" w:bidi="ar-SA"/>
              </w:rPr>
            </w:pPr>
            <w:r>
              <w:rPr>
                <w:rFonts w:hint="eastAsia" w:asciiTheme="minorEastAsia" w:hAnsiTheme="minorEastAsia" w:eastAsiaTheme="minorEastAsia" w:cstheme="minorEastAsia"/>
                <w:b w:val="0"/>
                <w:bCs w:val="0"/>
                <w:color w:val="auto"/>
                <w:kern w:val="0"/>
                <w:sz w:val="20"/>
                <w:szCs w:val="20"/>
                <w:highlight w:val="none"/>
                <w:lang w:val="en-US" w:eastAsia="zh-CN"/>
              </w:rPr>
              <w:t>129.20</w:t>
            </w:r>
          </w:p>
        </w:tc>
        <w:tc>
          <w:tcPr>
            <w:tcW w:w="1835"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val="0"/>
                <w:color w:val="auto"/>
                <w:kern w:val="0"/>
                <w:sz w:val="20"/>
                <w:szCs w:val="20"/>
                <w:highlight w:val="none"/>
                <w:lang w:val="en-US" w:eastAsia="zh-CN"/>
              </w:rPr>
            </w:pPr>
            <w:r>
              <w:rPr>
                <w:rFonts w:hint="eastAsia" w:asciiTheme="minorEastAsia" w:hAnsiTheme="minorEastAsia" w:eastAsiaTheme="minorEastAsia" w:cstheme="minorEastAsia"/>
                <w:b w:val="0"/>
                <w:bCs w:val="0"/>
                <w:color w:val="auto"/>
                <w:kern w:val="0"/>
                <w:sz w:val="20"/>
                <w:szCs w:val="20"/>
                <w:highlight w:val="none"/>
                <w:lang w:val="en-US" w:eastAsia="zh-CN"/>
              </w:rPr>
              <w:t>129.20</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 w:val="0"/>
                <w:bCs w:val="0"/>
                <w:color w:val="auto"/>
                <w:kern w:val="0"/>
                <w:sz w:val="20"/>
                <w:szCs w:val="20"/>
                <w:highlight w:val="none"/>
              </w:rPr>
            </w:pPr>
            <w:r>
              <w:rPr>
                <w:rFonts w:hint="eastAsia" w:asciiTheme="minorEastAsia" w:hAnsiTheme="minorEastAsia" w:eastAsiaTheme="minorEastAsia" w:cstheme="minorEastAsia"/>
                <w:b w:val="0"/>
                <w:bCs w:val="0"/>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205　</w:t>
            </w:r>
          </w:p>
        </w:tc>
        <w:tc>
          <w:tcPr>
            <w:tcW w:w="499"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02　</w:t>
            </w:r>
          </w:p>
        </w:tc>
        <w:tc>
          <w:tcPr>
            <w:tcW w:w="502"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02　</w:t>
            </w:r>
          </w:p>
        </w:tc>
        <w:tc>
          <w:tcPr>
            <w:tcW w:w="2495" w:type="dxa"/>
            <w:tcBorders>
              <w:top w:val="nil"/>
              <w:left w:val="nil"/>
              <w:bottom w:val="single" w:color="auto" w:sz="4" w:space="0"/>
              <w:right w:val="single" w:color="auto" w:sz="4" w:space="0"/>
            </w:tcBorders>
            <w:noWrap w:val="0"/>
            <w:vAlign w:val="center"/>
          </w:tcPr>
          <w:p>
            <w:pPr>
              <w:jc w:val="lef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rPr>
              <w:t>小学教育</w:t>
            </w:r>
          </w:p>
        </w:tc>
        <w:tc>
          <w:tcPr>
            <w:tcW w:w="1675"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val="0"/>
                <w:color w:val="auto"/>
                <w:kern w:val="0"/>
                <w:sz w:val="20"/>
                <w:szCs w:val="20"/>
                <w:highlight w:val="none"/>
                <w:lang w:val="en-US" w:eastAsia="zh-CN" w:bidi="ar-SA"/>
              </w:rPr>
            </w:pPr>
            <w:r>
              <w:rPr>
                <w:rFonts w:hint="eastAsia" w:asciiTheme="minorEastAsia" w:hAnsiTheme="minorEastAsia" w:eastAsiaTheme="minorEastAsia" w:cstheme="minorEastAsia"/>
                <w:b w:val="0"/>
                <w:bCs w:val="0"/>
                <w:color w:val="auto"/>
                <w:kern w:val="0"/>
                <w:sz w:val="20"/>
                <w:szCs w:val="20"/>
                <w:highlight w:val="none"/>
                <w:lang w:val="en-US" w:eastAsia="zh-CN"/>
              </w:rPr>
              <w:t>129.20</w:t>
            </w:r>
          </w:p>
        </w:tc>
        <w:tc>
          <w:tcPr>
            <w:tcW w:w="1835"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val="0"/>
                <w:color w:val="auto"/>
                <w:kern w:val="0"/>
                <w:sz w:val="20"/>
                <w:szCs w:val="20"/>
                <w:highlight w:val="none"/>
                <w:lang w:val="en-US" w:eastAsia="zh-CN"/>
              </w:rPr>
            </w:pPr>
            <w:r>
              <w:rPr>
                <w:rFonts w:hint="eastAsia" w:asciiTheme="minorEastAsia" w:hAnsiTheme="minorEastAsia" w:eastAsiaTheme="minorEastAsia" w:cstheme="minorEastAsia"/>
                <w:b w:val="0"/>
                <w:bCs w:val="0"/>
                <w:color w:val="auto"/>
                <w:kern w:val="0"/>
                <w:sz w:val="20"/>
                <w:szCs w:val="20"/>
                <w:highlight w:val="none"/>
                <w:lang w:val="en-US" w:eastAsia="zh-CN"/>
              </w:rPr>
              <w:t>129.20</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 w:val="0"/>
                <w:bCs w:val="0"/>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208</w:t>
            </w:r>
          </w:p>
        </w:tc>
        <w:tc>
          <w:tcPr>
            <w:tcW w:w="499"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　</w:t>
            </w:r>
          </w:p>
        </w:tc>
        <w:tc>
          <w:tcPr>
            <w:tcW w:w="502"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　</w:t>
            </w:r>
          </w:p>
        </w:tc>
        <w:tc>
          <w:tcPr>
            <w:tcW w:w="2495" w:type="dxa"/>
            <w:tcBorders>
              <w:top w:val="nil"/>
              <w:left w:val="nil"/>
              <w:bottom w:val="single" w:color="auto" w:sz="4" w:space="0"/>
              <w:right w:val="single" w:color="auto" w:sz="4" w:space="0"/>
            </w:tcBorders>
            <w:noWrap w:val="0"/>
            <w:vAlign w:val="center"/>
          </w:tcPr>
          <w:p>
            <w:pPr>
              <w:jc w:val="lef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rPr>
              <w:t>社会保障和就业支出</w:t>
            </w:r>
          </w:p>
        </w:tc>
        <w:tc>
          <w:tcPr>
            <w:tcW w:w="1675"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val="0"/>
                <w:color w:val="auto"/>
                <w:kern w:val="0"/>
                <w:sz w:val="20"/>
                <w:szCs w:val="20"/>
                <w:highlight w:val="none"/>
                <w:lang w:val="en-US" w:eastAsia="zh-CN" w:bidi="ar-SA"/>
              </w:rPr>
            </w:pPr>
            <w:r>
              <w:rPr>
                <w:rFonts w:hint="eastAsia" w:asciiTheme="minorEastAsia" w:hAnsiTheme="minorEastAsia" w:eastAsiaTheme="minorEastAsia" w:cstheme="minorEastAsia"/>
                <w:b w:val="0"/>
                <w:bCs w:val="0"/>
                <w:color w:val="auto"/>
                <w:kern w:val="0"/>
                <w:sz w:val="20"/>
                <w:szCs w:val="20"/>
                <w:highlight w:val="none"/>
                <w:lang w:val="en-US" w:eastAsia="zh-CN"/>
              </w:rPr>
              <w:t>13.82</w:t>
            </w:r>
          </w:p>
        </w:tc>
        <w:tc>
          <w:tcPr>
            <w:tcW w:w="1835"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val="0"/>
                <w:color w:val="auto"/>
                <w:kern w:val="0"/>
                <w:sz w:val="20"/>
                <w:szCs w:val="20"/>
                <w:highlight w:val="none"/>
                <w:lang w:val="en-US" w:eastAsia="zh-CN"/>
              </w:rPr>
            </w:pPr>
            <w:r>
              <w:rPr>
                <w:rFonts w:hint="eastAsia" w:asciiTheme="minorEastAsia" w:hAnsiTheme="minorEastAsia" w:eastAsiaTheme="minorEastAsia" w:cstheme="minorEastAsia"/>
                <w:b w:val="0"/>
                <w:bCs w:val="0"/>
                <w:color w:val="auto"/>
                <w:kern w:val="0"/>
                <w:sz w:val="20"/>
                <w:szCs w:val="20"/>
                <w:highlight w:val="none"/>
                <w:lang w:val="en-US" w:eastAsia="zh-CN"/>
              </w:rPr>
              <w:t>13.82</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 w:val="0"/>
                <w:bCs w:val="0"/>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05　</w:t>
            </w:r>
          </w:p>
        </w:tc>
        <w:tc>
          <w:tcPr>
            <w:tcW w:w="502"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　</w:t>
            </w:r>
          </w:p>
        </w:tc>
        <w:tc>
          <w:tcPr>
            <w:tcW w:w="2495" w:type="dxa"/>
            <w:tcBorders>
              <w:top w:val="nil"/>
              <w:left w:val="nil"/>
              <w:bottom w:val="single" w:color="auto" w:sz="4" w:space="0"/>
              <w:right w:val="single" w:color="auto" w:sz="4" w:space="0"/>
            </w:tcBorders>
            <w:noWrap w:val="0"/>
            <w:vAlign w:val="center"/>
          </w:tcPr>
          <w:p>
            <w:pPr>
              <w:jc w:val="lef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rPr>
              <w:t>行政事业单位养老支出　</w:t>
            </w:r>
          </w:p>
        </w:tc>
        <w:tc>
          <w:tcPr>
            <w:tcW w:w="1675"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val="0"/>
                <w:color w:val="auto"/>
                <w:kern w:val="0"/>
                <w:sz w:val="20"/>
                <w:szCs w:val="20"/>
                <w:highlight w:val="none"/>
                <w:lang w:val="en-US" w:eastAsia="zh-CN" w:bidi="ar-SA"/>
              </w:rPr>
            </w:pPr>
            <w:r>
              <w:rPr>
                <w:rFonts w:hint="eastAsia" w:asciiTheme="minorEastAsia" w:hAnsiTheme="minorEastAsia" w:eastAsiaTheme="minorEastAsia" w:cstheme="minorEastAsia"/>
                <w:b w:val="0"/>
                <w:bCs w:val="0"/>
                <w:color w:val="auto"/>
                <w:kern w:val="0"/>
                <w:sz w:val="20"/>
                <w:szCs w:val="20"/>
                <w:highlight w:val="none"/>
                <w:lang w:val="en-US" w:eastAsia="zh-CN"/>
              </w:rPr>
              <w:t>13.82</w:t>
            </w:r>
          </w:p>
        </w:tc>
        <w:tc>
          <w:tcPr>
            <w:tcW w:w="1835"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val="0"/>
                <w:color w:val="auto"/>
                <w:kern w:val="0"/>
                <w:sz w:val="20"/>
                <w:szCs w:val="20"/>
                <w:highlight w:val="none"/>
                <w:lang w:val="en-US" w:eastAsia="zh-CN"/>
              </w:rPr>
            </w:pPr>
            <w:r>
              <w:rPr>
                <w:rFonts w:hint="eastAsia" w:asciiTheme="minorEastAsia" w:hAnsiTheme="minorEastAsia" w:eastAsiaTheme="minorEastAsia" w:cstheme="minorEastAsia"/>
                <w:b w:val="0"/>
                <w:bCs w:val="0"/>
                <w:color w:val="auto"/>
                <w:kern w:val="0"/>
                <w:sz w:val="20"/>
                <w:szCs w:val="20"/>
                <w:highlight w:val="none"/>
                <w:lang w:val="en-US" w:eastAsia="zh-CN"/>
              </w:rPr>
              <w:t>13.82</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 w:val="0"/>
                <w:bCs w:val="0"/>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05　</w:t>
            </w:r>
          </w:p>
        </w:tc>
        <w:tc>
          <w:tcPr>
            <w:tcW w:w="502"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lang w:val="en-US" w:eastAsia="zh-CN"/>
              </w:rPr>
              <w:t>05</w:t>
            </w:r>
          </w:p>
        </w:tc>
        <w:tc>
          <w:tcPr>
            <w:tcW w:w="2495" w:type="dxa"/>
            <w:tcBorders>
              <w:top w:val="nil"/>
              <w:left w:val="nil"/>
              <w:bottom w:val="single" w:color="auto" w:sz="4" w:space="0"/>
              <w:right w:val="single" w:color="auto" w:sz="4" w:space="0"/>
            </w:tcBorders>
            <w:noWrap w:val="0"/>
            <w:vAlign w:val="center"/>
          </w:tcPr>
          <w:p>
            <w:pPr>
              <w:jc w:val="left"/>
              <w:rPr>
                <w:rFonts w:hint="eastAsia" w:asciiTheme="minorEastAsia" w:hAnsiTheme="minorEastAsia" w:eastAsiaTheme="minorEastAsia" w:cstheme="minorEastAsia"/>
                <w:b w:val="0"/>
                <w:bCs w:val="0"/>
                <w:color w:val="auto"/>
                <w:kern w:val="2"/>
                <w:sz w:val="20"/>
                <w:szCs w:val="20"/>
                <w:lang w:val="en-US" w:eastAsia="zh-CN" w:bidi="ar-SA"/>
              </w:rPr>
            </w:pPr>
            <w:r>
              <w:rPr>
                <w:rFonts w:hint="eastAsia" w:asciiTheme="minorEastAsia" w:hAnsiTheme="minorEastAsia" w:eastAsiaTheme="minorEastAsia" w:cstheme="minorEastAsia"/>
                <w:b w:val="0"/>
                <w:bCs w:val="0"/>
                <w:color w:val="auto"/>
                <w:sz w:val="20"/>
                <w:szCs w:val="20"/>
              </w:rPr>
              <w:t>机关事业单位基本养老保险缴费支出</w:t>
            </w:r>
          </w:p>
        </w:tc>
        <w:tc>
          <w:tcPr>
            <w:tcW w:w="1675"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val="0"/>
                <w:color w:val="auto"/>
                <w:kern w:val="0"/>
                <w:sz w:val="20"/>
                <w:szCs w:val="20"/>
                <w:highlight w:val="none"/>
                <w:lang w:val="en-US" w:eastAsia="zh-CN" w:bidi="ar-SA"/>
              </w:rPr>
            </w:pPr>
            <w:r>
              <w:rPr>
                <w:rFonts w:hint="eastAsia" w:asciiTheme="minorEastAsia" w:hAnsiTheme="minorEastAsia" w:eastAsiaTheme="minorEastAsia" w:cstheme="minorEastAsia"/>
                <w:b w:val="0"/>
                <w:bCs w:val="0"/>
                <w:color w:val="auto"/>
                <w:kern w:val="0"/>
                <w:sz w:val="20"/>
                <w:szCs w:val="20"/>
                <w:highlight w:val="none"/>
                <w:lang w:val="en-US" w:eastAsia="zh-CN"/>
              </w:rPr>
              <w:t>13.82</w:t>
            </w:r>
          </w:p>
        </w:tc>
        <w:tc>
          <w:tcPr>
            <w:tcW w:w="1835"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val="0"/>
                <w:color w:val="auto"/>
                <w:kern w:val="0"/>
                <w:sz w:val="20"/>
                <w:szCs w:val="20"/>
                <w:highlight w:val="none"/>
                <w:lang w:val="en-US" w:eastAsia="zh-CN"/>
              </w:rPr>
            </w:pPr>
            <w:r>
              <w:rPr>
                <w:rFonts w:hint="eastAsia" w:asciiTheme="minorEastAsia" w:hAnsiTheme="minorEastAsia" w:eastAsiaTheme="minorEastAsia" w:cstheme="minorEastAsia"/>
                <w:b w:val="0"/>
                <w:bCs w:val="0"/>
                <w:color w:val="auto"/>
                <w:kern w:val="0"/>
                <w:sz w:val="20"/>
                <w:szCs w:val="20"/>
                <w:highlight w:val="none"/>
                <w:lang w:val="en-US" w:eastAsia="zh-CN"/>
              </w:rPr>
              <w:t>13.82</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 w:val="0"/>
                <w:bCs w:val="0"/>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7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3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35"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7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3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p>
        </w:tc>
        <w:tc>
          <w:tcPr>
            <w:tcW w:w="2495"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5"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143.02</w:t>
            </w:r>
          </w:p>
        </w:tc>
        <w:tc>
          <w:tcPr>
            <w:tcW w:w="1835"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143.02</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jc w:val="center"/>
        <w:tblLayout w:type="fixed"/>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75" w:hRule="atLeast"/>
          <w:jc w:val="center"/>
        </w:trPr>
        <w:tc>
          <w:tcPr>
            <w:tcW w:w="9328" w:type="dxa"/>
            <w:gridSpan w:val="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jc w:val="center"/>
        </w:trPr>
        <w:tc>
          <w:tcPr>
            <w:tcW w:w="9328"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rPr>
              <w:t>昌吉州青少年示范性综合实践基地</w:t>
            </w:r>
            <w:r>
              <w:rPr>
                <w:rFonts w:hint="eastAsia" w:ascii="仿宋_GB2312" w:hAnsi="宋体" w:eastAsia="仿宋_GB2312" w:cs="宋体"/>
                <w:color w:val="auto"/>
                <w:kern w:val="0"/>
                <w:sz w:val="24"/>
                <w:lang w:val="en-US" w:eastAsia="zh-CN"/>
              </w:rPr>
              <w:t>服务</w:t>
            </w:r>
            <w:r>
              <w:rPr>
                <w:rFonts w:hint="eastAsia" w:ascii="仿宋_GB2312" w:hAnsi="宋体" w:eastAsia="仿宋_GB2312" w:cs="宋体"/>
                <w:color w:val="auto"/>
                <w:kern w:val="0"/>
                <w:sz w:val="24"/>
              </w:rPr>
              <w:t>中心</w:t>
            </w:r>
            <w:r>
              <w:rPr>
                <w:rFonts w:hint="eastAsia" w:ascii="仿宋_GB2312" w:hAnsi="宋体" w:eastAsia="仿宋_GB2312"/>
                <w:color w:val="auto"/>
                <w:kern w:val="0"/>
                <w:sz w:val="24"/>
              </w:rPr>
              <w:t xml:space="preserve">      </w:t>
            </w:r>
            <w:r>
              <w:rPr>
                <w:rFonts w:hint="eastAsia" w:ascii="仿宋_GB2312" w:hAnsi="宋体" w:eastAsia="仿宋_GB2312"/>
                <w:color w:val="auto"/>
                <w:kern w:val="0"/>
                <w:sz w:val="24"/>
                <w:lang w:val="en-US" w:eastAsia="zh-CN"/>
              </w:rPr>
              <w:t xml:space="preserve">           </w:t>
            </w:r>
            <w:r>
              <w:rPr>
                <w:rFonts w:hint="eastAsia" w:ascii="仿宋_GB2312" w:hAnsi="宋体" w:eastAsia="仿宋_GB2312"/>
                <w:color w:val="auto"/>
                <w:kern w:val="0"/>
                <w:sz w:val="24"/>
              </w:rPr>
              <w:t>单位：万元</w:t>
            </w:r>
          </w:p>
        </w:tc>
      </w:tr>
      <w:tr>
        <w:tblPrEx>
          <w:tblCellMar>
            <w:top w:w="0" w:type="dxa"/>
            <w:left w:w="108" w:type="dxa"/>
            <w:bottom w:w="0" w:type="dxa"/>
            <w:right w:w="108" w:type="dxa"/>
          </w:tblCellMar>
        </w:tblPrEx>
        <w:trPr>
          <w:trHeight w:val="374" w:hRule="atLeast"/>
          <w:jc w:val="center"/>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jc w:val="center"/>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工资福利支出</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143.02</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134.21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8.81</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01</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基本工资</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38.17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38.17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02</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津贴补贴</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10.1</w:t>
            </w:r>
          </w:p>
        </w:tc>
        <w:tc>
          <w:tcPr>
            <w:tcW w:w="1701" w:type="dxa"/>
            <w:tcBorders>
              <w:top w:val="nil"/>
              <w:left w:val="nil"/>
              <w:bottom w:val="single" w:color="auto" w:sz="4" w:space="0"/>
              <w:right w:val="single" w:color="auto" w:sz="4" w:space="0"/>
            </w:tcBorders>
            <w:noWrap w:val="0"/>
            <w:vAlign w:val="center"/>
          </w:tcPr>
          <w:p>
            <w:pPr>
              <w:widowControl/>
              <w:ind w:right="147" w:rightChars="70"/>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10.1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03</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奖金</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25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25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07</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绩效工资</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20.8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20.8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08</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机关事业单位基本养老保险</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13.82</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13.82</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10</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rPr>
              <w:t>城镇</w:t>
            </w:r>
            <w:r>
              <w:rPr>
                <w:rFonts w:hint="eastAsia" w:asciiTheme="minorEastAsia" w:hAnsiTheme="minorEastAsia" w:eastAsiaTheme="minorEastAsia" w:cstheme="minorEastAsia"/>
                <w:color w:val="auto"/>
                <w:kern w:val="0"/>
                <w:sz w:val="18"/>
                <w:szCs w:val="18"/>
              </w:rPr>
              <w:t>职工基本医疗保险缴费</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6.91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6.91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11</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公务员医疗补助缴费</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1.90</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1.90</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12</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其他社会保障缴费</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0.82</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0.82</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13</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住房公积金</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11.28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11.28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99</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其他工资福利支出</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5.39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5.39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商品和服务支出</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01</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办公费</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0.73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0.73</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widowControl/>
              <w:tabs>
                <w:tab w:val="left" w:pos="337"/>
              </w:tabs>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0</w:t>
            </w:r>
            <w:r>
              <w:rPr>
                <w:rFonts w:hint="eastAsia" w:asciiTheme="minorEastAsia" w:hAnsiTheme="minorEastAsia" w:eastAsiaTheme="minorEastAsia" w:cstheme="minorEastAsia"/>
                <w:color w:val="auto"/>
                <w:kern w:val="0"/>
                <w:sz w:val="18"/>
                <w:szCs w:val="18"/>
                <w:lang w:val="en-US" w:eastAsia="zh-CN"/>
              </w:rPr>
              <w:t>6</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bidi="ar-SA"/>
              </w:rPr>
              <w:t>电费</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0.17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0.17</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eastAsia="zh-CN"/>
              </w:rPr>
              <w:t>邮电费</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0.24</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0.24</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取暖费</w:t>
            </w:r>
          </w:p>
        </w:tc>
        <w:tc>
          <w:tcPr>
            <w:tcW w:w="1701" w:type="dxa"/>
            <w:tcBorders>
              <w:top w:val="nil"/>
              <w:left w:val="nil"/>
              <w:bottom w:val="single" w:color="auto" w:sz="4" w:space="0"/>
              <w:right w:val="single" w:color="auto" w:sz="4" w:space="0"/>
            </w:tcBorders>
            <w:noWrap w:val="0"/>
            <w:vAlign w:val="center"/>
          </w:tcPr>
          <w:p>
            <w:pPr>
              <w:widowControl/>
              <w:ind w:firstLine="180" w:firstLineChars="100"/>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5.82</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ind w:firstLine="180" w:firstLineChars="100"/>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5.82</w:t>
            </w:r>
          </w:p>
        </w:tc>
      </w:tr>
      <w:tr>
        <w:tblPrEx>
          <w:tblCellMar>
            <w:top w:w="0" w:type="dxa"/>
            <w:left w:w="108" w:type="dxa"/>
            <w:bottom w:w="0" w:type="dxa"/>
            <w:right w:w="108" w:type="dxa"/>
          </w:tblCellMar>
        </w:tblPrEx>
        <w:trPr>
          <w:trHeight w:val="447"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widowControl/>
              <w:tabs>
                <w:tab w:val="left" w:pos="352"/>
              </w:tabs>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bidi="ar-SA"/>
              </w:rPr>
              <w:t>11</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差旅费</w:t>
            </w:r>
          </w:p>
        </w:tc>
        <w:tc>
          <w:tcPr>
            <w:tcW w:w="1701" w:type="dxa"/>
            <w:tcBorders>
              <w:top w:val="nil"/>
              <w:left w:val="nil"/>
              <w:bottom w:val="single" w:color="auto" w:sz="4" w:space="0"/>
              <w:right w:val="single" w:color="auto" w:sz="4" w:space="0"/>
            </w:tcBorders>
            <w:noWrap w:val="0"/>
            <w:vAlign w:val="center"/>
          </w:tcPr>
          <w:p>
            <w:pPr>
              <w:widowControl/>
              <w:ind w:firstLine="180" w:firstLineChars="100"/>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0.19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ind w:firstLine="180" w:firstLineChars="100"/>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0.19</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bidi="ar-SA"/>
              </w:rPr>
              <w:t>28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kern w:val="2"/>
                <w:sz w:val="18"/>
                <w:szCs w:val="18"/>
                <w:u w:val="none"/>
                <w:lang w:val="en-US" w:eastAsia="zh-CN" w:bidi="ar-SA"/>
              </w:rPr>
            </w:pPr>
            <w:r>
              <w:rPr>
                <w:rFonts w:hint="eastAsia" w:asciiTheme="minorEastAsia" w:hAnsiTheme="minorEastAsia" w:eastAsiaTheme="minorEastAsia" w:cstheme="minorEastAsia"/>
                <w:color w:val="auto"/>
                <w:kern w:val="0"/>
                <w:sz w:val="18"/>
                <w:szCs w:val="18"/>
                <w:lang w:val="en-US" w:eastAsia="zh-CN"/>
              </w:rPr>
              <w:t>工会经费</w:t>
            </w:r>
          </w:p>
        </w:tc>
        <w:tc>
          <w:tcPr>
            <w:tcW w:w="1701" w:type="dxa"/>
            <w:tcBorders>
              <w:top w:val="nil"/>
              <w:left w:val="nil"/>
              <w:bottom w:val="single" w:color="auto" w:sz="4" w:space="0"/>
              <w:right w:val="single" w:color="auto" w:sz="4" w:space="0"/>
            </w:tcBorders>
            <w:noWrap w:val="0"/>
            <w:vAlign w:val="center"/>
          </w:tcPr>
          <w:p>
            <w:pPr>
              <w:widowControl/>
              <w:ind w:firstLine="180" w:firstLineChars="100"/>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1.66</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ind w:firstLine="180" w:firstLineChars="100"/>
              <w:jc w:val="center"/>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1.66</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bCs/>
                <w:color w:val="auto"/>
                <w:kern w:val="0"/>
                <w:sz w:val="18"/>
                <w:szCs w:val="18"/>
                <w:highlight w:val="none"/>
              </w:rPr>
            </w:pP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bCs/>
                <w:color w:val="auto"/>
                <w:kern w:val="0"/>
                <w:sz w:val="18"/>
                <w:szCs w:val="18"/>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bCs/>
                <w:color w:val="auto"/>
                <w:kern w:val="0"/>
                <w:sz w:val="18"/>
                <w:szCs w:val="18"/>
                <w:highlight w:val="none"/>
              </w:rPr>
            </w:pPr>
            <w:r>
              <w:rPr>
                <w:rFonts w:hint="eastAsia" w:asciiTheme="minorEastAsia" w:hAnsiTheme="minorEastAsia" w:eastAsiaTheme="minorEastAsia" w:cstheme="minorEastAsia"/>
                <w:b/>
                <w:bCs/>
                <w:color w:val="auto"/>
                <w:kern w:val="0"/>
                <w:sz w:val="18"/>
                <w:szCs w:val="18"/>
                <w:highlight w:val="none"/>
              </w:rPr>
              <w:t>合  计</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bCs/>
                <w:color w:val="auto"/>
                <w:kern w:val="0"/>
                <w:sz w:val="18"/>
                <w:szCs w:val="18"/>
                <w:highlight w:val="none"/>
                <w:lang w:val="en-US" w:eastAsia="zh-CN"/>
              </w:rPr>
            </w:pPr>
            <w:r>
              <w:rPr>
                <w:rFonts w:hint="eastAsia" w:asciiTheme="minorEastAsia" w:hAnsiTheme="minorEastAsia" w:eastAsiaTheme="minorEastAsia" w:cstheme="minorEastAsia"/>
                <w:b/>
                <w:bCs/>
                <w:color w:val="auto"/>
                <w:kern w:val="0"/>
                <w:sz w:val="18"/>
                <w:szCs w:val="18"/>
                <w:highlight w:val="none"/>
                <w:lang w:val="en-US" w:eastAsia="zh-CN"/>
              </w:rPr>
              <w:t>143.02</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bCs/>
                <w:color w:val="auto"/>
                <w:kern w:val="0"/>
                <w:sz w:val="18"/>
                <w:szCs w:val="18"/>
                <w:highlight w:val="none"/>
                <w:lang w:val="en-US" w:eastAsia="zh-CN"/>
              </w:rPr>
            </w:pPr>
            <w:r>
              <w:rPr>
                <w:rFonts w:hint="eastAsia" w:asciiTheme="minorEastAsia" w:hAnsiTheme="minorEastAsia" w:eastAsiaTheme="minorEastAsia" w:cstheme="minorEastAsia"/>
                <w:b/>
                <w:bCs/>
                <w:color w:val="auto"/>
                <w:kern w:val="0"/>
                <w:sz w:val="18"/>
                <w:szCs w:val="18"/>
                <w:highlight w:val="none"/>
                <w:lang w:val="en-US" w:eastAsia="zh-CN"/>
              </w:rPr>
              <w:t>134.21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bCs/>
                <w:color w:val="auto"/>
                <w:kern w:val="0"/>
                <w:sz w:val="18"/>
                <w:szCs w:val="18"/>
                <w:highlight w:val="none"/>
                <w:lang w:val="en-US" w:eastAsia="zh-CN"/>
              </w:rPr>
            </w:pPr>
            <w:r>
              <w:rPr>
                <w:rFonts w:hint="eastAsia" w:asciiTheme="minorEastAsia" w:hAnsiTheme="minorEastAsia" w:eastAsiaTheme="minorEastAsia" w:cstheme="minorEastAsia"/>
                <w:b/>
                <w:bCs/>
                <w:color w:val="auto"/>
                <w:kern w:val="0"/>
                <w:sz w:val="18"/>
                <w:szCs w:val="18"/>
                <w:highlight w:val="none"/>
                <w:lang w:val="en-US" w:eastAsia="zh-CN"/>
              </w:rPr>
              <w:t>8.81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40" w:type="dxa"/>
        <w:jc w:val="center"/>
        <w:tblLayout w:type="fixed"/>
        <w:tblCellMar>
          <w:top w:w="0" w:type="dxa"/>
          <w:left w:w="108" w:type="dxa"/>
          <w:bottom w:w="0" w:type="dxa"/>
          <w:right w:w="108" w:type="dxa"/>
        </w:tblCellMar>
      </w:tblPr>
      <w:tblGrid>
        <w:gridCol w:w="8"/>
        <w:gridCol w:w="409"/>
        <w:gridCol w:w="417"/>
        <w:gridCol w:w="417"/>
        <w:gridCol w:w="828"/>
        <w:gridCol w:w="1400"/>
        <w:gridCol w:w="732"/>
        <w:gridCol w:w="561"/>
        <w:gridCol w:w="530"/>
        <w:gridCol w:w="639"/>
        <w:gridCol w:w="639"/>
        <w:gridCol w:w="618"/>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jc w:val="center"/>
        </w:trPr>
        <w:tc>
          <w:tcPr>
            <w:tcW w:w="9455"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jc w:val="center"/>
        </w:trPr>
        <w:tc>
          <w:tcPr>
            <w:tcW w:w="9455" w:type="dxa"/>
            <w:gridSpan w:val="1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rPr>
              <w:t>昌吉州青少年示范性综合实践基地</w:t>
            </w:r>
            <w:r>
              <w:rPr>
                <w:rFonts w:hint="eastAsia" w:ascii="仿宋_GB2312" w:hAnsi="宋体" w:eastAsia="仿宋_GB2312" w:cs="宋体"/>
                <w:color w:val="auto"/>
                <w:kern w:val="0"/>
                <w:sz w:val="24"/>
                <w:lang w:val="en-US" w:eastAsia="zh-CN"/>
              </w:rPr>
              <w:t>服务</w:t>
            </w:r>
            <w:r>
              <w:rPr>
                <w:rFonts w:hint="eastAsia" w:ascii="仿宋_GB2312" w:hAnsi="宋体" w:eastAsia="仿宋_GB2312" w:cs="宋体"/>
                <w:color w:val="auto"/>
                <w:kern w:val="0"/>
                <w:sz w:val="24"/>
              </w:rPr>
              <w:t>中心</w:t>
            </w:r>
            <w:r>
              <w:rPr>
                <w:rFonts w:hint="eastAsia" w:ascii="仿宋_GB2312" w:hAnsi="宋体" w:eastAsia="仿宋_GB2312"/>
                <w:color w:val="auto"/>
                <w:kern w:val="0"/>
                <w:sz w:val="24"/>
              </w:rPr>
              <w:t xml:space="preserve">      </w:t>
            </w:r>
            <w:r>
              <w:rPr>
                <w:rFonts w:hint="eastAsia" w:ascii="仿宋_GB2312" w:hAnsi="宋体" w:eastAsia="仿宋_GB2312"/>
                <w:color w:val="auto"/>
                <w:kern w:val="0"/>
                <w:sz w:val="24"/>
                <w:lang w:val="en-US" w:eastAsia="zh-CN"/>
              </w:rPr>
              <w:t xml:space="preserve">           </w:t>
            </w:r>
            <w:r>
              <w:rPr>
                <w:rFonts w:hint="eastAsia" w:ascii="仿宋_GB2312" w:hAnsi="宋体" w:eastAsia="仿宋_GB2312"/>
                <w:color w:val="auto"/>
                <w:kern w:val="0"/>
                <w:sz w:val="24"/>
              </w:rPr>
              <w:t>单位：万元</w:t>
            </w:r>
            <w:r>
              <w:rPr>
                <w:rFonts w:hint="eastAsia" w:ascii="仿宋_GB2312" w:hAnsi="宋体" w:eastAsia="仿宋_GB2312" w:cs="宋体"/>
                <w:color w:val="auto"/>
                <w:kern w:val="0"/>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251"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jc w:val="center"/>
        </w:trPr>
        <w:tc>
          <w:tcPr>
            <w:tcW w:w="417"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noWrap w:val="0"/>
            <w:vAlign w:val="center"/>
          </w:tcPr>
          <w:p>
            <w:pPr>
              <w:widowControl/>
              <w:jc w:val="center"/>
              <w:outlineLvl w:val="1"/>
              <w:rPr>
                <w:rFonts w:ascii="仿宋_GB2312" w:hAnsi="宋体" w:eastAsia="仿宋_GB2312"/>
                <w:color w:val="auto"/>
                <w:kern w:val="0"/>
                <w:szCs w:val="21"/>
                <w:highlight w:val="none"/>
              </w:rPr>
            </w:pP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outlineLvl w:val="1"/>
        <w:rPr>
          <w:rFonts w:hint="eastAsia" w:ascii="仿宋_GB2312" w:hAnsi="宋体" w:eastAsia="仿宋_GB2312"/>
          <w:b/>
          <w:color w:val="auto"/>
          <w:kern w:val="0"/>
          <w:sz w:val="28"/>
          <w:szCs w:val="28"/>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cs="宋体"/>
          <w:color w:val="auto"/>
          <w:kern w:val="0"/>
          <w:sz w:val="28"/>
          <w:szCs w:val="28"/>
        </w:rPr>
        <w:t>昌吉州青少年示范性综合实践基地</w:t>
      </w:r>
      <w:r>
        <w:rPr>
          <w:rFonts w:hint="eastAsia" w:ascii="仿宋_GB2312" w:hAnsi="宋体" w:eastAsia="仿宋_GB2312" w:cs="宋体"/>
          <w:color w:val="auto"/>
          <w:kern w:val="0"/>
          <w:sz w:val="28"/>
          <w:szCs w:val="28"/>
          <w:lang w:val="en-US" w:eastAsia="zh-CN"/>
        </w:rPr>
        <w:t>服务</w:t>
      </w:r>
      <w:r>
        <w:rPr>
          <w:rFonts w:hint="eastAsia" w:ascii="仿宋_GB2312" w:hAnsi="宋体" w:eastAsia="仿宋_GB2312" w:cs="宋体"/>
          <w:color w:val="auto"/>
          <w:kern w:val="0"/>
          <w:sz w:val="28"/>
          <w:szCs w:val="28"/>
        </w:rPr>
        <w:t>中心</w:t>
      </w:r>
      <w:r>
        <w:rPr>
          <w:rFonts w:hint="eastAsia" w:ascii="仿宋_GB2312" w:hAnsi="仿宋_GB2312" w:eastAsia="仿宋_GB2312" w:cs="仿宋_GB2312"/>
          <w:color w:val="auto"/>
          <w:sz w:val="28"/>
          <w:szCs w:val="28"/>
        </w:rPr>
        <w:t>202</w:t>
      </w: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年无一般公共预算项目支出</w:t>
      </w:r>
      <w:r>
        <w:rPr>
          <w:rFonts w:hint="eastAsia" w:ascii="仿宋_GB2312" w:hAnsi="仿宋_GB2312" w:eastAsia="仿宋_GB2312" w:cs="仿宋_GB2312"/>
          <w:color w:val="auto"/>
          <w:sz w:val="28"/>
          <w:szCs w:val="28"/>
          <w:lang w:val="en-US" w:eastAsia="zh-CN"/>
        </w:rPr>
        <w:t>,此表为空。</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rPr>
        <w:t>昌吉州青少年示范性综合实践基地</w:t>
      </w:r>
      <w:r>
        <w:rPr>
          <w:rFonts w:hint="eastAsia" w:ascii="仿宋_GB2312" w:hAnsi="宋体" w:eastAsia="仿宋_GB2312" w:cs="宋体"/>
          <w:color w:val="auto"/>
          <w:kern w:val="0"/>
          <w:sz w:val="24"/>
          <w:lang w:val="en-US" w:eastAsia="zh-CN"/>
        </w:rPr>
        <w:t>服务</w:t>
      </w:r>
      <w:r>
        <w:rPr>
          <w:rFonts w:hint="eastAsia" w:ascii="仿宋_GB2312" w:hAnsi="宋体" w:eastAsia="仿宋_GB2312" w:cs="宋体"/>
          <w:color w:val="auto"/>
          <w:kern w:val="0"/>
          <w:sz w:val="24"/>
        </w:rPr>
        <w:t>中心</w:t>
      </w:r>
      <w:r>
        <w:rPr>
          <w:rFonts w:hint="eastAsia" w:ascii="仿宋_GB2312" w:hAnsi="宋体" w:eastAsia="仿宋_GB2312"/>
          <w:color w:val="auto"/>
          <w:kern w:val="0"/>
          <w:sz w:val="24"/>
        </w:rPr>
        <w:t xml:space="preserve">      </w:t>
      </w:r>
      <w:r>
        <w:rPr>
          <w:rFonts w:hint="eastAsia" w:ascii="仿宋_GB2312" w:hAnsi="宋体" w:eastAsia="仿宋_GB2312"/>
          <w:color w:val="auto"/>
          <w:kern w:val="0"/>
          <w:sz w:val="24"/>
          <w:lang w:val="en-US" w:eastAsia="zh-CN"/>
        </w:rPr>
        <w:t xml:space="preserve">          </w:t>
      </w:r>
      <w:r>
        <w:rPr>
          <w:rFonts w:hint="eastAsia" w:ascii="仿宋_GB2312" w:hAnsi="宋体" w:eastAsia="仿宋_GB2312"/>
          <w:color w:val="auto"/>
          <w:kern w:val="0"/>
          <w:sz w:val="24"/>
        </w:rPr>
        <w:t>单位：万元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5"/>
        <w:tblW w:w="9214" w:type="dxa"/>
        <w:jc w:val="center"/>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jc w:val="center"/>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jc w:val="center"/>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jc w:val="center"/>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default" w:ascii="仿宋_GB2312" w:hAnsi="宋体" w:eastAsia="仿宋_GB2312"/>
          <w:b/>
          <w:color w:val="auto"/>
          <w:kern w:val="0"/>
          <w:sz w:val="28"/>
          <w:szCs w:val="32"/>
          <w:lang w:val="en-US" w:eastAsia="zh-CN"/>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color w:val="auto"/>
          <w:kern w:val="0"/>
          <w:sz w:val="28"/>
          <w:szCs w:val="32"/>
        </w:rPr>
        <w:t>昌吉州青少年示范性综合实践基地</w:t>
      </w:r>
      <w:r>
        <w:rPr>
          <w:rFonts w:hint="eastAsia" w:ascii="仿宋_GB2312" w:hAnsi="宋体" w:eastAsia="仿宋_GB2312"/>
          <w:b/>
          <w:color w:val="auto"/>
          <w:kern w:val="0"/>
          <w:sz w:val="28"/>
          <w:szCs w:val="32"/>
          <w:lang w:val="en-US" w:eastAsia="zh-CN"/>
        </w:rPr>
        <w:t>服务</w:t>
      </w:r>
      <w:r>
        <w:rPr>
          <w:rFonts w:hint="eastAsia" w:ascii="仿宋_GB2312" w:hAnsi="宋体" w:eastAsia="仿宋_GB2312"/>
          <w:b/>
          <w:color w:val="auto"/>
          <w:kern w:val="0"/>
          <w:sz w:val="28"/>
          <w:szCs w:val="32"/>
        </w:rPr>
        <w:t>中心</w:t>
      </w:r>
      <w:r>
        <w:rPr>
          <w:rFonts w:hint="eastAsia" w:ascii="仿宋_GB2312" w:hAnsi="宋体" w:eastAsia="仿宋_GB2312"/>
          <w:b/>
          <w:color w:val="auto"/>
          <w:kern w:val="0"/>
          <w:sz w:val="28"/>
          <w:szCs w:val="32"/>
          <w:lang w:val="en-US" w:eastAsia="zh-CN"/>
        </w:rPr>
        <w:t>2023年无政府性基金预算支出。</w:t>
      </w:r>
    </w:p>
    <w:p>
      <w:pPr>
        <w:widowControl/>
        <w:spacing w:line="280" w:lineRule="exact"/>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rPr>
        <w:t>昌吉州青少年示范性综合实践基地</w:t>
      </w:r>
      <w:r>
        <w:rPr>
          <w:rFonts w:hint="eastAsia" w:ascii="仿宋_GB2312" w:hAnsi="宋体" w:eastAsia="仿宋_GB2312" w:cs="宋体"/>
          <w:color w:val="auto"/>
          <w:kern w:val="0"/>
          <w:sz w:val="24"/>
          <w:lang w:val="en-US" w:eastAsia="zh-CN"/>
        </w:rPr>
        <w:t>服务</w:t>
      </w:r>
      <w:r>
        <w:rPr>
          <w:rFonts w:hint="eastAsia" w:ascii="仿宋_GB2312" w:hAnsi="宋体" w:eastAsia="仿宋_GB2312" w:cs="宋体"/>
          <w:color w:val="auto"/>
          <w:kern w:val="0"/>
          <w:sz w:val="24"/>
        </w:rPr>
        <w:t>中心</w:t>
      </w:r>
      <w:r>
        <w:rPr>
          <w:rFonts w:hint="eastAsia" w:ascii="仿宋_GB2312" w:hAnsi="宋体" w:eastAsia="仿宋_GB2312"/>
          <w:color w:val="auto"/>
          <w:kern w:val="0"/>
          <w:sz w:val="24"/>
        </w:rPr>
        <w:t xml:space="preserve">      </w:t>
      </w:r>
      <w:r>
        <w:rPr>
          <w:rFonts w:hint="eastAsia" w:ascii="仿宋_GB2312" w:hAnsi="宋体" w:eastAsia="仿宋_GB2312"/>
          <w:color w:val="auto"/>
          <w:kern w:val="0"/>
          <w:sz w:val="24"/>
          <w:lang w:val="en-US" w:eastAsia="zh-CN"/>
        </w:rPr>
        <w:t xml:space="preserve">         </w:t>
      </w:r>
      <w:r>
        <w:rPr>
          <w:rFonts w:hint="eastAsia" w:ascii="仿宋_GB2312" w:hAnsi="宋体" w:eastAsia="仿宋_GB2312"/>
          <w:color w:val="auto"/>
          <w:kern w:val="0"/>
          <w:sz w:val="24"/>
        </w:rPr>
        <w:t>单位：万元</w:t>
      </w:r>
      <w:r>
        <w:rPr>
          <w:rFonts w:hint="eastAsia" w:ascii="仿宋_GB2312" w:hAnsi="宋体" w:eastAsia="仿宋_GB2312"/>
          <w:color w:val="auto"/>
          <w:kern w:val="0"/>
          <w:sz w:val="24"/>
          <w:highlight w:val="none"/>
        </w:rPr>
        <w:t xml:space="preserve"> </w:t>
      </w:r>
    </w:p>
    <w:tbl>
      <w:tblPr>
        <w:tblStyle w:val="5"/>
        <w:tblW w:w="9214" w:type="dxa"/>
        <w:jc w:val="center"/>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jc w:val="center"/>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jc w:val="center"/>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jc w:val="center"/>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color w:val="auto"/>
          <w:kern w:val="0"/>
          <w:sz w:val="28"/>
          <w:szCs w:val="32"/>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rPr>
        <w:t>昌吉州青少年示范性综合实践基地</w:t>
      </w:r>
      <w:r>
        <w:rPr>
          <w:rFonts w:hint="eastAsia" w:ascii="仿宋_GB2312" w:hAnsi="宋体" w:eastAsia="仿宋_GB2312"/>
          <w:b/>
          <w:color w:val="auto"/>
          <w:kern w:val="0"/>
          <w:sz w:val="28"/>
          <w:szCs w:val="32"/>
          <w:lang w:val="en-US" w:eastAsia="zh-CN"/>
        </w:rPr>
        <w:t>服务</w:t>
      </w:r>
      <w:r>
        <w:rPr>
          <w:rFonts w:hint="eastAsia" w:ascii="仿宋_GB2312" w:hAnsi="宋体" w:eastAsia="仿宋_GB2312"/>
          <w:b/>
          <w:color w:val="auto"/>
          <w:kern w:val="0"/>
          <w:sz w:val="28"/>
          <w:szCs w:val="32"/>
        </w:rPr>
        <w:t>中心</w:t>
      </w:r>
      <w:r>
        <w:rPr>
          <w:rFonts w:hint="eastAsia" w:ascii="仿宋_GB2312" w:hAnsi="宋体" w:eastAsia="仿宋_GB2312"/>
          <w:b/>
          <w:color w:val="auto"/>
          <w:kern w:val="0"/>
          <w:sz w:val="28"/>
          <w:szCs w:val="32"/>
          <w:lang w:val="en-US" w:eastAsia="zh-CN"/>
        </w:rPr>
        <w:t>2024年没有安排国有资本经营预算</w:t>
      </w:r>
      <w:r>
        <w:rPr>
          <w:rFonts w:hint="eastAsia" w:ascii="仿宋_GB2312" w:hAnsi="宋体" w:eastAsia="仿宋_GB2312"/>
          <w:b/>
          <w:color w:val="auto"/>
          <w:kern w:val="0"/>
          <w:sz w:val="28"/>
          <w:szCs w:val="32"/>
          <w:lang w:eastAsia="zh-CN"/>
        </w:rPr>
        <w:t>支出，此表为空。</w:t>
      </w:r>
    </w:p>
    <w:p>
      <w:pPr>
        <w:widowControl/>
        <w:spacing w:line="280" w:lineRule="exact"/>
        <w:outlineLvl w:val="1"/>
        <w:rPr>
          <w:rFonts w:ascii="仿宋_GB2312" w:hAnsi="宋体" w:eastAsia="仿宋_GB2312"/>
          <w:color w:val="auto"/>
          <w:kern w:val="0"/>
          <w:sz w:val="32"/>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rPr>
        <w:t>编制单位：</w:t>
      </w:r>
      <w:r>
        <w:rPr>
          <w:rFonts w:hint="eastAsia" w:ascii="仿宋_GB2312" w:hAnsi="宋体" w:eastAsia="仿宋_GB2312" w:cs="宋体"/>
          <w:color w:val="auto"/>
          <w:kern w:val="0"/>
          <w:sz w:val="24"/>
        </w:rPr>
        <w:t>昌吉州青少年示范性综合实践基地</w:t>
      </w:r>
      <w:r>
        <w:rPr>
          <w:rFonts w:hint="eastAsia" w:ascii="仿宋_GB2312" w:hAnsi="宋体" w:eastAsia="仿宋_GB2312" w:cs="宋体"/>
          <w:color w:val="auto"/>
          <w:kern w:val="0"/>
          <w:sz w:val="24"/>
          <w:lang w:val="en-US" w:eastAsia="zh-CN"/>
        </w:rPr>
        <w:t>服务</w:t>
      </w:r>
      <w:r>
        <w:rPr>
          <w:rFonts w:hint="eastAsia" w:ascii="仿宋_GB2312" w:hAnsi="宋体" w:eastAsia="仿宋_GB2312" w:cs="宋体"/>
          <w:color w:val="auto"/>
          <w:kern w:val="0"/>
          <w:sz w:val="24"/>
        </w:rPr>
        <w:t>中心</w:t>
      </w:r>
      <w:r>
        <w:rPr>
          <w:rFonts w:hint="eastAsia" w:ascii="仿宋_GB2312" w:hAnsi="宋体" w:eastAsia="仿宋_GB2312" w:cs="宋体"/>
          <w:color w:val="auto"/>
          <w:kern w:val="0"/>
          <w:sz w:val="24"/>
          <w:lang w:val="en-US" w:eastAsia="zh-CN"/>
        </w:rPr>
        <w:t xml:space="preserve"> </w:t>
      </w:r>
      <w:r>
        <w:rPr>
          <w:rFonts w:hint="eastAsia" w:ascii="仿宋_GB2312" w:hAnsi="宋体" w:eastAsia="仿宋_GB2312"/>
          <w:color w:val="auto"/>
          <w:kern w:val="0"/>
          <w:sz w:val="24"/>
        </w:rPr>
        <w:t xml:space="preserve">    </w:t>
      </w:r>
      <w:r>
        <w:rPr>
          <w:rFonts w:hint="eastAsia" w:ascii="仿宋_GB2312" w:hAnsi="宋体" w:eastAsia="仿宋_GB2312"/>
          <w:color w:val="auto"/>
          <w:kern w:val="0"/>
          <w:sz w:val="24"/>
          <w:lang w:val="en-US" w:eastAsia="zh-CN"/>
        </w:rPr>
        <w:t xml:space="preserve">     </w:t>
      </w:r>
      <w:r>
        <w:rPr>
          <w:rFonts w:hint="eastAsia" w:ascii="仿宋_GB2312" w:hAnsi="宋体" w:eastAsia="仿宋_GB2312"/>
          <w:color w:val="auto"/>
          <w:kern w:val="0"/>
          <w:sz w:val="24"/>
        </w:rPr>
        <w:t xml:space="preserve"> 单位：万元  </w:t>
      </w:r>
    </w:p>
    <w:tbl>
      <w:tblPr>
        <w:tblStyle w:val="6"/>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5"/>
        <w:gridCol w:w="1160"/>
        <w:gridCol w:w="1251"/>
        <w:gridCol w:w="1510"/>
        <w:gridCol w:w="1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160"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295"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160"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5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10"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53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160"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5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10"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3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160"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5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10"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3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160"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5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10"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3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160"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251"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10"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3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5"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160"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251"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10"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3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160"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251"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10"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3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widowControl/>
        <w:outlineLvl w:val="1"/>
        <w:rPr>
          <w:rFonts w:ascii="仿宋_GB2312" w:hAnsi="宋体" w:eastAsia="仿宋_GB2312"/>
          <w:color w:val="auto"/>
          <w:kern w:val="0"/>
          <w:sz w:val="32"/>
          <w:szCs w:val="32"/>
        </w:rPr>
        <w:sectPr>
          <w:footerReference r:id="rId5" w:type="default"/>
          <w:pgSz w:w="11906" w:h="16838"/>
          <w:pgMar w:top="2098" w:right="1531" w:bottom="1984" w:left="1531" w:header="851" w:footer="992" w:gutter="0"/>
          <w:pgNumType w:fmt="decimal" w:start="1"/>
          <w:cols w:space="720" w:num="1"/>
          <w:docGrid w:linePitch="312" w:charSpace="0"/>
        </w:sect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rPr>
        <w:t>昌吉州青少年示范性综合实践基地</w:t>
      </w:r>
      <w:r>
        <w:rPr>
          <w:rFonts w:hint="eastAsia" w:ascii="仿宋_GB2312" w:hAnsi="宋体" w:eastAsia="仿宋_GB2312"/>
          <w:b/>
          <w:color w:val="auto"/>
          <w:kern w:val="0"/>
          <w:sz w:val="28"/>
          <w:szCs w:val="32"/>
          <w:lang w:val="en-US" w:eastAsia="zh-CN"/>
        </w:rPr>
        <w:t>服务</w:t>
      </w:r>
      <w:r>
        <w:rPr>
          <w:rFonts w:hint="eastAsia" w:ascii="仿宋_GB2312" w:hAnsi="宋体" w:eastAsia="仿宋_GB2312"/>
          <w:b/>
          <w:color w:val="auto"/>
          <w:kern w:val="0"/>
          <w:sz w:val="28"/>
          <w:szCs w:val="32"/>
        </w:rPr>
        <w:t>中心</w:t>
      </w:r>
      <w:r>
        <w:rPr>
          <w:rFonts w:hint="eastAsia" w:ascii="仿宋_GB2312" w:hAnsi="宋体" w:eastAsia="仿宋_GB2312"/>
          <w:b/>
          <w:color w:val="auto"/>
          <w:kern w:val="0"/>
          <w:sz w:val="28"/>
          <w:szCs w:val="32"/>
          <w:lang w:eastAsia="zh-CN"/>
        </w:rPr>
        <w:t>，202</w:t>
      </w:r>
      <w:r>
        <w:rPr>
          <w:rFonts w:hint="eastAsia" w:ascii="仿宋_GB2312" w:hAnsi="宋体" w:eastAsia="仿宋_GB2312"/>
          <w:b/>
          <w:color w:val="auto"/>
          <w:kern w:val="0"/>
          <w:sz w:val="28"/>
          <w:szCs w:val="32"/>
          <w:lang w:val="en-US" w:eastAsia="zh-CN"/>
        </w:rPr>
        <w:t>4</w:t>
      </w:r>
      <w:r>
        <w:rPr>
          <w:rFonts w:hint="eastAsia" w:ascii="仿宋_GB2312" w:hAnsi="宋体" w:eastAsia="仿宋_GB2312"/>
          <w:b/>
          <w:color w:val="auto"/>
          <w:kern w:val="0"/>
          <w:sz w:val="28"/>
          <w:szCs w:val="32"/>
          <w:lang w:eastAsia="zh-CN"/>
        </w:rPr>
        <w:t>年没有安排一般公共预算三公经费，此表为空。</w:t>
      </w:r>
    </w:p>
    <w:p>
      <w:pPr>
        <w:spacing w:line="600" w:lineRule="exact"/>
        <w:jc w:val="both"/>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default" w:ascii="仿宋" w:hAnsi="仿宋" w:eastAsia="仿宋" w:cs="仿宋_GB2312"/>
          <w:bCs/>
          <w:color w:val="auto"/>
          <w:kern w:val="0"/>
          <w:sz w:val="28"/>
          <w:szCs w:val="28"/>
          <w:highlight w:val="none"/>
          <w:lang w:val="en-US" w:eastAsia="zh-CN"/>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ind w:firstLine="281" w:firstLineChars="100"/>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 xml:space="preserve">            </w:t>
      </w:r>
    </w:p>
    <w:p>
      <w:pPr>
        <w:widowControl/>
        <w:ind w:firstLine="281" w:firstLineChars="100"/>
        <w:outlineLvl w:val="1"/>
        <w:rPr>
          <w:rFonts w:hint="eastAsia" w:ascii="仿宋_GB2312" w:hAnsi="宋体" w:eastAsia="仿宋_GB2312"/>
          <w:b/>
          <w:color w:val="auto"/>
          <w:kern w:val="0"/>
          <w:sz w:val="28"/>
          <w:szCs w:val="32"/>
          <w:highlight w:val="none"/>
          <w:lang w:val="en-US" w:eastAsia="zh-CN"/>
        </w:rPr>
      </w:pPr>
    </w:p>
    <w:p>
      <w:pPr>
        <w:widowControl/>
        <w:ind w:firstLine="281" w:firstLineChars="100"/>
        <w:outlineLvl w:val="1"/>
        <w:rPr>
          <w:rFonts w:hint="eastAsia" w:ascii="仿宋_GB2312" w:hAnsi="宋体" w:eastAsia="仿宋_GB2312"/>
          <w:b/>
          <w:color w:val="auto"/>
          <w:kern w:val="0"/>
          <w:sz w:val="28"/>
          <w:szCs w:val="32"/>
          <w:highlight w:val="none"/>
          <w:lang w:val="en-US" w:eastAsia="zh-CN"/>
        </w:rPr>
      </w:pPr>
    </w:p>
    <w:p>
      <w:pPr>
        <w:widowControl/>
        <w:ind w:firstLine="281" w:firstLineChars="100"/>
        <w:outlineLvl w:val="1"/>
        <w:rPr>
          <w:rFonts w:hint="eastAsia" w:ascii="仿宋_GB2312" w:hAnsi="宋体" w:eastAsia="仿宋_GB2312"/>
          <w:b/>
          <w:color w:val="auto"/>
          <w:kern w:val="0"/>
          <w:sz w:val="28"/>
          <w:szCs w:val="32"/>
          <w:highlight w:val="none"/>
          <w:lang w:val="en-US" w:eastAsia="zh-CN"/>
        </w:rPr>
      </w:pPr>
    </w:p>
    <w:p>
      <w:pPr>
        <w:widowControl/>
        <w:ind w:firstLine="281" w:firstLineChars="100"/>
        <w:outlineLvl w:val="1"/>
        <w:rPr>
          <w:rFonts w:hint="eastAsia" w:ascii="仿宋_GB2312" w:hAnsi="宋体" w:eastAsia="仿宋_GB2312"/>
          <w:b/>
          <w:color w:val="auto"/>
          <w:kern w:val="0"/>
          <w:sz w:val="28"/>
          <w:szCs w:val="32"/>
          <w:highlight w:val="none"/>
          <w:lang w:val="en-US" w:eastAsia="zh-CN"/>
        </w:rPr>
      </w:pPr>
    </w:p>
    <w:p>
      <w:pPr>
        <w:widowControl/>
        <w:ind w:firstLine="281" w:firstLineChars="100"/>
        <w:outlineLvl w:val="1"/>
        <w:rPr>
          <w:rFonts w:hint="eastAsia" w:ascii="仿宋_GB2312" w:hAnsi="宋体" w:eastAsia="仿宋_GB2312"/>
          <w:b/>
          <w:color w:val="auto"/>
          <w:kern w:val="0"/>
          <w:sz w:val="28"/>
          <w:szCs w:val="32"/>
          <w:highlight w:val="none"/>
          <w:lang w:val="en-US" w:eastAsia="zh-CN"/>
        </w:rPr>
      </w:pPr>
    </w:p>
    <w:p>
      <w:pPr>
        <w:widowControl/>
        <w:ind w:firstLine="281" w:firstLineChars="100"/>
        <w:outlineLvl w:val="1"/>
        <w:rPr>
          <w:rFonts w:hint="eastAsia" w:ascii="仿宋_GB2312" w:hAnsi="宋体" w:eastAsia="仿宋_GB2312"/>
          <w:b/>
          <w:color w:val="auto"/>
          <w:kern w:val="0"/>
          <w:sz w:val="28"/>
          <w:szCs w:val="32"/>
          <w:highlight w:val="none"/>
          <w:lang w:val="en-US" w:eastAsia="zh-CN"/>
        </w:rPr>
      </w:pPr>
    </w:p>
    <w:p>
      <w:pPr>
        <w:widowControl/>
        <w:ind w:firstLine="281" w:firstLineChars="100"/>
        <w:outlineLvl w:val="1"/>
        <w:rPr>
          <w:rFonts w:hint="eastAsia" w:ascii="仿宋_GB2312" w:hAnsi="宋体" w:eastAsia="仿宋_GB2312"/>
          <w:b/>
          <w:color w:val="auto"/>
          <w:kern w:val="0"/>
          <w:sz w:val="28"/>
          <w:szCs w:val="32"/>
          <w:highlight w:val="none"/>
          <w:lang w:val="en-US" w:eastAsia="zh-CN"/>
        </w:rPr>
      </w:pPr>
    </w:p>
    <w:p>
      <w:pPr>
        <w:widowControl/>
        <w:ind w:firstLine="281" w:firstLineChars="100"/>
        <w:outlineLvl w:val="1"/>
        <w:rPr>
          <w:rFonts w:hint="eastAsia" w:ascii="仿宋_GB2312" w:hAnsi="宋体" w:eastAsia="仿宋_GB2312"/>
          <w:b/>
          <w:color w:val="auto"/>
          <w:kern w:val="0"/>
          <w:sz w:val="28"/>
          <w:szCs w:val="32"/>
          <w:highlight w:val="none"/>
          <w:lang w:val="en-US" w:eastAsia="zh-CN"/>
        </w:rPr>
      </w:pPr>
    </w:p>
    <w:p>
      <w:pPr>
        <w:widowControl/>
        <w:ind w:firstLine="281" w:firstLineChars="100"/>
        <w:outlineLvl w:val="1"/>
        <w:rPr>
          <w:rFonts w:hint="eastAsia" w:ascii="仿宋_GB2312" w:hAnsi="宋体" w:eastAsia="仿宋_GB2312"/>
          <w:b/>
          <w:color w:val="auto"/>
          <w:kern w:val="0"/>
          <w:sz w:val="28"/>
          <w:szCs w:val="32"/>
          <w:highlight w:val="none"/>
          <w:lang w:val="en-US" w:eastAsia="zh-CN"/>
        </w:rPr>
      </w:pPr>
    </w:p>
    <w:p>
      <w:pPr>
        <w:widowControl/>
        <w:ind w:firstLine="281" w:firstLineChars="100"/>
        <w:outlineLvl w:val="1"/>
        <w:rPr>
          <w:rFonts w:hint="eastAsia" w:ascii="仿宋_GB2312" w:hAnsi="宋体" w:eastAsia="仿宋_GB2312"/>
          <w:b/>
          <w:color w:val="auto"/>
          <w:kern w:val="0"/>
          <w:sz w:val="28"/>
          <w:szCs w:val="32"/>
          <w:highlight w:val="none"/>
          <w:lang w:val="en-US" w:eastAsia="zh-CN"/>
        </w:rPr>
      </w:pPr>
    </w:p>
    <w:p>
      <w:pPr>
        <w:widowControl/>
        <w:ind w:firstLine="281" w:firstLineChars="100"/>
        <w:outlineLvl w:val="1"/>
        <w:rPr>
          <w:rFonts w:ascii="仿宋_GB2312" w:hAnsi="宋体" w:eastAsia="仿宋_GB2312"/>
          <w:color w:val="auto"/>
          <w:kern w:val="0"/>
          <w:sz w:val="32"/>
          <w:szCs w:val="32"/>
          <w:highlight w:val="none"/>
        </w:rPr>
        <w:sectPr>
          <w:footerReference r:id="rId6" w:type="default"/>
          <w:pgSz w:w="11906" w:h="16838"/>
          <w:pgMar w:top="2098" w:right="567" w:bottom="1984" w:left="567" w:header="851"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rPr>
        <w:t>昌吉州青少年示范性综合实践基地</w:t>
      </w:r>
      <w:r>
        <w:rPr>
          <w:rFonts w:hint="eastAsia" w:ascii="仿宋_GB2312" w:hAnsi="宋体" w:eastAsia="仿宋_GB2312"/>
          <w:b/>
          <w:color w:val="auto"/>
          <w:kern w:val="0"/>
          <w:sz w:val="28"/>
          <w:szCs w:val="32"/>
          <w:lang w:val="en-US" w:eastAsia="zh-CN"/>
        </w:rPr>
        <w:t>服务</w:t>
      </w:r>
      <w:r>
        <w:rPr>
          <w:rFonts w:hint="eastAsia" w:ascii="仿宋_GB2312" w:hAnsi="宋体" w:eastAsia="仿宋_GB2312"/>
          <w:b/>
          <w:color w:val="auto"/>
          <w:kern w:val="0"/>
          <w:sz w:val="28"/>
          <w:szCs w:val="32"/>
        </w:rPr>
        <w:t>中心</w:t>
      </w:r>
      <w:r>
        <w:rPr>
          <w:rFonts w:hint="eastAsia" w:ascii="仿宋_GB2312" w:hAnsi="宋体" w:eastAsia="仿宋_GB2312"/>
          <w:b/>
          <w:color w:val="auto"/>
          <w:kern w:val="0"/>
          <w:sz w:val="28"/>
          <w:szCs w:val="32"/>
          <w:lang w:eastAsia="zh-CN"/>
        </w:rPr>
        <w:t>，202</w:t>
      </w:r>
      <w:r>
        <w:rPr>
          <w:rFonts w:hint="eastAsia" w:ascii="仿宋_GB2312" w:hAnsi="宋体" w:eastAsia="仿宋_GB2312"/>
          <w:b/>
          <w:color w:val="auto"/>
          <w:kern w:val="0"/>
          <w:sz w:val="28"/>
          <w:szCs w:val="32"/>
          <w:lang w:val="en-US" w:eastAsia="zh-CN"/>
        </w:rPr>
        <w:t>4</w:t>
      </w:r>
      <w:r>
        <w:rPr>
          <w:rFonts w:hint="eastAsia" w:ascii="仿宋_GB2312" w:hAnsi="宋体" w:eastAsia="仿宋_GB2312"/>
          <w:b/>
          <w:color w:val="auto"/>
          <w:kern w:val="0"/>
          <w:sz w:val="28"/>
          <w:szCs w:val="32"/>
          <w:lang w:eastAsia="zh-CN"/>
        </w:rPr>
        <w:t>年没有</w:t>
      </w:r>
      <w:r>
        <w:rPr>
          <w:rFonts w:hint="eastAsia" w:ascii="仿宋_GB2312" w:hAnsi="宋体" w:eastAsia="仿宋_GB2312"/>
          <w:b/>
          <w:color w:val="auto"/>
          <w:kern w:val="0"/>
          <w:sz w:val="28"/>
          <w:szCs w:val="32"/>
          <w:lang w:val="en-US" w:eastAsia="zh-CN"/>
        </w:rPr>
        <w:t>上年结转结余情况</w:t>
      </w:r>
      <w:r>
        <w:rPr>
          <w:rFonts w:hint="eastAsia" w:ascii="仿宋_GB2312" w:hAnsi="宋体" w:eastAsia="仿宋_GB2312"/>
          <w:b/>
          <w:color w:val="auto"/>
          <w:kern w:val="0"/>
          <w:sz w:val="28"/>
          <w:szCs w:val="32"/>
          <w:lang w:eastAsia="zh-CN"/>
        </w:rPr>
        <w:t>，此表为空。</w:t>
      </w:r>
    </w:p>
    <w:p>
      <w:pPr>
        <w:keepNext w:val="0"/>
        <w:keepLines w:val="0"/>
        <w:pageBreakBefore w:val="0"/>
        <w:widowControl w:val="0"/>
        <w:kinsoku/>
        <w:wordWrap/>
        <w:overflowPunct/>
        <w:topLinePunct w:val="0"/>
        <w:autoSpaceDE/>
        <w:autoSpaceDN/>
        <w:bidi w:val="0"/>
        <w:adjustRightInd/>
        <w:snapToGrid/>
        <w:spacing w:line="600" w:lineRule="exact"/>
        <w:ind w:firstLine="1280" w:firstLineChars="400"/>
        <w:jc w:val="both"/>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昌吉州青少年示范性综合实践基地服务中心</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所有收入和支出均纳入部门预算管理。收支总预算</w:t>
      </w:r>
      <w:r>
        <w:rPr>
          <w:rFonts w:hint="eastAsia" w:ascii="仿宋_GB2312" w:hAnsi="宋体" w:eastAsia="仿宋_GB2312" w:cs="宋体"/>
          <w:color w:val="auto"/>
          <w:kern w:val="0"/>
          <w:sz w:val="32"/>
          <w:szCs w:val="32"/>
          <w:highlight w:val="none"/>
          <w:lang w:val="en-US" w:eastAsia="zh-CN"/>
        </w:rPr>
        <w:t>143.02</w:t>
      </w:r>
      <w:r>
        <w:rPr>
          <w:rFonts w:hint="eastAsia" w:ascii="仿宋_GB2312" w:hAnsi="宋体" w:eastAsia="仿宋_GB2312" w:cs="宋体"/>
          <w:color w:val="auto"/>
          <w:kern w:val="0"/>
          <w:sz w:val="32"/>
          <w:szCs w:val="32"/>
          <w:highlight w:val="none"/>
        </w:rPr>
        <w:t xml:space="preserve"> 万元。</w:t>
      </w:r>
    </w:p>
    <w:p>
      <w:pPr>
        <w:widowControl/>
        <w:spacing w:line="580" w:lineRule="exact"/>
        <w:ind w:firstLine="640"/>
        <w:jc w:val="left"/>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highlight w:val="none"/>
        </w:rPr>
        <w:t>收入预算包括：</w:t>
      </w:r>
      <w:r>
        <w:rPr>
          <w:rFonts w:hint="eastAsia" w:ascii="仿宋_GB2312" w:hAnsi="宋体" w:eastAsia="仿宋_GB2312" w:cs="宋体"/>
          <w:color w:val="auto"/>
          <w:kern w:val="0"/>
          <w:sz w:val="32"/>
          <w:szCs w:val="32"/>
        </w:rPr>
        <w:t>一般公共预算</w:t>
      </w:r>
      <w:r>
        <w:rPr>
          <w:rFonts w:hint="eastAsia" w:ascii="仿宋_GB2312" w:hAnsi="宋体" w:eastAsia="仿宋_GB2312" w:cs="宋体"/>
          <w:color w:val="auto"/>
          <w:kern w:val="0"/>
          <w:sz w:val="32"/>
          <w:szCs w:val="32"/>
          <w:lang w:val="en-US" w:eastAsia="zh-CN"/>
        </w:rPr>
        <w:t>143.02</w:t>
      </w:r>
      <w:r>
        <w:rPr>
          <w:rFonts w:hint="eastAsia"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lang w:val="en-US" w:eastAsia="zh-CN"/>
        </w:rPr>
        <w:t>、</w:t>
      </w:r>
    </w:p>
    <w:p>
      <w:pPr>
        <w:widowControl/>
        <w:spacing w:line="580" w:lineRule="exact"/>
        <w:ind w:firstLine="640"/>
        <w:jc w:val="left"/>
        <w:rPr>
          <w:rFonts w:hint="eastAsia" w:ascii="黑体" w:hAnsi="宋体" w:eastAsia="黑体" w:cs="宋体"/>
          <w:color w:val="auto"/>
          <w:kern w:val="0"/>
          <w:sz w:val="32"/>
          <w:szCs w:val="32"/>
        </w:rPr>
      </w:pPr>
      <w:r>
        <w:rPr>
          <w:rFonts w:hint="eastAsia" w:ascii="仿宋_GB2312" w:hAnsi="宋体" w:eastAsia="仿宋_GB2312" w:cs="宋体"/>
          <w:color w:val="auto"/>
          <w:kern w:val="0"/>
          <w:sz w:val="32"/>
          <w:szCs w:val="32"/>
        </w:rPr>
        <w:t>支出预算包括</w:t>
      </w:r>
      <w:r>
        <w:rPr>
          <w:rFonts w:hint="eastAsia" w:ascii="仿宋_GB2312" w:hAnsi="宋体" w:eastAsia="仿宋_GB2312" w:cs="宋体"/>
          <w:b/>
          <w:bCs/>
          <w:color w:val="auto"/>
          <w:kern w:val="0"/>
          <w:sz w:val="32"/>
          <w:szCs w:val="32"/>
        </w:rPr>
        <w:t>：</w:t>
      </w:r>
      <w:r>
        <w:rPr>
          <w:rFonts w:hint="eastAsia" w:ascii="仿宋_GB2312" w:hAnsi="宋体" w:eastAsia="仿宋_GB2312" w:cs="宋体"/>
          <w:color w:val="auto"/>
          <w:kern w:val="0"/>
          <w:sz w:val="32"/>
          <w:szCs w:val="32"/>
        </w:rPr>
        <w:t>教育支出</w:t>
      </w:r>
      <w:r>
        <w:rPr>
          <w:rFonts w:hint="eastAsia" w:ascii="仿宋_GB2312" w:hAnsi="宋体" w:eastAsia="仿宋_GB2312" w:cs="宋体"/>
          <w:color w:val="auto"/>
          <w:kern w:val="0"/>
          <w:sz w:val="32"/>
          <w:szCs w:val="32"/>
          <w:lang w:val="en-US" w:eastAsia="zh-CN"/>
        </w:rPr>
        <w:t>129.20</w:t>
      </w:r>
      <w:r>
        <w:rPr>
          <w:rFonts w:hint="eastAsia" w:ascii="仿宋_GB2312" w:hAnsi="宋体" w:eastAsia="仿宋_GB2312" w:cs="宋体"/>
          <w:color w:val="auto"/>
          <w:kern w:val="0"/>
          <w:sz w:val="32"/>
          <w:szCs w:val="32"/>
        </w:rPr>
        <w:t>万元、社会保障和就业支出</w:t>
      </w:r>
      <w:r>
        <w:rPr>
          <w:rFonts w:hint="eastAsia" w:ascii="仿宋_GB2312" w:hAnsi="宋体" w:eastAsia="仿宋_GB2312" w:cs="宋体"/>
          <w:color w:val="auto"/>
          <w:kern w:val="0"/>
          <w:sz w:val="32"/>
          <w:szCs w:val="32"/>
          <w:lang w:val="en-US" w:eastAsia="zh-CN"/>
        </w:rPr>
        <w:t>13.82</w:t>
      </w:r>
      <w:r>
        <w:rPr>
          <w:rFonts w:hint="eastAsia" w:ascii="仿宋_GB2312" w:hAnsi="宋体" w:eastAsia="仿宋_GB2312" w:cs="宋体"/>
          <w:color w:val="auto"/>
          <w:kern w:val="0"/>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val="en-US" w:eastAsia="zh-CN"/>
        </w:rPr>
        <w:t>昌吉州青少年示范性综合实践基地服务中心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widowControl/>
        <w:spacing w:line="580" w:lineRule="exact"/>
        <w:ind w:firstLine="640" w:firstLineChars="20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昌吉州青少年示范性综合实践基地</w:t>
      </w:r>
      <w:r>
        <w:rPr>
          <w:rFonts w:hint="eastAsia" w:ascii="仿宋_GB2312" w:hAnsi="宋体" w:eastAsia="仿宋_GB2312" w:cs="宋体"/>
          <w:color w:val="auto"/>
          <w:kern w:val="0"/>
          <w:sz w:val="32"/>
          <w:szCs w:val="32"/>
          <w:lang w:val="en-US" w:eastAsia="zh-CN"/>
        </w:rPr>
        <w:t>服务</w:t>
      </w:r>
      <w:r>
        <w:rPr>
          <w:rFonts w:hint="eastAsia" w:ascii="仿宋_GB2312" w:hAnsi="宋体" w:eastAsia="仿宋_GB2312" w:cs="宋体"/>
          <w:color w:val="auto"/>
          <w:kern w:val="0"/>
          <w:sz w:val="32"/>
          <w:szCs w:val="32"/>
        </w:rPr>
        <w:t>中心</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143.02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widowControl/>
        <w:spacing w:line="580" w:lineRule="exact"/>
        <w:ind w:firstLine="640"/>
        <w:jc w:val="left"/>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rPr>
        <w:t>一般公共预算</w:t>
      </w:r>
      <w:r>
        <w:rPr>
          <w:rFonts w:hint="eastAsia" w:ascii="仿宋_GB2312" w:hAnsi="宋体" w:eastAsia="仿宋_GB2312" w:cs="宋体"/>
          <w:color w:val="auto"/>
          <w:kern w:val="0"/>
          <w:sz w:val="32"/>
          <w:szCs w:val="32"/>
          <w:lang w:val="en-US" w:eastAsia="zh-CN"/>
        </w:rPr>
        <w:t>143.02</w:t>
      </w:r>
      <w:r>
        <w:rPr>
          <w:rFonts w:hint="eastAsia" w:ascii="仿宋_GB2312" w:hAnsi="宋体" w:eastAsia="仿宋_GB2312" w:cs="宋体"/>
          <w:color w:val="auto"/>
          <w:kern w:val="0"/>
          <w:sz w:val="32"/>
          <w:szCs w:val="32"/>
        </w:rPr>
        <w:t>万元，占</w:t>
      </w:r>
      <w:r>
        <w:rPr>
          <w:rFonts w:hint="eastAsia" w:ascii="仿宋_GB2312" w:hAnsi="宋体" w:eastAsia="仿宋_GB2312" w:cs="宋体"/>
          <w:color w:val="auto"/>
          <w:kern w:val="0"/>
          <w:sz w:val="32"/>
          <w:szCs w:val="32"/>
          <w:lang w:val="en-US" w:eastAsia="zh-CN"/>
        </w:rPr>
        <w:t>61.72</w:t>
      </w:r>
      <w:r>
        <w:rPr>
          <w:rFonts w:hint="eastAsia" w:ascii="仿宋_GB2312" w:hAnsi="宋体" w:eastAsia="仿宋_GB2312" w:cs="宋体"/>
          <w:color w:val="auto"/>
          <w:kern w:val="0"/>
          <w:sz w:val="32"/>
          <w:szCs w:val="32"/>
        </w:rPr>
        <w:t>%，比上年预算</w:t>
      </w:r>
      <w:r>
        <w:rPr>
          <w:rFonts w:hint="eastAsia" w:ascii="仿宋_GB2312" w:hAnsi="宋体" w:eastAsia="仿宋_GB2312" w:cs="宋体"/>
          <w:color w:val="auto"/>
          <w:kern w:val="0"/>
          <w:sz w:val="32"/>
          <w:szCs w:val="32"/>
          <w:lang w:val="en-US" w:eastAsia="zh-CN"/>
        </w:rPr>
        <w:t>增加了94.25</w:t>
      </w:r>
      <w:r>
        <w:rPr>
          <w:rFonts w:hint="eastAsia"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lang w:val="en-US" w:eastAsia="zh-CN"/>
        </w:rPr>
        <w:t>增长193.25</w:t>
      </w:r>
      <w:r>
        <w:rPr>
          <w:rFonts w:hint="eastAsia" w:ascii="仿宋_GB2312" w:hAnsi="宋体" w:eastAsia="仿宋_GB2312" w:cs="宋体"/>
          <w:color w:val="auto"/>
          <w:kern w:val="0"/>
          <w:sz w:val="32"/>
          <w:szCs w:val="32"/>
        </w:rPr>
        <w:t>%，主要原因是</w:t>
      </w:r>
      <w:r>
        <w:rPr>
          <w:rFonts w:hint="eastAsia" w:ascii="仿宋_GB2312" w:hAnsi="宋体" w:eastAsia="仿宋_GB2312" w:cs="宋体"/>
          <w:color w:val="auto"/>
          <w:kern w:val="0"/>
          <w:sz w:val="32"/>
          <w:szCs w:val="32"/>
          <w:lang w:val="en-US" w:eastAsia="zh-CN"/>
        </w:rPr>
        <w:t>青少年活动中心合并到我单位，新增了4名教师人员及定额经费。</w:t>
      </w:r>
    </w:p>
    <w:p>
      <w:pPr>
        <w:widowControl/>
        <w:spacing w:line="580" w:lineRule="exact"/>
        <w:ind w:firstLine="640"/>
        <w:jc w:val="left"/>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bookmarkStart w:id="0" w:name="_GoBack"/>
      <w:bookmarkEnd w:id="0"/>
    </w:p>
    <w:p>
      <w:pPr>
        <w:widowControl/>
        <w:spacing w:line="580" w:lineRule="exact"/>
        <w:ind w:firstLine="64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政府性基金预算未安排。</w:t>
      </w:r>
    </w:p>
    <w:p>
      <w:pPr>
        <w:widowControl/>
        <w:spacing w:line="580" w:lineRule="exact"/>
        <w:ind w:firstLine="64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widowControl/>
        <w:spacing w:line="580" w:lineRule="exact"/>
        <w:ind w:firstLine="64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widowControl/>
        <w:spacing w:line="580" w:lineRule="exact"/>
        <w:ind w:firstLine="64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val="en-US" w:eastAsia="zh-CN"/>
        </w:rPr>
        <w:t>昌吉州青少年示范性综合实践基地服务中心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widowControl/>
        <w:spacing w:line="580" w:lineRule="exact"/>
        <w:ind w:firstLine="64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昌吉州青少年示范性综合实践基地</w:t>
      </w:r>
      <w:r>
        <w:rPr>
          <w:rFonts w:hint="eastAsia" w:ascii="仿宋_GB2312" w:hAnsi="宋体" w:eastAsia="仿宋_GB2312" w:cs="宋体"/>
          <w:color w:val="auto"/>
          <w:kern w:val="0"/>
          <w:sz w:val="32"/>
          <w:szCs w:val="32"/>
          <w:lang w:val="en-US" w:eastAsia="zh-CN"/>
        </w:rPr>
        <w:t>服务</w:t>
      </w:r>
      <w:r>
        <w:rPr>
          <w:rFonts w:hint="eastAsia" w:ascii="仿宋_GB2312" w:hAnsi="宋体" w:eastAsia="仿宋_GB2312" w:cs="宋体"/>
          <w:color w:val="auto"/>
          <w:kern w:val="0"/>
          <w:sz w:val="32"/>
          <w:szCs w:val="32"/>
        </w:rPr>
        <w:t>中心202</w:t>
      </w:r>
      <w:r>
        <w:rPr>
          <w:rFonts w:hint="eastAsia" w:ascii="仿宋_GB2312" w:hAnsi="宋体" w:eastAsia="仿宋_GB2312" w:cs="宋体"/>
          <w:color w:val="auto"/>
          <w:kern w:val="0"/>
          <w:sz w:val="32"/>
          <w:szCs w:val="32"/>
          <w:lang w:val="en-US" w:eastAsia="zh-CN"/>
        </w:rPr>
        <w:t>4</w:t>
      </w:r>
      <w:r>
        <w:rPr>
          <w:rFonts w:hint="eastAsia" w:ascii="仿宋_GB2312" w:hAnsi="宋体" w:eastAsia="仿宋_GB2312" w:cs="宋体"/>
          <w:color w:val="auto"/>
          <w:kern w:val="0"/>
          <w:sz w:val="32"/>
          <w:szCs w:val="32"/>
        </w:rPr>
        <w:t>年支出预算</w:t>
      </w:r>
      <w:r>
        <w:rPr>
          <w:rFonts w:hint="eastAsia" w:ascii="仿宋_GB2312" w:hAnsi="宋体" w:eastAsia="仿宋_GB2312" w:cs="宋体"/>
          <w:color w:val="auto"/>
          <w:kern w:val="0"/>
          <w:sz w:val="32"/>
          <w:szCs w:val="32"/>
          <w:lang w:val="en-US" w:eastAsia="zh-CN"/>
        </w:rPr>
        <w:t>143.02</w:t>
      </w:r>
      <w:r>
        <w:rPr>
          <w:rFonts w:hint="eastAsia" w:ascii="仿宋_GB2312" w:hAnsi="宋体" w:eastAsia="仿宋_GB2312" w:cs="宋体"/>
          <w:color w:val="auto"/>
          <w:kern w:val="0"/>
          <w:sz w:val="32"/>
          <w:szCs w:val="32"/>
        </w:rPr>
        <w:t>万元，其中：</w:t>
      </w:r>
    </w:p>
    <w:p>
      <w:pPr>
        <w:widowControl/>
        <w:spacing w:line="580" w:lineRule="exact"/>
        <w:ind w:firstLine="640"/>
        <w:jc w:val="left"/>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rPr>
        <w:t>基本支出</w:t>
      </w:r>
      <w:r>
        <w:rPr>
          <w:rFonts w:hint="eastAsia" w:ascii="仿宋_GB2312" w:hAnsi="宋体" w:eastAsia="仿宋_GB2312" w:cs="宋体"/>
          <w:color w:val="auto"/>
          <w:kern w:val="0"/>
          <w:sz w:val="32"/>
          <w:szCs w:val="32"/>
          <w:lang w:val="en-US" w:eastAsia="zh-CN"/>
        </w:rPr>
        <w:t>143.02</w:t>
      </w:r>
      <w:r>
        <w:rPr>
          <w:rFonts w:hint="eastAsia" w:ascii="仿宋_GB2312" w:hAnsi="宋体" w:eastAsia="仿宋_GB2312" w:cs="宋体"/>
          <w:color w:val="auto"/>
          <w:kern w:val="0"/>
          <w:sz w:val="32"/>
          <w:szCs w:val="32"/>
        </w:rPr>
        <w:t xml:space="preserve">万元，占 </w:t>
      </w:r>
      <w:r>
        <w:rPr>
          <w:rFonts w:hint="eastAsia" w:ascii="仿宋_GB2312" w:hAnsi="宋体" w:eastAsia="仿宋_GB2312" w:cs="宋体"/>
          <w:color w:val="auto"/>
          <w:kern w:val="0"/>
          <w:sz w:val="32"/>
          <w:szCs w:val="32"/>
          <w:lang w:val="en-US" w:eastAsia="zh-CN"/>
        </w:rPr>
        <w:t>100</w:t>
      </w:r>
      <w:r>
        <w:rPr>
          <w:rFonts w:hint="eastAsia" w:ascii="仿宋_GB2312" w:hAnsi="宋体" w:eastAsia="仿宋_GB2312" w:cs="宋体"/>
          <w:color w:val="auto"/>
          <w:kern w:val="0"/>
          <w:sz w:val="32"/>
          <w:szCs w:val="32"/>
        </w:rPr>
        <w:t xml:space="preserve"> %，比上年预算</w:t>
      </w:r>
      <w:r>
        <w:rPr>
          <w:rFonts w:hint="eastAsia" w:ascii="仿宋_GB2312" w:hAnsi="宋体" w:eastAsia="仿宋_GB2312" w:cs="宋体"/>
          <w:color w:val="auto"/>
          <w:kern w:val="0"/>
          <w:sz w:val="32"/>
          <w:szCs w:val="32"/>
          <w:lang w:val="en-US" w:eastAsia="zh-CN"/>
        </w:rPr>
        <w:t>增加了94.25</w:t>
      </w:r>
      <w:r>
        <w:rPr>
          <w:rFonts w:hint="eastAsia"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lang w:val="en-US" w:eastAsia="zh-CN"/>
        </w:rPr>
        <w:t>增长193.25</w:t>
      </w:r>
      <w:r>
        <w:rPr>
          <w:rFonts w:hint="eastAsia" w:ascii="仿宋_GB2312" w:hAnsi="宋体" w:eastAsia="仿宋_GB2312" w:cs="宋体"/>
          <w:color w:val="auto"/>
          <w:kern w:val="0"/>
          <w:sz w:val="32"/>
          <w:szCs w:val="32"/>
        </w:rPr>
        <w:t>%，主要原因是</w:t>
      </w:r>
      <w:r>
        <w:rPr>
          <w:rFonts w:hint="eastAsia" w:ascii="仿宋_GB2312" w:hAnsi="宋体" w:eastAsia="仿宋_GB2312" w:cs="宋体"/>
          <w:color w:val="auto"/>
          <w:kern w:val="0"/>
          <w:sz w:val="32"/>
          <w:szCs w:val="32"/>
          <w:lang w:val="en-US" w:eastAsia="zh-CN"/>
        </w:rPr>
        <w:t>青少年活动中心合并到我单位，新增了4名教师人员及定额经费。</w:t>
      </w:r>
    </w:p>
    <w:p>
      <w:pPr>
        <w:spacing w:line="560" w:lineRule="exact"/>
        <w:ind w:firstLine="640" w:firstLineChars="200"/>
        <w:rPr>
          <w:rFonts w:hint="eastAsia" w:ascii="楷体_GB2312" w:hAnsi="楷体_GB2312" w:eastAsia="楷体_GB2312" w:cs="楷体_GB2312"/>
          <w:b/>
          <w:bCs/>
          <w:color w:val="auto"/>
          <w:kern w:val="0"/>
          <w:sz w:val="32"/>
          <w:szCs w:val="32"/>
        </w:rPr>
      </w:pPr>
      <w:r>
        <w:rPr>
          <w:rFonts w:hint="eastAsia" w:ascii="仿宋_GB2312" w:hAnsi="宋体" w:eastAsia="仿宋_GB2312" w:cs="宋体"/>
          <w:color w:val="auto"/>
          <w:kern w:val="0"/>
          <w:sz w:val="32"/>
          <w:szCs w:val="32"/>
        </w:rPr>
        <w:t>项目支出0万元，占0%，比上年预算增加0万元，主要原因是</w:t>
      </w:r>
      <w:r>
        <w:rPr>
          <w:rFonts w:hint="eastAsia" w:ascii="仿宋_GB2312" w:hAnsi="仿宋" w:eastAsia="仿宋_GB2312"/>
          <w:color w:val="auto"/>
          <w:sz w:val="32"/>
        </w:rPr>
        <w:t>未安排项目预算支出</w:t>
      </w:r>
      <w:r>
        <w:rPr>
          <w:rFonts w:hint="eastAsia" w:ascii="仿宋_GB2312" w:hAnsi="宋体" w:eastAsia="仿宋_GB2312" w:cs="宋体"/>
          <w:color w:val="auto"/>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val="en-US" w:eastAsia="zh-CN"/>
        </w:rPr>
        <w:t>昌吉州青少年示范性综合实践基地服务中心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 xml:space="preserve">财政拨款收支总预算 </w:t>
      </w:r>
      <w:r>
        <w:rPr>
          <w:rFonts w:hint="eastAsia" w:ascii="仿宋_GB2312" w:hAnsi="宋体" w:eastAsia="仿宋_GB2312" w:cs="宋体"/>
          <w:color w:val="auto"/>
          <w:kern w:val="0"/>
          <w:sz w:val="32"/>
          <w:szCs w:val="32"/>
          <w:highlight w:val="none"/>
          <w:lang w:val="en-US" w:eastAsia="zh-CN"/>
        </w:rPr>
        <w:t>143.02</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收入预算包括：一般公共预算拨款 </w:t>
      </w:r>
      <w:r>
        <w:rPr>
          <w:rFonts w:hint="eastAsia" w:ascii="仿宋_GB2312" w:hAnsi="宋体" w:eastAsia="仿宋_GB2312" w:cs="宋体"/>
          <w:color w:val="auto"/>
          <w:kern w:val="0"/>
          <w:sz w:val="32"/>
          <w:szCs w:val="32"/>
          <w:highlight w:val="none"/>
          <w:lang w:val="en-US" w:eastAsia="zh-CN"/>
        </w:rPr>
        <w:t>143.02</w:t>
      </w:r>
      <w:r>
        <w:rPr>
          <w:rFonts w:hint="eastAsia" w:ascii="仿宋_GB2312" w:hAnsi="宋体" w:eastAsia="仿宋_GB2312" w:cs="宋体"/>
          <w:color w:val="auto"/>
          <w:kern w:val="0"/>
          <w:sz w:val="32"/>
          <w:szCs w:val="32"/>
          <w:highlight w:val="none"/>
        </w:rPr>
        <w:t xml:space="preserve"> 万元。</w:t>
      </w:r>
    </w:p>
    <w:p>
      <w:pPr>
        <w:widowControl/>
        <w:spacing w:line="58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仿宋_GB2312" w:eastAsia="仿宋_GB2312" w:cs="仿宋_GB2312"/>
          <w:bCs/>
          <w:color w:val="auto"/>
          <w:sz w:val="32"/>
          <w:szCs w:val="32"/>
        </w:rPr>
        <w:t>教育</w:t>
      </w:r>
      <w:r>
        <w:rPr>
          <w:rFonts w:hint="eastAsia" w:ascii="仿宋_GB2312" w:hAnsi="仿宋_GB2312" w:eastAsia="仿宋_GB2312" w:cs="仿宋_GB2312"/>
          <w:color w:val="auto"/>
          <w:sz w:val="32"/>
          <w:szCs w:val="32"/>
        </w:rPr>
        <w:t>支出</w:t>
      </w:r>
      <w:r>
        <w:rPr>
          <w:rFonts w:hint="eastAsia" w:ascii="仿宋_GB2312" w:hAnsi="宋体" w:eastAsia="仿宋_GB2312" w:cs="宋体"/>
          <w:color w:val="auto"/>
          <w:kern w:val="0"/>
          <w:sz w:val="32"/>
          <w:szCs w:val="32"/>
          <w:lang w:val="en-US" w:eastAsia="zh-CN"/>
        </w:rPr>
        <w:t>129.2</w:t>
      </w:r>
      <w:r>
        <w:rPr>
          <w:rFonts w:hint="eastAsia" w:ascii="仿宋_GB2312" w:hAnsi="宋体" w:eastAsia="仿宋_GB2312" w:cs="宋体"/>
          <w:color w:val="auto"/>
          <w:kern w:val="0"/>
          <w:sz w:val="32"/>
          <w:szCs w:val="32"/>
        </w:rPr>
        <w:t>万元，主要用于支付</w:t>
      </w:r>
      <w:r>
        <w:rPr>
          <w:rFonts w:hint="eastAsia" w:ascii="仿宋_GB2312" w:hAnsi="宋体" w:eastAsia="仿宋_GB2312" w:cs="宋体"/>
          <w:color w:val="auto"/>
          <w:kern w:val="0"/>
          <w:sz w:val="32"/>
          <w:szCs w:val="32"/>
          <w:lang w:eastAsia="zh-CN"/>
        </w:rPr>
        <w:t>工资、</w:t>
      </w:r>
      <w:r>
        <w:rPr>
          <w:rFonts w:hint="eastAsia" w:ascii="仿宋_GB2312" w:hAnsi="宋体" w:eastAsia="仿宋_GB2312" w:cs="宋体"/>
          <w:color w:val="auto"/>
          <w:kern w:val="0"/>
          <w:sz w:val="32"/>
          <w:szCs w:val="32"/>
        </w:rPr>
        <w:t>办公经费</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lang w:val="en-US" w:eastAsia="zh-CN"/>
        </w:rPr>
        <w:t>社会保障和就业支出13.82万元，主要用于单位职工社会保险缴费。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昌吉州青少年示范性综合实践基地服务中心</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widowControl/>
        <w:spacing w:line="580" w:lineRule="exact"/>
        <w:ind w:firstLine="64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昌吉州青少年示范性综合实践基地</w:t>
      </w:r>
      <w:r>
        <w:rPr>
          <w:rFonts w:hint="eastAsia" w:ascii="仿宋_GB2312" w:hAnsi="宋体" w:eastAsia="仿宋_GB2312" w:cs="宋体"/>
          <w:color w:val="auto"/>
          <w:kern w:val="0"/>
          <w:sz w:val="32"/>
          <w:szCs w:val="32"/>
          <w:lang w:val="en-US" w:eastAsia="zh-CN"/>
        </w:rPr>
        <w:t>服务</w:t>
      </w:r>
      <w:r>
        <w:rPr>
          <w:rFonts w:hint="eastAsia" w:ascii="仿宋_GB2312" w:hAnsi="宋体" w:eastAsia="仿宋_GB2312" w:cs="宋体"/>
          <w:color w:val="auto"/>
          <w:kern w:val="0"/>
          <w:sz w:val="32"/>
          <w:szCs w:val="32"/>
        </w:rPr>
        <w:t>中心202</w:t>
      </w:r>
      <w:r>
        <w:rPr>
          <w:rFonts w:hint="eastAsia" w:ascii="仿宋_GB2312" w:hAnsi="宋体" w:eastAsia="仿宋_GB2312" w:cs="宋体"/>
          <w:color w:val="auto"/>
          <w:kern w:val="0"/>
          <w:sz w:val="32"/>
          <w:szCs w:val="32"/>
          <w:lang w:val="en-US" w:eastAsia="zh-CN"/>
        </w:rPr>
        <w:t>4</w:t>
      </w:r>
      <w:r>
        <w:rPr>
          <w:rFonts w:hint="eastAsia" w:ascii="仿宋_GB2312" w:hAnsi="宋体" w:eastAsia="仿宋_GB2312" w:cs="宋体"/>
          <w:color w:val="auto"/>
          <w:kern w:val="0"/>
          <w:sz w:val="32"/>
          <w:szCs w:val="32"/>
        </w:rPr>
        <w:t>年一般公共预算拨款支出</w:t>
      </w:r>
      <w:r>
        <w:rPr>
          <w:rFonts w:hint="eastAsia" w:ascii="仿宋_GB2312" w:hAnsi="宋体" w:eastAsia="仿宋_GB2312" w:cs="宋体"/>
          <w:color w:val="auto"/>
          <w:kern w:val="0"/>
          <w:sz w:val="32"/>
          <w:szCs w:val="32"/>
          <w:lang w:val="en-US" w:eastAsia="zh-CN"/>
        </w:rPr>
        <w:t>143.02</w:t>
      </w:r>
      <w:r>
        <w:rPr>
          <w:rFonts w:hint="eastAsia" w:ascii="仿宋_GB2312" w:hAnsi="宋体" w:eastAsia="仿宋_GB2312" w:cs="宋体"/>
          <w:color w:val="auto"/>
          <w:kern w:val="0"/>
          <w:sz w:val="32"/>
          <w:szCs w:val="32"/>
        </w:rPr>
        <w:t>万元，其中：基本支出</w:t>
      </w:r>
      <w:r>
        <w:rPr>
          <w:rFonts w:hint="eastAsia" w:ascii="仿宋_GB2312" w:hAnsi="宋体" w:eastAsia="仿宋_GB2312" w:cs="宋体"/>
          <w:color w:val="auto"/>
          <w:kern w:val="0"/>
          <w:sz w:val="32"/>
          <w:szCs w:val="32"/>
          <w:lang w:val="en-US" w:eastAsia="zh-CN"/>
        </w:rPr>
        <w:t>143.02</w:t>
      </w:r>
      <w:r>
        <w:rPr>
          <w:rFonts w:hint="eastAsia" w:ascii="仿宋_GB2312" w:hAnsi="宋体" w:eastAsia="仿宋_GB2312" w:cs="宋体"/>
          <w:color w:val="auto"/>
          <w:kern w:val="0"/>
          <w:sz w:val="32"/>
          <w:szCs w:val="32"/>
        </w:rPr>
        <w:t>万元，占100%，比上年预算</w:t>
      </w:r>
      <w:r>
        <w:rPr>
          <w:rFonts w:hint="eastAsia" w:ascii="仿宋_GB2312" w:hAnsi="宋体" w:eastAsia="仿宋_GB2312" w:cs="宋体"/>
          <w:color w:val="auto"/>
          <w:kern w:val="0"/>
          <w:sz w:val="32"/>
          <w:szCs w:val="32"/>
          <w:lang w:val="en-US" w:eastAsia="zh-CN"/>
        </w:rPr>
        <w:t>增加了94.25</w:t>
      </w:r>
      <w:r>
        <w:rPr>
          <w:rFonts w:hint="eastAsia"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lang w:val="en-US" w:eastAsia="zh-CN"/>
        </w:rPr>
        <w:t>增长193.25</w:t>
      </w:r>
      <w:r>
        <w:rPr>
          <w:rFonts w:hint="eastAsia" w:ascii="仿宋_GB2312" w:hAnsi="宋体" w:eastAsia="仿宋_GB2312" w:cs="宋体"/>
          <w:color w:val="auto"/>
          <w:kern w:val="0"/>
          <w:sz w:val="32"/>
          <w:szCs w:val="32"/>
        </w:rPr>
        <w:t>%，主要原因是：</w:t>
      </w:r>
      <w:r>
        <w:rPr>
          <w:rFonts w:hint="eastAsia" w:ascii="仿宋_GB2312" w:hAnsi="宋体" w:eastAsia="仿宋_GB2312" w:cs="宋体"/>
          <w:color w:val="auto"/>
          <w:kern w:val="0"/>
          <w:sz w:val="32"/>
          <w:szCs w:val="32"/>
          <w:lang w:val="en-US" w:eastAsia="zh-CN"/>
        </w:rPr>
        <w:t>青少年活动中心合并到我单位，新增了4名教师人员及定额经费。</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项目支出0万元，占0%，比上年预算增加0万元，主要原因是</w:t>
      </w:r>
      <w:r>
        <w:rPr>
          <w:rFonts w:hint="eastAsia" w:ascii="仿宋_GB2312" w:hAnsi="仿宋" w:eastAsia="仿宋_GB2312"/>
          <w:color w:val="auto"/>
          <w:sz w:val="32"/>
        </w:rPr>
        <w:t>未安排项目预算支出</w:t>
      </w:r>
      <w:r>
        <w:rPr>
          <w:rFonts w:hint="eastAsia" w:ascii="仿宋_GB2312" w:hAnsi="宋体" w:eastAsia="仿宋_GB2312" w:cs="宋体"/>
          <w:color w:val="auto"/>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80" w:lineRule="exact"/>
        <w:ind w:firstLine="640"/>
        <w:rPr>
          <w:rFonts w:ascii="仿宋_GB2312" w:hAnsi="宋体" w:eastAsia="仿宋_GB2312" w:cs="宋体"/>
          <w:color w:val="auto"/>
          <w:kern w:val="0"/>
          <w:sz w:val="32"/>
          <w:szCs w:val="32"/>
        </w:rPr>
      </w:pPr>
      <w:r>
        <w:rPr>
          <w:rFonts w:hint="eastAsia" w:ascii="仿宋_GB2312" w:eastAsia="仿宋_GB2312"/>
          <w:color w:val="auto"/>
          <w:sz w:val="32"/>
          <w:szCs w:val="32"/>
        </w:rPr>
        <w:t>1.</w:t>
      </w:r>
      <w:r>
        <w:rPr>
          <w:rFonts w:hint="eastAsia" w:ascii="仿宋_GB2312" w:hAnsi="宋体" w:eastAsia="仿宋_GB2312" w:cs="宋体"/>
          <w:color w:val="auto"/>
          <w:kern w:val="0"/>
          <w:sz w:val="32"/>
          <w:szCs w:val="32"/>
        </w:rPr>
        <w:t>教育支出（类）</w:t>
      </w:r>
      <w:r>
        <w:rPr>
          <w:rFonts w:hint="eastAsia" w:ascii="仿宋_GB2312" w:hAnsi="宋体" w:eastAsia="仿宋_GB2312" w:cs="宋体"/>
          <w:color w:val="auto"/>
          <w:kern w:val="0"/>
          <w:sz w:val="32"/>
          <w:szCs w:val="32"/>
          <w:lang w:val="en-US" w:eastAsia="zh-CN"/>
        </w:rPr>
        <w:t>129.2</w:t>
      </w:r>
      <w:r>
        <w:rPr>
          <w:rFonts w:hint="eastAsia" w:ascii="仿宋_GB2312" w:hAnsi="宋体" w:eastAsia="仿宋_GB2312" w:cs="宋体"/>
          <w:color w:val="auto"/>
          <w:kern w:val="0"/>
          <w:sz w:val="32"/>
          <w:szCs w:val="32"/>
        </w:rPr>
        <w:t>万元，占9</w:t>
      </w:r>
      <w:r>
        <w:rPr>
          <w:rFonts w:hint="eastAsia" w:ascii="仿宋_GB2312" w:hAnsi="宋体" w:eastAsia="仿宋_GB2312" w:cs="宋体"/>
          <w:color w:val="auto"/>
          <w:kern w:val="0"/>
          <w:sz w:val="32"/>
          <w:szCs w:val="32"/>
          <w:lang w:val="en-US" w:eastAsia="zh-CN"/>
        </w:rPr>
        <w:t>0.34</w:t>
      </w:r>
      <w:r>
        <w:rPr>
          <w:rFonts w:hint="eastAsia" w:ascii="仿宋_GB2312" w:hAnsi="宋体" w:eastAsia="仿宋_GB2312" w:cs="宋体"/>
          <w:color w:val="auto"/>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w:t>
      </w:r>
      <w:r>
        <w:rPr>
          <w:rFonts w:hint="eastAsia" w:ascii="仿宋_GB2312" w:eastAsia="仿宋_GB2312"/>
          <w:color w:val="auto"/>
          <w:sz w:val="32"/>
          <w:szCs w:val="32"/>
        </w:rPr>
        <w:t xml:space="preserve"> 社会保障和就业支出（类）</w:t>
      </w:r>
      <w:r>
        <w:rPr>
          <w:rFonts w:hint="eastAsia" w:ascii="仿宋_GB2312" w:hAnsi="宋体" w:eastAsia="仿宋_GB2312" w:cs="宋体"/>
          <w:color w:val="auto"/>
          <w:kern w:val="0"/>
          <w:sz w:val="32"/>
          <w:szCs w:val="32"/>
          <w:lang w:val="en-US" w:eastAsia="zh-CN"/>
        </w:rPr>
        <w:t>13.82</w:t>
      </w:r>
      <w:r>
        <w:rPr>
          <w:rFonts w:hint="eastAsia" w:ascii="仿宋_GB2312" w:hAnsi="宋体" w:eastAsia="仿宋_GB2312" w:cs="宋体"/>
          <w:color w:val="auto"/>
          <w:kern w:val="0"/>
          <w:sz w:val="32"/>
          <w:szCs w:val="32"/>
        </w:rPr>
        <w:t>万元，占</w:t>
      </w:r>
      <w:r>
        <w:rPr>
          <w:rFonts w:hint="eastAsia" w:ascii="仿宋_GB2312" w:hAnsi="宋体" w:eastAsia="仿宋_GB2312" w:cs="宋体"/>
          <w:color w:val="auto"/>
          <w:kern w:val="0"/>
          <w:sz w:val="32"/>
          <w:szCs w:val="32"/>
          <w:lang w:val="en-US" w:eastAsia="zh-CN"/>
        </w:rPr>
        <w:t>9.66</w:t>
      </w:r>
      <w:r>
        <w:rPr>
          <w:rFonts w:hint="eastAsia" w:ascii="仿宋_GB2312" w:hAnsi="宋体" w:eastAsia="仿宋_GB2312" w:cs="宋体"/>
          <w:color w:val="auto"/>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kern w:val="0"/>
          <w:sz w:val="32"/>
          <w:szCs w:val="32"/>
        </w:rPr>
      </w:pPr>
      <w:r>
        <w:rPr>
          <w:rFonts w:hint="eastAsia" w:ascii="仿宋_GB2312" w:hAnsi="仿宋_GB2312" w:eastAsia="仿宋_GB2312" w:cs="仿宋_GB2312"/>
          <w:b/>
          <w:color w:val="auto"/>
          <w:kern w:val="0"/>
          <w:sz w:val="32"/>
          <w:szCs w:val="32"/>
          <w:highlight w:val="none"/>
        </w:rPr>
        <w:t>（三）一般公共预算当年拨款具体使用情况</w:t>
      </w:r>
    </w:p>
    <w:p>
      <w:pPr>
        <w:widowControl/>
        <w:spacing w:line="58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b/>
          <w:bCs/>
          <w:color w:val="auto"/>
          <w:kern w:val="0"/>
          <w:sz w:val="32"/>
          <w:szCs w:val="32"/>
          <w:highlight w:val="none"/>
        </w:rPr>
        <w:t>1.</w:t>
      </w:r>
      <w:r>
        <w:rPr>
          <w:rFonts w:hint="eastAsia" w:ascii="仿宋_GB2312" w:hAnsi="宋体" w:eastAsia="仿宋_GB2312" w:cs="宋体"/>
          <w:bCs/>
          <w:color w:val="auto"/>
          <w:kern w:val="0"/>
          <w:sz w:val="32"/>
          <w:szCs w:val="32"/>
          <w:highlight w:val="none"/>
        </w:rPr>
        <w:t>教育支出（类）普通教育（款）小学教育（项）</w:t>
      </w:r>
      <w:r>
        <w:rPr>
          <w:rFonts w:hint="eastAsia" w:ascii="仿宋_GB2312" w:hAnsi="宋体" w:eastAsia="仿宋_GB2312" w:cs="宋体"/>
          <w:bCs/>
          <w:color w:val="auto"/>
          <w:kern w:val="0"/>
          <w:sz w:val="32"/>
          <w:szCs w:val="32"/>
          <w:highlight w:val="none"/>
          <w:lang w:val="en-US" w:eastAsia="zh-CN"/>
        </w:rPr>
        <w:t>129.2</w:t>
      </w:r>
      <w:r>
        <w:rPr>
          <w:rFonts w:hint="eastAsia" w:ascii="仿宋_GB2312" w:hAnsi="宋体" w:eastAsia="仿宋_GB2312" w:cs="宋体"/>
          <w:bCs/>
          <w:color w:val="auto"/>
          <w:kern w:val="0"/>
          <w:sz w:val="32"/>
          <w:szCs w:val="32"/>
          <w:highlight w:val="none"/>
        </w:rPr>
        <w:t>万元，</w:t>
      </w:r>
      <w:r>
        <w:rPr>
          <w:rFonts w:hint="eastAsia" w:ascii="仿宋_GB2312" w:hAnsi="宋体" w:eastAsia="仿宋_GB2312" w:cs="宋体"/>
          <w:color w:val="auto"/>
          <w:kern w:val="0"/>
          <w:sz w:val="32"/>
          <w:szCs w:val="32"/>
          <w:highlight w:val="none"/>
        </w:rPr>
        <w:t>比上年预算数</w:t>
      </w:r>
      <w:r>
        <w:rPr>
          <w:rFonts w:hint="eastAsia" w:ascii="仿宋_GB2312" w:hAnsi="宋体" w:eastAsia="仿宋_GB2312" w:cs="宋体"/>
          <w:color w:val="auto"/>
          <w:kern w:val="0"/>
          <w:sz w:val="32"/>
          <w:szCs w:val="32"/>
          <w:highlight w:val="none"/>
          <w:lang w:val="en-US" w:eastAsia="zh-CN"/>
        </w:rPr>
        <w:t>增加了84.99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增长192.24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lang w:val="en-US" w:eastAsia="zh-CN"/>
        </w:rPr>
        <w:t>青少年活动中心合并到我单位，新增了4名教师人员及定额经费。</w:t>
      </w:r>
      <w:r>
        <w:rPr>
          <w:rFonts w:hint="eastAsia" w:ascii="仿宋_GB2312" w:hAnsi="宋体" w:eastAsia="仿宋_GB2312" w:cs="宋体"/>
          <w:color w:val="auto"/>
          <w:kern w:val="0"/>
          <w:sz w:val="32"/>
          <w:szCs w:val="32"/>
          <w:highlight w:val="none"/>
        </w:rPr>
        <w:t xml:space="preserve">          </w:t>
      </w:r>
    </w:p>
    <w:p>
      <w:pPr>
        <w:widowControl/>
        <w:spacing w:line="580" w:lineRule="exact"/>
        <w:ind w:left="141" w:leftChars="67" w:firstLine="709"/>
        <w:jc w:val="left"/>
        <w:rPr>
          <w:rFonts w:hint="eastAsia" w:ascii="仿宋_GB2312" w:hAnsi="宋体" w:eastAsia="仿宋_GB2312" w:cs="宋体"/>
          <w:color w:val="auto"/>
          <w:kern w:val="0"/>
          <w:sz w:val="32"/>
          <w:szCs w:val="32"/>
        </w:rPr>
      </w:pPr>
      <w:r>
        <w:rPr>
          <w:rFonts w:hint="eastAsia" w:ascii="楷体_GB2312" w:hAnsi="宋体" w:eastAsia="楷体_GB2312" w:cs="宋体"/>
          <w:b/>
          <w:bCs/>
          <w:color w:val="auto"/>
          <w:kern w:val="0"/>
          <w:sz w:val="32"/>
          <w:szCs w:val="32"/>
        </w:rPr>
        <w:t>2.</w:t>
      </w:r>
      <w:r>
        <w:rPr>
          <w:rFonts w:hint="eastAsia" w:ascii="仿宋_GB2312" w:hAnsi="宋体" w:eastAsia="仿宋_GB2312" w:cs="宋体"/>
          <w:bCs/>
          <w:color w:val="auto"/>
          <w:kern w:val="0"/>
          <w:sz w:val="32"/>
          <w:szCs w:val="32"/>
        </w:rPr>
        <w:t>社会保障和就业支出（类）行政事业单位离退休（款）机关事业单位基本养老保险缴费支出（项）</w:t>
      </w:r>
      <w:r>
        <w:rPr>
          <w:rFonts w:hint="eastAsia" w:ascii="仿宋_GB2312" w:hAnsi="宋体" w:eastAsia="仿宋_GB2312" w:cs="宋体"/>
          <w:bCs/>
          <w:color w:val="auto"/>
          <w:kern w:val="0"/>
          <w:sz w:val="32"/>
          <w:szCs w:val="32"/>
          <w:lang w:val="en-US" w:eastAsia="zh-CN"/>
        </w:rPr>
        <w:t>13.82</w:t>
      </w:r>
      <w:r>
        <w:rPr>
          <w:rFonts w:hint="eastAsia" w:ascii="仿宋_GB2312" w:hAnsi="宋体" w:eastAsia="仿宋_GB2312" w:cs="宋体"/>
          <w:bCs/>
          <w:color w:val="auto"/>
          <w:kern w:val="0"/>
          <w:sz w:val="32"/>
          <w:szCs w:val="32"/>
        </w:rPr>
        <w:t>万元，</w:t>
      </w:r>
      <w:r>
        <w:rPr>
          <w:rFonts w:hint="eastAsia" w:ascii="仿宋_GB2312" w:hAnsi="宋体" w:eastAsia="仿宋_GB2312" w:cs="宋体"/>
          <w:color w:val="auto"/>
          <w:kern w:val="0"/>
          <w:sz w:val="32"/>
          <w:szCs w:val="32"/>
        </w:rPr>
        <w:t>比上年预算数增加了</w:t>
      </w:r>
      <w:r>
        <w:rPr>
          <w:rFonts w:hint="eastAsia" w:ascii="仿宋_GB2312" w:hAnsi="宋体" w:eastAsia="仿宋_GB2312" w:cs="宋体"/>
          <w:color w:val="auto"/>
          <w:kern w:val="0"/>
          <w:sz w:val="32"/>
          <w:szCs w:val="32"/>
          <w:lang w:val="en-US" w:eastAsia="zh-CN"/>
        </w:rPr>
        <w:t>8.18</w:t>
      </w:r>
      <w:r>
        <w:rPr>
          <w:rFonts w:hint="eastAsia" w:ascii="仿宋_GB2312" w:hAnsi="宋体" w:eastAsia="仿宋_GB2312" w:cs="宋体"/>
          <w:color w:val="auto"/>
          <w:kern w:val="0"/>
          <w:sz w:val="32"/>
          <w:szCs w:val="32"/>
        </w:rPr>
        <w:t>万元，增长</w:t>
      </w:r>
      <w:r>
        <w:rPr>
          <w:rFonts w:hint="eastAsia" w:ascii="仿宋_GB2312" w:hAnsi="宋体" w:eastAsia="仿宋_GB2312" w:cs="宋体"/>
          <w:color w:val="auto"/>
          <w:kern w:val="0"/>
          <w:sz w:val="32"/>
          <w:szCs w:val="32"/>
          <w:lang w:val="en-US" w:eastAsia="zh-CN"/>
        </w:rPr>
        <w:t>145.04</w:t>
      </w:r>
      <w:r>
        <w:rPr>
          <w:rFonts w:hint="eastAsia" w:ascii="仿宋_GB2312" w:hAnsi="宋体" w:eastAsia="仿宋_GB2312" w:cs="宋体"/>
          <w:color w:val="auto"/>
          <w:kern w:val="0"/>
          <w:sz w:val="32"/>
          <w:szCs w:val="32"/>
        </w:rPr>
        <w:t>%。主要原因是：养老基数上调</w:t>
      </w:r>
      <w:r>
        <w:rPr>
          <w:rFonts w:ascii="仿宋_GB2312" w:hAnsi="宋体" w:eastAsia="仿宋_GB2312" w:cs="宋体"/>
          <w:color w:val="auto"/>
          <w:kern w:val="0"/>
          <w:sz w:val="32"/>
          <w:szCs w:val="32"/>
        </w:rPr>
        <w:t xml:space="preserve"> </w:t>
      </w:r>
      <w:r>
        <w:rPr>
          <w:rFonts w:hint="eastAsia" w:ascii="仿宋_GB2312" w:hAnsi="宋体" w:eastAsia="仿宋_GB2312" w:cs="宋体"/>
          <w:color w:val="auto"/>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昌吉州青少年示范性综合实践基地服务中心</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bCs/>
          <w:color w:val="auto"/>
          <w:kern w:val="0"/>
          <w:sz w:val="32"/>
          <w:szCs w:val="32"/>
          <w:lang w:val="en-US" w:eastAsia="zh-CN"/>
        </w:rPr>
        <w:t>昌吉州青少年示范性综合实践基地服务中心</w:t>
      </w:r>
      <w:r>
        <w:rPr>
          <w:rFonts w:hint="eastAsia" w:ascii="仿宋_GB2312" w:hAnsi="宋体" w:eastAsia="仿宋_GB2312" w:cs="宋体"/>
          <w:bCs/>
          <w:color w:val="auto"/>
          <w:kern w:val="0"/>
          <w:sz w:val="32"/>
          <w:szCs w:val="32"/>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143.02</w:t>
      </w:r>
      <w:r>
        <w:rPr>
          <w:rFonts w:hint="eastAsia" w:ascii="仿宋_GB2312" w:hAnsi="宋体" w:eastAsia="仿宋_GB2312" w:cs="宋体"/>
          <w:color w:val="auto"/>
          <w:spacing w:val="-6"/>
          <w:kern w:val="0"/>
          <w:sz w:val="32"/>
          <w:szCs w:val="32"/>
          <w:highlight w:val="none"/>
        </w:rPr>
        <w:t>万元， 其中：</w:t>
      </w:r>
    </w:p>
    <w:p>
      <w:pPr>
        <w:pStyle w:val="4"/>
        <w:keepNext w:val="0"/>
        <w:keepLines w:val="0"/>
        <w:widowControl/>
        <w:suppressLineNumbers w:val="0"/>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134.21</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万元，主要包括：基本工资、津贴补贴、奖金、绩效工资、机关事业单位基本养老保险缴费、职工基本医疗保险缴费、公务员医疗补助缴费、其他社会保障缴费、住房公积金、其他工资福利支出</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 xml:space="preserve">公用经费 </w:t>
      </w:r>
      <w:r>
        <w:rPr>
          <w:rFonts w:hint="eastAsia" w:ascii="仿宋_GB2312" w:hAnsi="宋体" w:eastAsia="仿宋_GB2312" w:cs="宋体"/>
          <w:color w:val="auto"/>
          <w:kern w:val="0"/>
          <w:sz w:val="32"/>
          <w:szCs w:val="32"/>
          <w:highlight w:val="none"/>
          <w:lang w:val="en-US" w:eastAsia="zh-CN"/>
        </w:rPr>
        <w:t>8.81</w:t>
      </w:r>
      <w:r>
        <w:rPr>
          <w:rFonts w:hint="eastAsia" w:ascii="仿宋_GB2312" w:hAnsi="宋体" w:eastAsia="仿宋_GB2312" w:cs="宋体"/>
          <w:color w:val="auto"/>
          <w:kern w:val="0"/>
          <w:sz w:val="32"/>
          <w:szCs w:val="32"/>
          <w:highlight w:val="none"/>
        </w:rPr>
        <w:t xml:space="preserve"> 万元，主要包括：办公费、电费、邮电费、取暖费、物业管理费、差旅费、工会经费</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昌吉州青少年示范性综合实践基地服务中心</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昌吉州青少年示范性综合实践基地服务中心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昌吉州青少年示范性综合实践基地服务中心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昌吉州青少年示范性综合实践基地服务中心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昌吉州青少年示范性综合实践基地服务中心2</w:t>
      </w:r>
      <w:r>
        <w:rPr>
          <w:rFonts w:hint="eastAsia" w:ascii="仿宋_GB2312" w:hAnsi="宋体" w:eastAsia="仿宋_GB2312" w:cs="宋体"/>
          <w:color w:val="auto"/>
          <w:kern w:val="0"/>
          <w:sz w:val="32"/>
          <w:szCs w:val="32"/>
          <w:highlight w:val="none"/>
          <w:lang w:eastAsia="zh-CN"/>
        </w:rPr>
        <w:t>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     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万元，公务接待费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 xml:space="preserve">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 xml:space="preserve"> 0 %，</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2024年未安排预算；</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2024年未安排预算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2024年未安排预算</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 xml:space="preserve">0 </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2024年未安排预算</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昌吉州青少年示范性综合实践基地服务中心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昌吉州青少年示范性综合实践基地服务中心2</w:t>
      </w:r>
      <w:r>
        <w:rPr>
          <w:rFonts w:hint="eastAsia" w:ascii="仿宋_GB2312" w:hAnsi="仿宋_GB2312" w:eastAsia="仿宋_GB2312" w:cs="仿宋_GB2312"/>
          <w:color w:val="auto"/>
          <w:kern w:val="0"/>
          <w:sz w:val="32"/>
          <w:szCs w:val="32"/>
          <w:highlight w:val="none"/>
          <w:lang w:eastAsia="zh-CN"/>
        </w:rPr>
        <w:t>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widowControl/>
        <w:spacing w:line="580" w:lineRule="exact"/>
        <w:ind w:firstLine="640"/>
        <w:jc w:val="left"/>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8.81</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0.55</w:t>
      </w:r>
      <w:r>
        <w:rPr>
          <w:rFonts w:hint="eastAsia" w:ascii="仿宋_GB2312" w:hAnsi="仿宋_GB2312" w:eastAsia="仿宋_GB2312" w:cs="仿宋_GB2312"/>
          <w:color w:val="auto"/>
          <w:kern w:val="0"/>
          <w:sz w:val="32"/>
          <w:szCs w:val="32"/>
          <w:highlight w:val="none"/>
        </w:rPr>
        <w:t>万元，增</w:t>
      </w:r>
      <w:r>
        <w:rPr>
          <w:rFonts w:hint="eastAsia" w:ascii="仿宋_GB2312" w:hAnsi="仿宋_GB2312" w:eastAsia="仿宋_GB2312" w:cs="仿宋_GB2312"/>
          <w:color w:val="auto"/>
          <w:kern w:val="0"/>
          <w:sz w:val="32"/>
          <w:szCs w:val="32"/>
          <w:highlight w:val="none"/>
          <w:lang w:val="en-US" w:eastAsia="zh-CN"/>
        </w:rPr>
        <w:t>6.66</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lang w:val="en-US" w:eastAsia="zh-CN"/>
        </w:rPr>
        <w:t>青少年活动中心合并到我单位，新增了4名教师人员及定额经费。</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0.71</w:t>
      </w:r>
      <w:r>
        <w:rPr>
          <w:rFonts w:hint="eastAsia" w:ascii="仿宋_GB2312" w:hAnsi="仿宋_GB2312" w:eastAsia="仿宋_GB2312" w:cs="仿宋_GB2312"/>
          <w:color w:val="auto"/>
          <w:kern w:val="0"/>
          <w:sz w:val="32"/>
          <w:szCs w:val="32"/>
          <w:highlight w:val="none"/>
        </w:rPr>
        <w:t xml:space="preserve">万元，其中：政府采购货物预算 </w:t>
      </w:r>
      <w:r>
        <w:rPr>
          <w:rFonts w:hint="eastAsia" w:ascii="仿宋_GB2312" w:hAnsi="仿宋_GB2312" w:eastAsia="仿宋_GB2312" w:cs="仿宋_GB2312"/>
          <w:color w:val="auto"/>
          <w:kern w:val="0"/>
          <w:sz w:val="32"/>
          <w:szCs w:val="32"/>
          <w:highlight w:val="none"/>
          <w:lang w:val="en-US" w:eastAsia="zh-CN"/>
        </w:rPr>
        <w:t>0.71</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万元，政府采购服务预算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z w:val="32"/>
          <w:highlight w:val="none"/>
          <w:lang w:val="en-US" w:eastAsia="zh-CN"/>
        </w:rPr>
        <w:t>昌吉州青少年示范性综合实践基地服务中心</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 xml:space="preserve"> 0.71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 xml:space="preserve"> 0.71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1.房屋 </w:t>
      </w:r>
      <w:r>
        <w:rPr>
          <w:rFonts w:hint="eastAsia" w:ascii="仿宋_GB2312" w:hAnsi="仿宋_GB2312" w:eastAsia="仿宋_GB2312" w:cs="仿宋_GB2312"/>
          <w:color w:val="auto"/>
          <w:kern w:val="0"/>
          <w:sz w:val="32"/>
          <w:szCs w:val="32"/>
          <w:highlight w:val="none"/>
          <w:lang w:val="en-US" w:eastAsia="zh-CN"/>
        </w:rPr>
        <w:t>18987</w:t>
      </w:r>
      <w:r>
        <w:rPr>
          <w:rFonts w:hint="eastAsia" w:ascii="仿宋_GB2312" w:hAnsi="仿宋_GB2312" w:eastAsia="仿宋_GB2312" w:cs="仿宋_GB2312"/>
          <w:color w:val="auto"/>
          <w:kern w:val="0"/>
          <w:sz w:val="32"/>
          <w:szCs w:val="32"/>
          <w:highlight w:val="none"/>
        </w:rPr>
        <w:t xml:space="preserve"> 平方米，价值</w:t>
      </w:r>
      <w:r>
        <w:rPr>
          <w:rFonts w:hint="eastAsia" w:ascii="仿宋_GB2312" w:hAnsi="仿宋_GB2312" w:eastAsia="仿宋_GB2312" w:cs="仿宋_GB2312"/>
          <w:color w:val="auto"/>
          <w:kern w:val="0"/>
          <w:sz w:val="32"/>
          <w:szCs w:val="32"/>
          <w:highlight w:val="none"/>
          <w:lang w:val="en-US" w:eastAsia="zh-CN"/>
        </w:rPr>
        <w:t>4428.65</w:t>
      </w:r>
      <w:r>
        <w:rPr>
          <w:rFonts w:hint="eastAsia" w:ascii="仿宋_GB2312" w:hAnsi="仿宋_GB2312" w:eastAsia="仿宋_GB2312" w:cs="仿宋_GB2312"/>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2.车辆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万元；其中：一般公务用车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万元；执法执勤用车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万元；其他车辆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3.办公家具价值 </w:t>
      </w:r>
      <w:r>
        <w:rPr>
          <w:rFonts w:hint="eastAsia" w:ascii="仿宋_GB2312" w:hAnsi="仿宋_GB2312" w:eastAsia="仿宋_GB2312" w:cs="仿宋_GB2312"/>
          <w:color w:val="auto"/>
          <w:kern w:val="0"/>
          <w:sz w:val="32"/>
          <w:szCs w:val="32"/>
          <w:highlight w:val="none"/>
          <w:lang w:val="en-US" w:eastAsia="zh-CN"/>
        </w:rPr>
        <w:t>31.06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4.其他资产价值 </w:t>
      </w:r>
      <w:r>
        <w:rPr>
          <w:rFonts w:hint="eastAsia" w:ascii="仿宋_GB2312" w:hAnsi="仿宋_GB2312" w:eastAsia="仿宋_GB2312" w:cs="仿宋_GB2312"/>
          <w:color w:val="auto"/>
          <w:kern w:val="0"/>
          <w:sz w:val="32"/>
          <w:szCs w:val="32"/>
          <w:highlight w:val="none"/>
          <w:lang w:val="en-US" w:eastAsia="zh-CN"/>
        </w:rPr>
        <w:t>3039.94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单位价值50万元以上大型设备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台（套），单位价值100万元以上大型设备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单位预算未安排购置车辆经费（或安排购置车辆经费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万元），安排购置50万元以上大型设备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整体预算绩效目标1个，涉及金额143.02万元；当年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88.7</w:t>
      </w:r>
      <w:r>
        <w:rPr>
          <w:rFonts w:hint="eastAsia" w:ascii="仿宋_GB2312" w:hAnsi="仿宋_GB2312" w:eastAsia="仿宋_GB2312" w:cs="仿宋_GB2312"/>
          <w:color w:val="auto"/>
          <w:kern w:val="0"/>
          <w:sz w:val="32"/>
          <w:szCs w:val="32"/>
          <w:highlight w:val="none"/>
        </w:rPr>
        <w:t>万元。</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昌吉州青少年示范性综合实践基地服务中心整体绩效目标表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昌吉州青少年示范性综合实践基地服务中心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朱英辉</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13909972009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开展“学工、学农、学军”科普和技术创新教育、生命安全教育、环保和可持续发展教育等综合实践教育活动任务；保障各类综合实践教育课程正常开展及场馆的日常管理；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143.02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开展综合实践拓展活动人数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≥1500人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2024年计划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开展公益研学活动次数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≥7次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2024年计划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任职教师合格率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2024年计划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88.7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昌吉州青少年示范性综合实践基地服务中心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28</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pPr>
      <w:pStyle w:val="2"/>
      <w:jc w:val="right"/>
      <w:rPr>
        <w:rFonts w:ascii="宋体" w:hAnsi="宋体" w:eastAsia="宋体"/>
        <w:sz w:val="28"/>
        <w:szCs w:val="28"/>
      </w:rPr>
    </w:pP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10587512"/>
    <w:rsid w:val="00EE2224"/>
    <w:rsid w:val="00F1191B"/>
    <w:rsid w:val="01233A9E"/>
    <w:rsid w:val="04267B2D"/>
    <w:rsid w:val="044A30F0"/>
    <w:rsid w:val="04D91C77"/>
    <w:rsid w:val="05397FD9"/>
    <w:rsid w:val="070E6657"/>
    <w:rsid w:val="08450B28"/>
    <w:rsid w:val="0A080494"/>
    <w:rsid w:val="0B247F12"/>
    <w:rsid w:val="0BA02DB5"/>
    <w:rsid w:val="0D6E5FD0"/>
    <w:rsid w:val="0DE9148B"/>
    <w:rsid w:val="0E9208E7"/>
    <w:rsid w:val="10587512"/>
    <w:rsid w:val="10916BDA"/>
    <w:rsid w:val="11401B02"/>
    <w:rsid w:val="123A25E8"/>
    <w:rsid w:val="13976812"/>
    <w:rsid w:val="13C6689D"/>
    <w:rsid w:val="13DF1AA7"/>
    <w:rsid w:val="144436E2"/>
    <w:rsid w:val="16846935"/>
    <w:rsid w:val="1697741D"/>
    <w:rsid w:val="16A1617E"/>
    <w:rsid w:val="1732414C"/>
    <w:rsid w:val="185E3A16"/>
    <w:rsid w:val="1BEB54C3"/>
    <w:rsid w:val="1C3C6084"/>
    <w:rsid w:val="1CEB6DC6"/>
    <w:rsid w:val="1D3E1AFE"/>
    <w:rsid w:val="1DC60316"/>
    <w:rsid w:val="1EB61656"/>
    <w:rsid w:val="1FA85B21"/>
    <w:rsid w:val="20144886"/>
    <w:rsid w:val="20DD55C0"/>
    <w:rsid w:val="20DF768C"/>
    <w:rsid w:val="21F765D9"/>
    <w:rsid w:val="22DB78DD"/>
    <w:rsid w:val="23DC45EF"/>
    <w:rsid w:val="242F6132"/>
    <w:rsid w:val="244D65B8"/>
    <w:rsid w:val="2492221D"/>
    <w:rsid w:val="26B4291F"/>
    <w:rsid w:val="26E769FA"/>
    <w:rsid w:val="285C61D4"/>
    <w:rsid w:val="293B2E83"/>
    <w:rsid w:val="2A012DF7"/>
    <w:rsid w:val="2AFC4894"/>
    <w:rsid w:val="2D480265"/>
    <w:rsid w:val="2D811DC6"/>
    <w:rsid w:val="2D977453"/>
    <w:rsid w:val="2E536EC1"/>
    <w:rsid w:val="2EF22236"/>
    <w:rsid w:val="2FF81ACE"/>
    <w:rsid w:val="30517430"/>
    <w:rsid w:val="31012C04"/>
    <w:rsid w:val="326B620F"/>
    <w:rsid w:val="33557389"/>
    <w:rsid w:val="33E16D1D"/>
    <w:rsid w:val="35C42149"/>
    <w:rsid w:val="36757B30"/>
    <w:rsid w:val="3C3A4D9A"/>
    <w:rsid w:val="3C3D1BF3"/>
    <w:rsid w:val="3F211090"/>
    <w:rsid w:val="3F774D06"/>
    <w:rsid w:val="3FDF4D23"/>
    <w:rsid w:val="40065268"/>
    <w:rsid w:val="41846397"/>
    <w:rsid w:val="43C26223"/>
    <w:rsid w:val="43D8307E"/>
    <w:rsid w:val="46CE3131"/>
    <w:rsid w:val="470A2143"/>
    <w:rsid w:val="47152D15"/>
    <w:rsid w:val="475A49C5"/>
    <w:rsid w:val="494F7907"/>
    <w:rsid w:val="4C0055E5"/>
    <w:rsid w:val="4C3677AE"/>
    <w:rsid w:val="4C494A23"/>
    <w:rsid w:val="4C706B3A"/>
    <w:rsid w:val="500B0F52"/>
    <w:rsid w:val="51C15CED"/>
    <w:rsid w:val="52285DEB"/>
    <w:rsid w:val="523E560F"/>
    <w:rsid w:val="52AD62F0"/>
    <w:rsid w:val="544D7D8B"/>
    <w:rsid w:val="546308FE"/>
    <w:rsid w:val="55052414"/>
    <w:rsid w:val="583059FA"/>
    <w:rsid w:val="5A6B46CC"/>
    <w:rsid w:val="5A7A11AE"/>
    <w:rsid w:val="5B7B51DE"/>
    <w:rsid w:val="5EEE01A9"/>
    <w:rsid w:val="5F2346ED"/>
    <w:rsid w:val="60624BBE"/>
    <w:rsid w:val="60B371C8"/>
    <w:rsid w:val="61086613"/>
    <w:rsid w:val="6408782B"/>
    <w:rsid w:val="643415F6"/>
    <w:rsid w:val="65322CBF"/>
    <w:rsid w:val="65B03B52"/>
    <w:rsid w:val="68CC52CB"/>
    <w:rsid w:val="68DE4FFE"/>
    <w:rsid w:val="694B58D7"/>
    <w:rsid w:val="69CE4E15"/>
    <w:rsid w:val="6A0F425D"/>
    <w:rsid w:val="6B7F3246"/>
    <w:rsid w:val="6BE40E65"/>
    <w:rsid w:val="6CB5251A"/>
    <w:rsid w:val="6D0843F7"/>
    <w:rsid w:val="6E112FD2"/>
    <w:rsid w:val="6EF07839"/>
    <w:rsid w:val="6F63000B"/>
    <w:rsid w:val="71255018"/>
    <w:rsid w:val="72B56DCF"/>
    <w:rsid w:val="747F1FD8"/>
    <w:rsid w:val="75B570E6"/>
    <w:rsid w:val="75D139D6"/>
    <w:rsid w:val="769D3E02"/>
    <w:rsid w:val="76AD512F"/>
    <w:rsid w:val="780A1873"/>
    <w:rsid w:val="787D11B8"/>
    <w:rsid w:val="787E180E"/>
    <w:rsid w:val="792C5912"/>
    <w:rsid w:val="7A396444"/>
    <w:rsid w:val="7C872B11"/>
    <w:rsid w:val="7C923CDE"/>
    <w:rsid w:val="7E8B30DA"/>
    <w:rsid w:val="7F5A4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2810</Words>
  <Characters>3539</Characters>
  <Lines>0</Lines>
  <Paragraphs>0</Paragraphs>
  <TotalTime>0</TotalTime>
  <ScaleCrop>false</ScaleCrop>
  <LinksUpToDate>false</LinksUpToDate>
  <CharactersWithSpaces>4245</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dcterms:modified xsi:type="dcterms:W3CDTF">2024-12-16T07:53:23Z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6B92E19E160A41BEACD8E61D503A1D99_13</vt:lpwstr>
  </property>
</Properties>
</file>