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呼图壁县教育局2024年</w:t>
      </w:r>
      <w:r>
        <w:rPr>
          <w:rFonts w:hint="eastAsia" w:ascii="方正小标宋_GBK" w:hAnsi="宋体" w:eastAsia="方正小标宋_GBK"/>
          <w:color w:val="auto"/>
          <w:kern w:val="0"/>
          <w:sz w:val="44"/>
          <w:szCs w:val="44"/>
          <w:highlight w:val="none"/>
        </w:rPr>
        <w:t>预算公开</w:t>
      </w: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呼图壁县教育局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呼图壁县教育局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呼图壁县教育局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呼图壁县教育局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呼图壁县教育局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呼图壁县教育局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呼图壁教育局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呼图壁县教育局</w:t>
      </w:r>
      <w:r>
        <w:rPr>
          <w:rFonts w:hint="eastAsia" w:ascii="黑体" w:hAnsi="黑体" w:eastAsia="黑体"/>
          <w:color w:val="auto"/>
          <w:kern w:val="0"/>
          <w:sz w:val="32"/>
          <w:szCs w:val="32"/>
          <w:highlight w:val="none"/>
        </w:rPr>
        <w:t>概况</w:t>
      </w: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hd w:val="clear"/>
        <w:spacing w:before="13" w:line="310" w:lineRule="auto"/>
        <w:ind w:firstLine="624" w:firstLineChars="200"/>
        <w:rPr>
          <w:rFonts w:ascii="仿宋" w:hAnsi="仿宋" w:eastAsia="仿宋" w:cs="仿宋"/>
          <w:sz w:val="31"/>
          <w:szCs w:val="31"/>
          <w:highlight w:val="none"/>
        </w:rPr>
      </w:pPr>
      <w:r>
        <w:rPr>
          <w:rFonts w:ascii="仿宋" w:hAnsi="仿宋" w:eastAsia="仿宋" w:cs="仿宋"/>
          <w:spacing w:val="1"/>
          <w:sz w:val="31"/>
          <w:szCs w:val="31"/>
          <w:highlight w:val="none"/>
        </w:rPr>
        <w:t>1、全面贯彻执行党</w:t>
      </w:r>
      <w:r>
        <w:rPr>
          <w:rFonts w:ascii="仿宋" w:hAnsi="仿宋" w:eastAsia="仿宋" w:cs="仿宋"/>
          <w:sz w:val="31"/>
          <w:szCs w:val="31"/>
          <w:highlight w:val="none"/>
        </w:rPr>
        <w:t xml:space="preserve">和国家、 自治区有关教育工作的方针、 </w:t>
      </w:r>
      <w:r>
        <w:rPr>
          <w:rFonts w:ascii="仿宋" w:hAnsi="仿宋" w:eastAsia="仿宋" w:cs="仿宋"/>
          <w:spacing w:val="36"/>
          <w:sz w:val="31"/>
          <w:szCs w:val="31"/>
          <w:highlight w:val="none"/>
        </w:rPr>
        <w:t>政</w:t>
      </w:r>
      <w:r>
        <w:rPr>
          <w:rFonts w:ascii="仿宋" w:hAnsi="仿宋" w:eastAsia="仿宋" w:cs="仿宋"/>
          <w:spacing w:val="20"/>
          <w:sz w:val="31"/>
          <w:szCs w:val="31"/>
          <w:highlight w:val="none"/>
        </w:rPr>
        <w:t>策</w:t>
      </w:r>
      <w:r>
        <w:rPr>
          <w:rFonts w:ascii="仿宋" w:hAnsi="仿宋" w:eastAsia="仿宋" w:cs="仿宋"/>
          <w:spacing w:val="18"/>
          <w:sz w:val="31"/>
          <w:szCs w:val="31"/>
          <w:highlight w:val="none"/>
        </w:rPr>
        <w:t>和法律法规，拟定本县教育实施方案和管理办法并监督执</w:t>
      </w:r>
      <w:r>
        <w:rPr>
          <w:rFonts w:ascii="仿宋" w:hAnsi="仿宋" w:eastAsia="仿宋" w:cs="仿宋"/>
          <w:sz w:val="31"/>
          <w:szCs w:val="31"/>
          <w:highlight w:val="none"/>
        </w:rPr>
        <w:t xml:space="preserve"> </w:t>
      </w:r>
      <w:r>
        <w:rPr>
          <w:rFonts w:ascii="仿宋" w:hAnsi="仿宋" w:eastAsia="仿宋" w:cs="仿宋"/>
          <w:spacing w:val="-8"/>
          <w:sz w:val="31"/>
          <w:szCs w:val="31"/>
          <w:highlight w:val="none"/>
        </w:rPr>
        <w:t>行</w:t>
      </w:r>
      <w:r>
        <w:rPr>
          <w:rFonts w:ascii="仿宋" w:hAnsi="仿宋" w:eastAsia="仿宋" w:cs="仿宋"/>
          <w:spacing w:val="-6"/>
          <w:sz w:val="31"/>
          <w:szCs w:val="31"/>
          <w:highlight w:val="none"/>
        </w:rPr>
        <w:t>。</w:t>
      </w:r>
    </w:p>
    <w:p>
      <w:pPr>
        <w:shd w:val="clear"/>
        <w:spacing w:before="1" w:line="227" w:lineRule="auto"/>
        <w:ind w:left="633"/>
        <w:rPr>
          <w:rFonts w:ascii="仿宋" w:hAnsi="仿宋" w:eastAsia="仿宋" w:cs="仿宋"/>
          <w:sz w:val="31"/>
          <w:szCs w:val="31"/>
          <w:highlight w:val="none"/>
        </w:rPr>
      </w:pPr>
      <w:r>
        <w:rPr>
          <w:rFonts w:ascii="仿宋" w:hAnsi="仿宋" w:eastAsia="仿宋" w:cs="仿宋"/>
          <w:spacing w:val="7"/>
          <w:sz w:val="31"/>
          <w:szCs w:val="31"/>
          <w:highlight w:val="none"/>
        </w:rPr>
        <w:t>2、拟定 “双语”教育发展规划，组织推进“双语”教学</w:t>
      </w:r>
      <w:r>
        <w:rPr>
          <w:rFonts w:ascii="仿宋" w:hAnsi="仿宋" w:eastAsia="仿宋" w:cs="仿宋"/>
          <w:spacing w:val="3"/>
          <w:sz w:val="31"/>
          <w:szCs w:val="31"/>
          <w:highlight w:val="none"/>
        </w:rPr>
        <w:t>工</w:t>
      </w:r>
    </w:p>
    <w:p>
      <w:pPr>
        <w:shd w:val="clear"/>
        <w:spacing w:before="136" w:line="310" w:lineRule="auto"/>
        <w:ind w:right="6" w:firstLine="6"/>
        <w:rPr>
          <w:rFonts w:ascii="仿宋" w:hAnsi="仿宋" w:eastAsia="仿宋" w:cs="仿宋"/>
          <w:sz w:val="31"/>
          <w:szCs w:val="31"/>
          <w:highlight w:val="none"/>
        </w:rPr>
      </w:pPr>
      <w:r>
        <w:rPr>
          <w:rFonts w:ascii="仿宋" w:hAnsi="仿宋" w:eastAsia="仿宋" w:cs="仿宋"/>
          <w:spacing w:val="12"/>
          <w:sz w:val="31"/>
          <w:szCs w:val="31"/>
          <w:highlight w:val="none"/>
        </w:rPr>
        <w:t>作，扩</w:t>
      </w:r>
      <w:r>
        <w:rPr>
          <w:rFonts w:ascii="仿宋" w:hAnsi="仿宋" w:eastAsia="仿宋" w:cs="仿宋"/>
          <w:spacing w:val="10"/>
          <w:sz w:val="31"/>
          <w:szCs w:val="31"/>
          <w:highlight w:val="none"/>
        </w:rPr>
        <w:t>大</w:t>
      </w:r>
      <w:r>
        <w:rPr>
          <w:rFonts w:ascii="仿宋" w:hAnsi="仿宋" w:eastAsia="仿宋" w:cs="仿宋"/>
          <w:spacing w:val="6"/>
          <w:sz w:val="31"/>
          <w:szCs w:val="31"/>
          <w:highlight w:val="none"/>
        </w:rPr>
        <w:t>“双语”教学的范围和规模，督查“双语”教学常规和</w:t>
      </w:r>
      <w:r>
        <w:rPr>
          <w:rFonts w:ascii="仿宋" w:hAnsi="仿宋" w:eastAsia="仿宋" w:cs="仿宋"/>
          <w:sz w:val="31"/>
          <w:szCs w:val="31"/>
          <w:highlight w:val="none"/>
        </w:rPr>
        <w:t xml:space="preserve"> </w:t>
      </w:r>
      <w:r>
        <w:rPr>
          <w:rFonts w:ascii="仿宋" w:hAnsi="仿宋" w:eastAsia="仿宋" w:cs="仿宋"/>
          <w:spacing w:val="6"/>
          <w:sz w:val="31"/>
          <w:szCs w:val="31"/>
          <w:highlight w:val="none"/>
        </w:rPr>
        <w:t>教</w:t>
      </w:r>
      <w:r>
        <w:rPr>
          <w:rFonts w:ascii="仿宋" w:hAnsi="仿宋" w:eastAsia="仿宋" w:cs="仿宋"/>
          <w:spacing w:val="3"/>
          <w:sz w:val="31"/>
          <w:szCs w:val="31"/>
          <w:highlight w:val="none"/>
        </w:rPr>
        <w:t>学质量。</w:t>
      </w:r>
    </w:p>
    <w:p>
      <w:pPr>
        <w:shd w:val="clear"/>
        <w:spacing w:before="1" w:line="309" w:lineRule="auto"/>
        <w:ind w:left="6" w:right="141" w:firstLine="596"/>
        <w:rPr>
          <w:rFonts w:ascii="仿宋" w:hAnsi="仿宋" w:eastAsia="仿宋" w:cs="仿宋"/>
          <w:sz w:val="31"/>
          <w:szCs w:val="31"/>
          <w:highlight w:val="none"/>
        </w:rPr>
      </w:pPr>
      <w:r>
        <w:rPr>
          <w:rFonts w:ascii="仿宋" w:hAnsi="仿宋" w:eastAsia="仿宋" w:cs="仿宋"/>
          <w:color w:val="2B2B2B"/>
          <w:spacing w:val="9"/>
          <w:sz w:val="31"/>
          <w:szCs w:val="31"/>
          <w:highlight w:val="none"/>
        </w:rPr>
        <w:t>3、综合管理本县的基础教育、职业教育、成人教育、社会</w:t>
      </w:r>
      <w:r>
        <w:rPr>
          <w:rFonts w:ascii="仿宋" w:hAnsi="仿宋" w:eastAsia="仿宋" w:cs="仿宋"/>
          <w:color w:val="2B2B2B"/>
          <w:sz w:val="31"/>
          <w:szCs w:val="31"/>
          <w:highlight w:val="none"/>
        </w:rPr>
        <w:t xml:space="preserve"> </w:t>
      </w:r>
      <w:r>
        <w:rPr>
          <w:rFonts w:ascii="仿宋" w:hAnsi="仿宋" w:eastAsia="仿宋" w:cs="仿宋"/>
          <w:color w:val="2B2B2B"/>
          <w:spacing w:val="9"/>
          <w:sz w:val="31"/>
          <w:szCs w:val="31"/>
          <w:highlight w:val="none"/>
        </w:rPr>
        <w:t>力</w:t>
      </w:r>
      <w:r>
        <w:rPr>
          <w:rFonts w:ascii="仿宋" w:hAnsi="仿宋" w:eastAsia="仿宋" w:cs="仿宋"/>
          <w:color w:val="2B2B2B"/>
          <w:spacing w:val="7"/>
          <w:sz w:val="31"/>
          <w:szCs w:val="31"/>
          <w:highlight w:val="none"/>
        </w:rPr>
        <w:t>量办学及幼儿教育工作等。</w:t>
      </w:r>
    </w:p>
    <w:p>
      <w:pPr>
        <w:shd w:val="clear"/>
        <w:spacing w:before="6" w:line="309" w:lineRule="auto"/>
        <w:ind w:left="2" w:right="4" w:firstLine="625"/>
        <w:rPr>
          <w:rFonts w:ascii="仿宋" w:hAnsi="仿宋" w:eastAsia="仿宋" w:cs="仿宋"/>
          <w:sz w:val="31"/>
          <w:szCs w:val="31"/>
          <w:highlight w:val="none"/>
        </w:rPr>
      </w:pPr>
      <w:r>
        <w:rPr>
          <w:rFonts w:ascii="仿宋" w:hAnsi="仿宋" w:eastAsia="仿宋" w:cs="仿宋"/>
          <w:spacing w:val="18"/>
          <w:sz w:val="31"/>
          <w:szCs w:val="31"/>
          <w:highlight w:val="none"/>
        </w:rPr>
        <w:t>4</w:t>
      </w:r>
      <w:r>
        <w:rPr>
          <w:rFonts w:ascii="仿宋" w:hAnsi="仿宋" w:eastAsia="仿宋" w:cs="仿宋"/>
          <w:spacing w:val="10"/>
          <w:sz w:val="31"/>
          <w:szCs w:val="31"/>
          <w:highlight w:val="none"/>
        </w:rPr>
        <w:t>、</w:t>
      </w:r>
      <w:r>
        <w:rPr>
          <w:rFonts w:ascii="仿宋" w:hAnsi="仿宋" w:eastAsia="仿宋" w:cs="仿宋"/>
          <w:spacing w:val="9"/>
          <w:sz w:val="31"/>
          <w:szCs w:val="31"/>
          <w:highlight w:val="none"/>
        </w:rPr>
        <w:t>参与管理县本级教育经费预决算的管理，会同有关部门</w:t>
      </w:r>
      <w:r>
        <w:rPr>
          <w:rFonts w:ascii="仿宋" w:hAnsi="仿宋" w:eastAsia="仿宋" w:cs="仿宋"/>
          <w:sz w:val="31"/>
          <w:szCs w:val="31"/>
          <w:highlight w:val="none"/>
        </w:rPr>
        <w:t xml:space="preserve"> </w:t>
      </w:r>
      <w:r>
        <w:rPr>
          <w:rFonts w:ascii="仿宋" w:hAnsi="仿宋" w:eastAsia="仿宋" w:cs="仿宋"/>
          <w:spacing w:val="7"/>
          <w:sz w:val="31"/>
          <w:szCs w:val="31"/>
          <w:highlight w:val="none"/>
        </w:rPr>
        <w:t>筹措教育经费，制定教育基建投资规划、方案；负责本县各级各</w:t>
      </w:r>
      <w:r>
        <w:rPr>
          <w:rFonts w:ascii="仿宋" w:hAnsi="仿宋" w:eastAsia="仿宋" w:cs="仿宋"/>
          <w:sz w:val="31"/>
          <w:szCs w:val="31"/>
          <w:highlight w:val="none"/>
        </w:rPr>
        <w:t xml:space="preserve"> </w:t>
      </w:r>
      <w:r>
        <w:rPr>
          <w:rFonts w:ascii="仿宋" w:hAnsi="仿宋" w:eastAsia="仿宋" w:cs="仿宋"/>
          <w:spacing w:val="7"/>
          <w:sz w:val="31"/>
          <w:szCs w:val="31"/>
          <w:highlight w:val="none"/>
        </w:rPr>
        <w:t>类学校的校舍建设及各项配套设施建设；指导、协调家庭经济困</w:t>
      </w:r>
      <w:r>
        <w:rPr>
          <w:rFonts w:ascii="仿宋" w:hAnsi="仿宋" w:eastAsia="仿宋" w:cs="仿宋"/>
          <w:sz w:val="31"/>
          <w:szCs w:val="31"/>
          <w:highlight w:val="none"/>
        </w:rPr>
        <w:t xml:space="preserve"> </w:t>
      </w:r>
      <w:r>
        <w:rPr>
          <w:rFonts w:ascii="仿宋" w:hAnsi="仿宋" w:eastAsia="仿宋" w:cs="仿宋"/>
          <w:spacing w:val="12"/>
          <w:sz w:val="31"/>
          <w:szCs w:val="31"/>
          <w:highlight w:val="none"/>
        </w:rPr>
        <w:t>难</w:t>
      </w:r>
      <w:r>
        <w:rPr>
          <w:rFonts w:ascii="仿宋" w:hAnsi="仿宋" w:eastAsia="仿宋" w:cs="仿宋"/>
          <w:spacing w:val="7"/>
          <w:sz w:val="31"/>
          <w:szCs w:val="31"/>
          <w:highlight w:val="none"/>
        </w:rPr>
        <w:t>学</w:t>
      </w:r>
      <w:r>
        <w:rPr>
          <w:rFonts w:ascii="仿宋" w:hAnsi="仿宋" w:eastAsia="仿宋" w:cs="仿宋"/>
          <w:spacing w:val="6"/>
          <w:sz w:val="31"/>
          <w:szCs w:val="31"/>
          <w:highlight w:val="none"/>
        </w:rPr>
        <w:t>生资助管理工作。</w:t>
      </w:r>
    </w:p>
    <w:p>
      <w:pPr>
        <w:shd w:val="clear"/>
        <w:spacing w:before="3" w:line="309" w:lineRule="auto"/>
        <w:ind w:left="6" w:right="4" w:firstLine="596"/>
        <w:rPr>
          <w:rFonts w:ascii="仿宋" w:hAnsi="仿宋" w:eastAsia="仿宋" w:cs="仿宋"/>
          <w:sz w:val="31"/>
          <w:szCs w:val="31"/>
          <w:highlight w:val="none"/>
        </w:rPr>
      </w:pPr>
      <w:r>
        <w:rPr>
          <w:rFonts w:ascii="仿宋" w:hAnsi="仿宋" w:eastAsia="仿宋" w:cs="仿宋"/>
          <w:spacing w:val="9"/>
          <w:sz w:val="31"/>
          <w:szCs w:val="31"/>
          <w:highlight w:val="none"/>
        </w:rPr>
        <w:t>5、负责本县教育系统专业技术职务评聘工作、教师继续教</w:t>
      </w:r>
      <w:r>
        <w:rPr>
          <w:rFonts w:ascii="仿宋" w:hAnsi="仿宋" w:eastAsia="仿宋" w:cs="仿宋"/>
          <w:sz w:val="31"/>
          <w:szCs w:val="31"/>
          <w:highlight w:val="none"/>
        </w:rPr>
        <w:t xml:space="preserve"> </w:t>
      </w:r>
      <w:r>
        <w:rPr>
          <w:rFonts w:ascii="仿宋" w:hAnsi="仿宋" w:eastAsia="仿宋" w:cs="仿宋"/>
          <w:spacing w:val="7"/>
          <w:sz w:val="31"/>
          <w:szCs w:val="31"/>
          <w:highlight w:val="none"/>
        </w:rPr>
        <w:t>育工作和教师资格认定工作；负责具有教师资格的大中专毕业</w:t>
      </w:r>
      <w:r>
        <w:rPr>
          <w:rFonts w:ascii="仿宋" w:hAnsi="仿宋" w:eastAsia="仿宋" w:cs="仿宋"/>
          <w:spacing w:val="3"/>
          <w:sz w:val="31"/>
          <w:szCs w:val="31"/>
          <w:highlight w:val="none"/>
        </w:rPr>
        <w:t>生</w:t>
      </w:r>
      <w:r>
        <w:rPr>
          <w:rFonts w:ascii="仿宋" w:hAnsi="仿宋" w:eastAsia="仿宋" w:cs="仿宋"/>
          <w:sz w:val="31"/>
          <w:szCs w:val="31"/>
          <w:highlight w:val="none"/>
        </w:rPr>
        <w:t xml:space="preserve"> </w:t>
      </w:r>
      <w:r>
        <w:rPr>
          <w:rFonts w:ascii="仿宋" w:hAnsi="仿宋" w:eastAsia="仿宋" w:cs="仿宋"/>
          <w:spacing w:val="12"/>
          <w:sz w:val="31"/>
          <w:szCs w:val="31"/>
          <w:highlight w:val="none"/>
        </w:rPr>
        <w:t>的就业</w:t>
      </w:r>
      <w:r>
        <w:rPr>
          <w:rFonts w:ascii="仿宋" w:hAnsi="仿宋" w:eastAsia="仿宋" w:cs="仿宋"/>
          <w:spacing w:val="10"/>
          <w:sz w:val="31"/>
          <w:szCs w:val="31"/>
          <w:highlight w:val="none"/>
        </w:rPr>
        <w:t>指</w:t>
      </w:r>
      <w:r>
        <w:rPr>
          <w:rFonts w:ascii="仿宋" w:hAnsi="仿宋" w:eastAsia="仿宋" w:cs="仿宋"/>
          <w:spacing w:val="6"/>
          <w:sz w:val="31"/>
          <w:szCs w:val="31"/>
          <w:highlight w:val="none"/>
        </w:rPr>
        <w:t>导工作；会同有关部门制定教育系统劳资和人事管理工</w:t>
      </w:r>
      <w:r>
        <w:rPr>
          <w:rFonts w:ascii="仿宋" w:hAnsi="仿宋" w:eastAsia="仿宋" w:cs="仿宋"/>
          <w:sz w:val="31"/>
          <w:szCs w:val="31"/>
          <w:highlight w:val="none"/>
        </w:rPr>
        <w:t xml:space="preserve"> </w:t>
      </w:r>
      <w:r>
        <w:rPr>
          <w:rFonts w:ascii="仿宋" w:hAnsi="仿宋" w:eastAsia="仿宋" w:cs="仿宋"/>
          <w:spacing w:val="9"/>
          <w:sz w:val="31"/>
          <w:szCs w:val="31"/>
          <w:highlight w:val="none"/>
        </w:rPr>
        <w:t>作</w:t>
      </w:r>
      <w:r>
        <w:rPr>
          <w:rFonts w:ascii="仿宋" w:hAnsi="仿宋" w:eastAsia="仿宋" w:cs="仿宋"/>
          <w:spacing w:val="7"/>
          <w:sz w:val="31"/>
          <w:szCs w:val="31"/>
          <w:highlight w:val="none"/>
        </w:rPr>
        <w:t>的有关政策和规范性文件。</w:t>
      </w:r>
    </w:p>
    <w:p>
      <w:pPr>
        <w:shd w:val="clear"/>
        <w:spacing w:line="310" w:lineRule="auto"/>
        <w:ind w:left="7" w:right="141" w:firstLine="591"/>
        <w:rPr>
          <w:rFonts w:ascii="仿宋" w:hAnsi="仿宋" w:eastAsia="仿宋" w:cs="仿宋"/>
          <w:sz w:val="31"/>
          <w:szCs w:val="31"/>
          <w:highlight w:val="none"/>
        </w:rPr>
      </w:pPr>
      <w:r>
        <w:rPr>
          <w:rFonts w:ascii="仿宋" w:hAnsi="仿宋" w:eastAsia="仿宋" w:cs="仿宋"/>
          <w:spacing w:val="13"/>
          <w:sz w:val="31"/>
          <w:szCs w:val="31"/>
          <w:highlight w:val="none"/>
        </w:rPr>
        <w:t>6</w:t>
      </w:r>
      <w:r>
        <w:rPr>
          <w:rFonts w:ascii="仿宋" w:hAnsi="仿宋" w:eastAsia="仿宋" w:cs="仿宋"/>
          <w:spacing w:val="9"/>
          <w:sz w:val="31"/>
          <w:szCs w:val="31"/>
          <w:highlight w:val="none"/>
        </w:rPr>
        <w:t>、负责本县内地高中班、区内初中班的协调、宣传、组织</w:t>
      </w:r>
      <w:r>
        <w:rPr>
          <w:rFonts w:ascii="仿宋" w:hAnsi="仿宋" w:eastAsia="仿宋" w:cs="仿宋"/>
          <w:sz w:val="31"/>
          <w:szCs w:val="31"/>
          <w:highlight w:val="none"/>
        </w:rPr>
        <w:t xml:space="preserve"> </w:t>
      </w:r>
      <w:r>
        <w:rPr>
          <w:rFonts w:ascii="仿宋" w:hAnsi="仿宋" w:eastAsia="仿宋" w:cs="仿宋"/>
          <w:spacing w:val="11"/>
          <w:sz w:val="31"/>
          <w:szCs w:val="31"/>
          <w:highlight w:val="none"/>
        </w:rPr>
        <w:t>统</w:t>
      </w:r>
      <w:r>
        <w:rPr>
          <w:rFonts w:ascii="仿宋" w:hAnsi="仿宋" w:eastAsia="仿宋" w:cs="仿宋"/>
          <w:spacing w:val="6"/>
          <w:sz w:val="31"/>
          <w:szCs w:val="31"/>
          <w:highlight w:val="none"/>
        </w:rPr>
        <w:t>考、协助招生等工作；</w:t>
      </w:r>
    </w:p>
    <w:p>
      <w:pPr>
        <w:shd w:val="clear"/>
        <w:spacing w:before="2" w:line="309" w:lineRule="auto"/>
        <w:ind w:left="2" w:right="105" w:firstLine="634"/>
        <w:rPr>
          <w:rFonts w:ascii="仿宋" w:hAnsi="仿宋" w:eastAsia="仿宋" w:cs="仿宋"/>
          <w:sz w:val="31"/>
          <w:szCs w:val="31"/>
          <w:highlight w:val="none"/>
        </w:rPr>
      </w:pPr>
      <w:r>
        <w:rPr>
          <w:rFonts w:ascii="仿宋" w:hAnsi="仿宋" w:eastAsia="仿宋" w:cs="仿宋"/>
          <w:spacing w:val="10"/>
          <w:sz w:val="31"/>
          <w:szCs w:val="31"/>
          <w:highlight w:val="none"/>
        </w:rPr>
        <w:t>7</w:t>
      </w:r>
      <w:r>
        <w:rPr>
          <w:rFonts w:ascii="仿宋" w:hAnsi="仿宋" w:eastAsia="仿宋" w:cs="仿宋"/>
          <w:spacing w:val="9"/>
          <w:sz w:val="31"/>
          <w:szCs w:val="31"/>
          <w:highlight w:val="none"/>
        </w:rPr>
        <w:t>、归口管理本县的学历教育及其考试工作，指导管理全州</w:t>
      </w:r>
      <w:r>
        <w:rPr>
          <w:rFonts w:ascii="仿宋" w:hAnsi="仿宋" w:eastAsia="仿宋" w:cs="仿宋"/>
          <w:sz w:val="31"/>
          <w:szCs w:val="31"/>
          <w:highlight w:val="none"/>
        </w:rPr>
        <w:t xml:space="preserve"> </w:t>
      </w:r>
      <w:r>
        <w:rPr>
          <w:rFonts w:ascii="仿宋" w:hAnsi="仿宋" w:eastAsia="仿宋" w:cs="仿宋"/>
          <w:spacing w:val="14"/>
          <w:sz w:val="31"/>
          <w:szCs w:val="31"/>
          <w:highlight w:val="none"/>
        </w:rPr>
        <w:t>各</w:t>
      </w:r>
      <w:r>
        <w:rPr>
          <w:rFonts w:ascii="仿宋" w:hAnsi="仿宋" w:eastAsia="仿宋" w:cs="仿宋"/>
          <w:spacing w:val="8"/>
          <w:sz w:val="31"/>
          <w:szCs w:val="31"/>
          <w:highlight w:val="none"/>
        </w:rPr>
        <w:t>类</w:t>
      </w:r>
      <w:r>
        <w:rPr>
          <w:rFonts w:ascii="仿宋" w:hAnsi="仿宋" w:eastAsia="仿宋" w:cs="仿宋"/>
          <w:spacing w:val="7"/>
          <w:sz w:val="31"/>
          <w:szCs w:val="31"/>
          <w:highlight w:val="none"/>
        </w:rPr>
        <w:t>招生考试和高中会考工作；</w:t>
      </w:r>
    </w:p>
    <w:p>
      <w:pPr>
        <w:shd w:val="clear"/>
        <w:spacing w:line="414" w:lineRule="exact"/>
        <w:ind w:left="630"/>
        <w:rPr>
          <w:rFonts w:ascii="仿宋" w:hAnsi="仿宋" w:eastAsia="仿宋" w:cs="仿宋"/>
          <w:sz w:val="31"/>
          <w:szCs w:val="31"/>
          <w:highlight w:val="none"/>
        </w:rPr>
      </w:pPr>
      <w:r>
        <w:rPr>
          <w:rFonts w:ascii="仿宋" w:hAnsi="仿宋" w:eastAsia="仿宋" w:cs="仿宋"/>
          <w:spacing w:val="17"/>
          <w:position w:val="2"/>
          <w:sz w:val="31"/>
          <w:szCs w:val="31"/>
          <w:highlight w:val="none"/>
        </w:rPr>
        <w:t>8</w:t>
      </w:r>
      <w:r>
        <w:rPr>
          <w:rFonts w:ascii="仿宋" w:hAnsi="仿宋" w:eastAsia="仿宋" w:cs="仿宋"/>
          <w:spacing w:val="9"/>
          <w:position w:val="2"/>
          <w:sz w:val="31"/>
          <w:szCs w:val="31"/>
          <w:highlight w:val="none"/>
        </w:rPr>
        <w:t>、规划、指导、管理继续教育、勤工俭学、扫除青壮年文</w:t>
      </w:r>
    </w:p>
    <w:p>
      <w:pPr>
        <w:shd w:val="clear"/>
        <w:rPr>
          <w:highlight w:val="none"/>
        </w:rPr>
        <w:sectPr>
          <w:footerReference r:id="rId5" w:type="default"/>
          <w:pgSz w:w="11906" w:h="16839"/>
          <w:pgMar w:top="1431" w:right="1413" w:bottom="1521" w:left="1608" w:header="0" w:footer="1359" w:gutter="0"/>
          <w:cols w:space="720" w:num="1"/>
        </w:sectPr>
      </w:pPr>
    </w:p>
    <w:p>
      <w:pPr>
        <w:shd w:val="clear"/>
        <w:spacing w:line="351" w:lineRule="auto"/>
        <w:rPr>
          <w:rFonts w:ascii="Arial"/>
          <w:sz w:val="21"/>
          <w:highlight w:val="none"/>
        </w:rPr>
      </w:pPr>
    </w:p>
    <w:p>
      <w:pPr>
        <w:shd w:val="clear"/>
        <w:spacing w:line="351" w:lineRule="auto"/>
        <w:rPr>
          <w:rFonts w:ascii="Arial"/>
          <w:sz w:val="21"/>
          <w:highlight w:val="none"/>
        </w:rPr>
      </w:pPr>
    </w:p>
    <w:p>
      <w:pPr>
        <w:shd w:val="clear"/>
        <w:spacing w:before="101" w:line="226" w:lineRule="auto"/>
        <w:ind w:left="11"/>
        <w:rPr>
          <w:rFonts w:ascii="仿宋" w:hAnsi="仿宋" w:eastAsia="仿宋" w:cs="仿宋"/>
          <w:sz w:val="31"/>
          <w:szCs w:val="31"/>
          <w:highlight w:val="none"/>
        </w:rPr>
      </w:pPr>
      <w:r>
        <w:rPr>
          <w:rFonts w:ascii="仿宋" w:hAnsi="仿宋" w:eastAsia="仿宋" w:cs="仿宋"/>
          <w:spacing w:val="-1"/>
          <w:sz w:val="31"/>
          <w:szCs w:val="31"/>
          <w:highlight w:val="none"/>
        </w:rPr>
        <w:t>盲工作</w:t>
      </w:r>
      <w:r>
        <w:rPr>
          <w:rFonts w:ascii="仿宋" w:hAnsi="仿宋" w:eastAsia="仿宋" w:cs="仿宋"/>
          <w:sz w:val="31"/>
          <w:szCs w:val="31"/>
          <w:highlight w:val="none"/>
        </w:rPr>
        <w:t>。</w:t>
      </w:r>
    </w:p>
    <w:p>
      <w:pPr>
        <w:shd w:val="clear"/>
        <w:spacing w:before="143" w:line="309" w:lineRule="auto"/>
        <w:ind w:right="183" w:firstLine="688" w:firstLineChars="200"/>
        <w:rPr>
          <w:rFonts w:ascii="仿宋" w:hAnsi="仿宋" w:eastAsia="仿宋" w:cs="仿宋"/>
          <w:sz w:val="31"/>
          <w:szCs w:val="31"/>
          <w:highlight w:val="none"/>
        </w:rPr>
      </w:pPr>
      <w:r>
        <w:rPr>
          <w:rFonts w:ascii="仿宋" w:hAnsi="仿宋" w:eastAsia="仿宋" w:cs="仿宋"/>
          <w:spacing w:val="17"/>
          <w:sz w:val="31"/>
          <w:szCs w:val="31"/>
          <w:highlight w:val="none"/>
        </w:rPr>
        <w:t>9</w:t>
      </w:r>
      <w:r>
        <w:rPr>
          <w:rFonts w:ascii="仿宋" w:hAnsi="仿宋" w:eastAsia="仿宋" w:cs="仿宋"/>
          <w:spacing w:val="9"/>
          <w:sz w:val="31"/>
          <w:szCs w:val="31"/>
          <w:highlight w:val="none"/>
        </w:rPr>
        <w:t>、</w:t>
      </w:r>
      <w:r>
        <w:rPr>
          <w:rFonts w:ascii="仿宋" w:hAnsi="仿宋" w:eastAsia="仿宋" w:cs="仿宋"/>
          <w:color w:val="2B2B2B"/>
          <w:spacing w:val="9"/>
          <w:sz w:val="31"/>
          <w:szCs w:val="31"/>
          <w:highlight w:val="none"/>
        </w:rPr>
        <w:t>负责制定学校安全工作考核目标，建立安全目标责任制</w:t>
      </w:r>
      <w:r>
        <w:rPr>
          <w:rFonts w:ascii="仿宋" w:hAnsi="仿宋" w:eastAsia="仿宋" w:cs="仿宋"/>
          <w:color w:val="2B2B2B"/>
          <w:sz w:val="31"/>
          <w:szCs w:val="31"/>
          <w:highlight w:val="none"/>
        </w:rPr>
        <w:t xml:space="preserve"> </w:t>
      </w:r>
      <w:r>
        <w:rPr>
          <w:rFonts w:ascii="仿宋" w:hAnsi="仿宋" w:eastAsia="仿宋" w:cs="仿宋"/>
          <w:color w:val="2B2B2B"/>
          <w:spacing w:val="16"/>
          <w:sz w:val="31"/>
          <w:szCs w:val="31"/>
          <w:highlight w:val="none"/>
        </w:rPr>
        <w:t>和</w:t>
      </w:r>
      <w:r>
        <w:rPr>
          <w:rFonts w:ascii="仿宋" w:hAnsi="仿宋" w:eastAsia="仿宋" w:cs="仿宋"/>
          <w:color w:val="2B2B2B"/>
          <w:spacing w:val="14"/>
          <w:sz w:val="31"/>
          <w:szCs w:val="31"/>
          <w:highlight w:val="none"/>
        </w:rPr>
        <w:t>事</w:t>
      </w:r>
      <w:r>
        <w:rPr>
          <w:rFonts w:ascii="仿宋" w:hAnsi="仿宋" w:eastAsia="仿宋" w:cs="仿宋"/>
          <w:color w:val="2B2B2B"/>
          <w:spacing w:val="8"/>
          <w:sz w:val="31"/>
          <w:szCs w:val="31"/>
          <w:highlight w:val="none"/>
        </w:rPr>
        <w:t>故责任追究制。督促、检查、指导学校安全工作。</w:t>
      </w:r>
    </w:p>
    <w:p>
      <w:pPr>
        <w:shd w:val="clear"/>
        <w:spacing w:line="310" w:lineRule="auto"/>
        <w:ind w:left="1" w:right="82" w:firstLine="650"/>
        <w:rPr>
          <w:rFonts w:ascii="仿宋" w:hAnsi="仿宋" w:eastAsia="仿宋" w:cs="仿宋"/>
          <w:sz w:val="31"/>
          <w:szCs w:val="31"/>
          <w:highlight w:val="none"/>
        </w:rPr>
      </w:pPr>
      <w:r>
        <w:rPr>
          <w:rFonts w:ascii="仿宋" w:hAnsi="仿宋" w:eastAsia="仿宋" w:cs="仿宋"/>
          <w:spacing w:val="9"/>
          <w:sz w:val="31"/>
          <w:szCs w:val="31"/>
          <w:highlight w:val="none"/>
        </w:rPr>
        <w:t>1</w:t>
      </w:r>
      <w:r>
        <w:rPr>
          <w:rFonts w:ascii="仿宋" w:hAnsi="仿宋" w:eastAsia="仿宋" w:cs="仿宋"/>
          <w:spacing w:val="6"/>
          <w:sz w:val="31"/>
          <w:szCs w:val="31"/>
          <w:highlight w:val="none"/>
        </w:rPr>
        <w:t>0、参与自治州科技体制改革研究，指导教育体制和办学体</w:t>
      </w:r>
      <w:r>
        <w:rPr>
          <w:rFonts w:ascii="仿宋" w:hAnsi="仿宋" w:eastAsia="仿宋" w:cs="仿宋"/>
          <w:sz w:val="31"/>
          <w:szCs w:val="31"/>
          <w:highlight w:val="none"/>
        </w:rPr>
        <w:t xml:space="preserve"> </w:t>
      </w:r>
      <w:r>
        <w:rPr>
          <w:rFonts w:ascii="仿宋" w:hAnsi="仿宋" w:eastAsia="仿宋" w:cs="仿宋"/>
          <w:spacing w:val="16"/>
          <w:sz w:val="31"/>
          <w:szCs w:val="31"/>
          <w:highlight w:val="none"/>
        </w:rPr>
        <w:t>制的</w:t>
      </w:r>
      <w:r>
        <w:rPr>
          <w:rFonts w:ascii="仿宋" w:hAnsi="仿宋" w:eastAsia="仿宋" w:cs="仿宋"/>
          <w:spacing w:val="9"/>
          <w:sz w:val="31"/>
          <w:szCs w:val="31"/>
          <w:highlight w:val="none"/>
        </w:rPr>
        <w:t>改</w:t>
      </w:r>
      <w:r>
        <w:rPr>
          <w:rFonts w:ascii="仿宋" w:hAnsi="仿宋" w:eastAsia="仿宋" w:cs="仿宋"/>
          <w:spacing w:val="8"/>
          <w:sz w:val="31"/>
          <w:szCs w:val="31"/>
          <w:highlight w:val="none"/>
        </w:rPr>
        <w:t>革，组织、规划、指导教育系统教育信息化工作。</w:t>
      </w:r>
    </w:p>
    <w:p>
      <w:pPr>
        <w:shd w:val="clear"/>
        <w:spacing w:before="2" w:line="318" w:lineRule="auto"/>
        <w:ind w:right="82" w:firstLine="652"/>
        <w:rPr>
          <w:rFonts w:ascii="仿宋" w:hAnsi="仿宋" w:eastAsia="仿宋" w:cs="仿宋"/>
          <w:sz w:val="31"/>
          <w:szCs w:val="31"/>
          <w:highlight w:val="none"/>
        </w:rPr>
      </w:pPr>
      <w:r>
        <w:rPr>
          <w:rFonts w:ascii="仿宋" w:hAnsi="仿宋" w:eastAsia="仿宋" w:cs="仿宋"/>
          <w:spacing w:val="9"/>
          <w:sz w:val="31"/>
          <w:szCs w:val="31"/>
          <w:highlight w:val="none"/>
        </w:rPr>
        <w:t>1</w:t>
      </w:r>
      <w:r>
        <w:rPr>
          <w:rFonts w:ascii="仿宋" w:hAnsi="仿宋" w:eastAsia="仿宋" w:cs="仿宋"/>
          <w:spacing w:val="6"/>
          <w:sz w:val="31"/>
          <w:szCs w:val="31"/>
          <w:highlight w:val="none"/>
        </w:rPr>
        <w:t>1、负责离退休干部的宏观管理工作，跨地区安置及老干部</w:t>
      </w:r>
      <w:r>
        <w:rPr>
          <w:rFonts w:ascii="仿宋" w:hAnsi="仿宋" w:eastAsia="仿宋" w:cs="仿宋"/>
          <w:sz w:val="31"/>
          <w:szCs w:val="31"/>
          <w:highlight w:val="none"/>
        </w:rPr>
        <w:t xml:space="preserve"> </w:t>
      </w:r>
      <w:r>
        <w:rPr>
          <w:rFonts w:ascii="仿宋" w:hAnsi="仿宋" w:eastAsia="仿宋" w:cs="仿宋"/>
          <w:spacing w:val="5"/>
          <w:sz w:val="31"/>
          <w:szCs w:val="31"/>
          <w:highlight w:val="none"/>
        </w:rPr>
        <w:t>信</w:t>
      </w:r>
      <w:r>
        <w:rPr>
          <w:rFonts w:ascii="仿宋" w:hAnsi="仿宋" w:eastAsia="仿宋" w:cs="仿宋"/>
          <w:spacing w:val="3"/>
          <w:sz w:val="31"/>
          <w:szCs w:val="31"/>
          <w:highlight w:val="none"/>
        </w:rPr>
        <w:t>访工作。</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呼图壁县教育局</w:t>
      </w:r>
      <w:r>
        <w:rPr>
          <w:rFonts w:hint="eastAsia" w:ascii="仿宋_GB2312" w:hAnsi="黑体" w:eastAsia="仿宋_GB2312" w:cs="宋体"/>
          <w:bCs/>
          <w:color w:val="auto"/>
          <w:kern w:val="0"/>
          <w:sz w:val="32"/>
          <w:szCs w:val="32"/>
          <w:highlight w:val="none"/>
        </w:rPr>
        <w:t xml:space="preserve">无下属预算单位，下设  </w:t>
      </w:r>
      <w:r>
        <w:rPr>
          <w:rFonts w:hint="eastAsia" w:ascii="仿宋_GB2312" w:hAnsi="黑体" w:eastAsia="仿宋_GB2312" w:cs="宋体"/>
          <w:bCs/>
          <w:color w:val="auto"/>
          <w:kern w:val="0"/>
          <w:sz w:val="32"/>
          <w:szCs w:val="32"/>
          <w:highlight w:val="none"/>
          <w:lang w:val="en-US" w:eastAsia="zh-CN"/>
        </w:rPr>
        <w:t>12</w:t>
      </w:r>
      <w:r>
        <w:rPr>
          <w:rFonts w:hint="eastAsia" w:ascii="仿宋_GB2312" w:hAnsi="黑体" w:eastAsia="仿宋_GB2312" w:cs="宋体"/>
          <w:bCs/>
          <w:color w:val="auto"/>
          <w:kern w:val="0"/>
          <w:sz w:val="32"/>
          <w:szCs w:val="32"/>
          <w:highlight w:val="none"/>
        </w:rPr>
        <w:t xml:space="preserve"> 个处室，分别是：</w:t>
      </w:r>
      <w:r>
        <w:rPr>
          <w:rFonts w:hint="eastAsia" w:ascii="仿宋_GB2312" w:hAnsi="黑体" w:eastAsia="仿宋_GB2312" w:cs="宋体"/>
          <w:bCs/>
          <w:color w:val="auto"/>
          <w:kern w:val="0"/>
          <w:sz w:val="32"/>
          <w:szCs w:val="32"/>
          <w:highlight w:val="none"/>
          <w:lang w:val="en-US" w:eastAsia="zh-CN"/>
        </w:rPr>
        <w:t>行政办公室、教育股、思政股、政宣股、勤安办、督导室、人事 办、教电中心、计财科、项目办、考试中心、信访办。</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呼图壁县教育局</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，实有人数 </w:t>
      </w:r>
      <w:r>
        <w:rPr>
          <w:rFonts w:hint="eastAsia" w:ascii="仿宋_GB2312" w:hAnsi="宋体" w:eastAsia="仿宋_GB2312" w:cs="宋体"/>
          <w:color w:val="auto"/>
          <w:kern w:val="0"/>
          <w:sz w:val="32"/>
          <w:szCs w:val="32"/>
          <w:highlight w:val="none"/>
          <w:lang w:val="en-US" w:eastAsia="zh-CN"/>
        </w:rPr>
        <w:t>75</w:t>
      </w:r>
      <w:r>
        <w:rPr>
          <w:rFonts w:hint="eastAsia" w:ascii="仿宋_GB2312" w:hAnsi="宋体" w:eastAsia="仿宋_GB2312" w:cs="宋体"/>
          <w:color w:val="auto"/>
          <w:kern w:val="0"/>
          <w:sz w:val="32"/>
          <w:szCs w:val="32"/>
          <w:highlight w:val="none"/>
        </w:rPr>
        <w:t xml:space="preserve">  人，其中：在职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val="en-US" w:eastAsia="zh-CN"/>
        </w:rPr>
        <w:t>减少4</w:t>
      </w:r>
      <w:r>
        <w:rPr>
          <w:rFonts w:hint="eastAsia" w:ascii="仿宋_GB2312" w:hAnsi="宋体" w:eastAsia="仿宋_GB2312" w:cs="宋体"/>
          <w:color w:val="auto"/>
          <w:kern w:val="0"/>
          <w:sz w:val="32"/>
          <w:szCs w:val="32"/>
          <w:highlight w:val="none"/>
        </w:rPr>
        <w:t xml:space="preserve">人；退休  </w:t>
      </w:r>
      <w:r>
        <w:rPr>
          <w:rFonts w:hint="eastAsia" w:ascii="仿宋_GB2312" w:hAnsi="宋体" w:eastAsia="仿宋_GB2312" w:cs="宋体"/>
          <w:color w:val="auto"/>
          <w:kern w:val="0"/>
          <w:sz w:val="32"/>
          <w:szCs w:val="32"/>
          <w:highlight w:val="none"/>
          <w:lang w:val="en-US" w:eastAsia="zh-CN"/>
        </w:rPr>
        <w:t>43</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 xml:space="preserve"> 4</w:t>
      </w:r>
      <w:r>
        <w:rPr>
          <w:rFonts w:hint="eastAsia" w:ascii="仿宋_GB2312" w:hAnsi="宋体" w:eastAsia="仿宋_GB2312" w:cs="宋体"/>
          <w:color w:val="auto"/>
          <w:kern w:val="0"/>
          <w:sz w:val="32"/>
          <w:szCs w:val="32"/>
          <w:highlight w:val="none"/>
        </w:rPr>
        <w:t xml:space="preserve"> 人；离休</w:t>
      </w:r>
      <w:bookmarkStart w:id="1" w:name="_GoBack"/>
      <w:bookmarkEnd w:id="1"/>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人。</w:t>
      </w: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color w:val="auto"/>
          <w:kern w:val="0"/>
          <w:sz w:val="32"/>
          <w:szCs w:val="32"/>
          <w:highlight w:val="none"/>
          <w:lang w:val="en-US" w:eastAsia="zh-CN"/>
        </w:rPr>
        <w:t>呼图壁县教育局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呼图壁县教育局</w:t>
      </w:r>
      <w:r>
        <w:rPr>
          <w:rFonts w:hint="eastAsia" w:ascii="仿宋_GB2312" w:hAnsi="宋体" w:eastAsia="仿宋_GB2312"/>
          <w:b/>
          <w:color w:val="auto"/>
          <w:kern w:val="0"/>
          <w:sz w:val="32"/>
          <w:szCs w:val="32"/>
          <w:highlight w:val="none"/>
        </w:rPr>
        <w:t>收支总体情况表</w:t>
      </w:r>
    </w:p>
    <w:p>
      <w:pPr>
        <w:widowControl/>
        <w:shd w:val="clear"/>
        <w:spacing w:line="280" w:lineRule="exact"/>
        <w:jc w:val="both"/>
        <w:outlineLvl w:val="1"/>
        <w:rPr>
          <w:rFonts w:hint="eastAsia" w:ascii="仿宋_GB2312" w:hAnsi="宋体" w:eastAsia="仿宋_GB2312"/>
          <w:color w:val="auto"/>
          <w:kern w:val="0"/>
          <w:sz w:val="21"/>
          <w:szCs w:val="21"/>
          <w:highlight w:val="none"/>
          <w:lang w:val="en-US" w:eastAsia="zh-CN"/>
        </w:rPr>
      </w:pPr>
    </w:p>
    <w:p>
      <w:pPr>
        <w:widowControl/>
        <w:shd w:val="clear"/>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21"/>
        <w:gridCol w:w="1206"/>
        <w:gridCol w:w="2656"/>
        <w:gridCol w:w="1679"/>
      </w:tblGrid>
      <w:tr>
        <w:tblPrEx>
          <w:tblCellMar>
            <w:top w:w="0" w:type="dxa"/>
            <w:left w:w="108" w:type="dxa"/>
            <w:bottom w:w="0" w:type="dxa"/>
            <w:right w:w="108" w:type="dxa"/>
          </w:tblCellMar>
        </w:tblPrEx>
        <w:trPr>
          <w:trHeight w:val="360" w:hRule="atLeast"/>
        </w:trPr>
        <w:tc>
          <w:tcPr>
            <w:tcW w:w="4327"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35"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7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9684</w:t>
            </w:r>
            <w:r>
              <w:rPr>
                <w:rFonts w:hint="eastAsia" w:ascii="仿宋_GB2312" w:hAnsi="宋体" w:eastAsia="仿宋_GB2312" w:cs="宋体"/>
                <w:color w:val="auto"/>
                <w:kern w:val="0"/>
                <w:sz w:val="18"/>
                <w:szCs w:val="18"/>
                <w:highlight w:val="none"/>
                <w:lang w:eastAsia="zh-CN"/>
              </w:rPr>
              <w:t>.</w:t>
            </w:r>
            <w:r>
              <w:rPr>
                <w:rFonts w:hint="eastAsia" w:ascii="仿宋_GB2312" w:hAnsi="宋体" w:eastAsia="仿宋_GB2312" w:cs="宋体"/>
                <w:color w:val="auto"/>
                <w:kern w:val="0"/>
                <w:sz w:val="18"/>
                <w:szCs w:val="18"/>
                <w:highlight w:val="none"/>
              </w:rPr>
              <w:t>47</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7502</w:t>
            </w:r>
            <w:r>
              <w:rPr>
                <w:rFonts w:hint="eastAsia" w:ascii="仿宋_GB2312" w:hAnsi="宋体" w:eastAsia="仿宋_GB2312" w:cs="宋体"/>
                <w:color w:val="auto"/>
                <w:kern w:val="0"/>
                <w:sz w:val="18"/>
                <w:szCs w:val="18"/>
                <w:highlight w:val="none"/>
                <w:lang w:eastAsia="zh-CN"/>
              </w:rPr>
              <w:t>.</w:t>
            </w:r>
            <w:r>
              <w:rPr>
                <w:rFonts w:hint="eastAsia" w:ascii="仿宋_GB2312" w:hAnsi="宋体" w:eastAsia="仿宋_GB2312" w:cs="宋体"/>
                <w:color w:val="auto"/>
                <w:kern w:val="0"/>
                <w:sz w:val="18"/>
                <w:szCs w:val="18"/>
                <w:highlight w:val="none"/>
              </w:rPr>
              <w:t>77</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75"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2139</w:t>
            </w:r>
            <w:r>
              <w:rPr>
                <w:rFonts w:hint="eastAsia" w:ascii="仿宋_GB2312" w:hAnsi="宋体" w:eastAsia="仿宋_GB2312" w:cs="宋体"/>
                <w:color w:val="auto"/>
                <w:kern w:val="0"/>
                <w:sz w:val="18"/>
                <w:szCs w:val="18"/>
                <w:highlight w:val="none"/>
                <w:lang w:eastAsia="zh-CN"/>
              </w:rPr>
              <w:t>.</w:t>
            </w:r>
            <w:r>
              <w:rPr>
                <w:rFonts w:hint="eastAsia" w:ascii="仿宋_GB2312" w:hAnsi="宋体" w:eastAsia="仿宋_GB2312" w:cs="宋体"/>
                <w:color w:val="auto"/>
                <w:kern w:val="0"/>
                <w:sz w:val="18"/>
                <w:szCs w:val="18"/>
                <w:highlight w:val="none"/>
              </w:rPr>
              <w:t>3</w:t>
            </w:r>
            <w:r>
              <w:rPr>
                <w:rFonts w:hint="eastAsia" w:ascii="仿宋_GB2312" w:hAnsi="宋体" w:eastAsia="仿宋_GB2312" w:cs="宋体"/>
                <w:color w:val="auto"/>
                <w:kern w:val="0"/>
                <w:sz w:val="18"/>
                <w:szCs w:val="18"/>
                <w:highlight w:val="none"/>
                <w:lang w:val="en-US" w:eastAsia="zh-CN"/>
              </w:rPr>
              <w:t>6</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79" w:type="dxa"/>
            <w:tcBorders>
              <w:top w:val="nil"/>
              <w:left w:val="single" w:color="auto" w:sz="4" w:space="0"/>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default" w:ascii="仿宋_GB2312" w:hAnsi="宋体" w:eastAsia="仿宋_GB2312" w:cs="宋体"/>
                <w:color w:val="auto"/>
                <w:kern w:val="0"/>
                <w:sz w:val="18"/>
                <w:szCs w:val="18"/>
                <w:highlight w:val="none"/>
                <w:lang w:val="en-US" w:eastAsia="zh-CN"/>
              </w:rPr>
              <w:t>9142</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9</w:t>
            </w:r>
            <w:r>
              <w:rPr>
                <w:rFonts w:hint="eastAsia" w:ascii="仿宋_GB2312" w:hAnsi="宋体" w:eastAsia="仿宋_GB2312" w:cs="宋体"/>
                <w:color w:val="auto"/>
                <w:kern w:val="0"/>
                <w:sz w:val="18"/>
                <w:szCs w:val="18"/>
                <w:highlight w:val="none"/>
                <w:lang w:val="en-US" w:eastAsia="zh-CN"/>
              </w:rPr>
              <w:t>8</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2139</w:t>
            </w:r>
            <w:r>
              <w:rPr>
                <w:rFonts w:hint="eastAsia" w:ascii="仿宋_GB2312" w:hAnsi="宋体" w:eastAsia="仿宋_GB2312" w:cs="宋体"/>
                <w:color w:val="auto"/>
                <w:kern w:val="0"/>
                <w:sz w:val="18"/>
                <w:szCs w:val="18"/>
                <w:highlight w:val="none"/>
                <w:lang w:val="en-US" w:eastAsia="zh-CN"/>
              </w:rPr>
              <w:t>.</w:t>
            </w:r>
            <w:r>
              <w:rPr>
                <w:rFonts w:hint="eastAsia" w:ascii="仿宋_GB2312" w:hAnsi="宋体" w:eastAsia="仿宋_GB2312" w:cs="宋体"/>
                <w:color w:val="auto"/>
                <w:kern w:val="0"/>
                <w:sz w:val="18"/>
                <w:szCs w:val="18"/>
                <w:highlight w:val="none"/>
              </w:rPr>
              <w:t>3</w:t>
            </w:r>
            <w:r>
              <w:rPr>
                <w:rFonts w:hint="eastAsia" w:ascii="仿宋_GB2312" w:hAnsi="宋体" w:eastAsia="仿宋_GB2312" w:cs="宋体"/>
                <w:color w:val="auto"/>
                <w:kern w:val="0"/>
                <w:sz w:val="18"/>
                <w:szCs w:val="18"/>
                <w:highlight w:val="none"/>
                <w:lang w:val="en-US" w:eastAsia="zh-CN"/>
              </w:rPr>
              <w:t>6</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20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5"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297"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1597</w:t>
            </w:r>
            <w:r>
              <w:rPr>
                <w:rFonts w:hint="eastAsia" w:ascii="仿宋_GB2312" w:hAnsi="宋体" w:eastAsia="仿宋_GB2312" w:cs="宋体"/>
                <w:color w:val="auto"/>
                <w:kern w:val="0"/>
                <w:sz w:val="18"/>
                <w:szCs w:val="18"/>
                <w:highlight w:val="none"/>
                <w:lang w:val="en-US" w:eastAsia="zh-CN"/>
              </w:rPr>
              <w:t>.</w:t>
            </w:r>
            <w:r>
              <w:rPr>
                <w:rFonts w:hint="eastAsia" w:ascii="仿宋_GB2312" w:hAnsi="宋体" w:eastAsia="仿宋_GB2312" w:cs="宋体"/>
                <w:color w:val="auto"/>
                <w:kern w:val="0"/>
                <w:sz w:val="18"/>
                <w:szCs w:val="18"/>
                <w:highlight w:val="none"/>
              </w:rPr>
              <w:t>86</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79" w:type="dxa"/>
            <w:tcBorders>
              <w:top w:val="nil"/>
              <w:left w:val="single" w:color="auto" w:sz="4" w:space="0"/>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color w:val="auto"/>
                <w:kern w:val="0"/>
                <w:sz w:val="18"/>
                <w:szCs w:val="18"/>
                <w:highlight w:val="none"/>
                <w:lang w:eastAsia="zh-CN"/>
              </w:rPr>
            </w:pPr>
            <w:r>
              <w:rPr>
                <w:rFonts w:hint="default" w:ascii="仿宋_GB2312" w:hAnsi="宋体" w:eastAsia="仿宋_GB2312" w:cs="宋体"/>
                <w:color w:val="auto"/>
                <w:kern w:val="0"/>
                <w:sz w:val="18"/>
                <w:szCs w:val="18"/>
                <w:highlight w:val="none"/>
                <w:lang w:val="en-US" w:eastAsia="zh-CN"/>
              </w:rPr>
              <w:t>2139</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6</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1597</w:t>
            </w:r>
            <w:r>
              <w:rPr>
                <w:rFonts w:hint="eastAsia" w:ascii="仿宋_GB2312" w:hAnsi="宋体" w:eastAsia="仿宋_GB2312" w:cs="宋体"/>
                <w:color w:val="auto"/>
                <w:kern w:val="0"/>
                <w:sz w:val="18"/>
                <w:szCs w:val="18"/>
                <w:highlight w:val="none"/>
                <w:lang w:val="en-US" w:eastAsia="zh-CN"/>
              </w:rPr>
              <w:t>.</w:t>
            </w:r>
            <w:r>
              <w:rPr>
                <w:rFonts w:hint="eastAsia" w:ascii="仿宋_GB2312" w:hAnsi="宋体" w:eastAsia="仿宋_GB2312" w:cs="宋体"/>
                <w:color w:val="auto"/>
                <w:kern w:val="0"/>
                <w:sz w:val="18"/>
                <w:szCs w:val="18"/>
                <w:highlight w:val="none"/>
              </w:rPr>
              <w:t>86</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206" w:type="dxa"/>
            <w:tcBorders>
              <w:top w:val="nil"/>
              <w:left w:val="nil"/>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42</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5</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206" w:type="dxa"/>
            <w:tcBorders>
              <w:top w:val="nil"/>
              <w:left w:val="nil"/>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42</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5</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206" w:type="dxa"/>
            <w:tcBorders>
              <w:top w:val="nil"/>
              <w:left w:val="nil"/>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42</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5</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206"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7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20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2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67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20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single" w:color="auto" w:sz="4" w:space="0"/>
            </w:tcBorders>
            <w:noWrap w:val="0"/>
            <w:vAlign w:val="center"/>
          </w:tcPr>
          <w:p>
            <w:pPr>
              <w:widowControl/>
              <w:shd w:val="clear"/>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67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21" w:type="dxa"/>
            <w:tcBorders>
              <w:top w:val="nil"/>
              <w:left w:val="single" w:color="auto" w:sz="4" w:space="0"/>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20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仿宋_GB2312" w:hAnsi="宋体" w:eastAsia="仿宋_GB2312" w:cs="宋体"/>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11282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4</w:t>
            </w:r>
          </w:p>
        </w:tc>
        <w:tc>
          <w:tcPr>
            <w:tcW w:w="2656" w:type="dxa"/>
            <w:tcBorders>
              <w:top w:val="nil"/>
              <w:left w:val="nil"/>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67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shd w:val="clear"/>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11282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4</w:t>
            </w:r>
          </w:p>
        </w:tc>
      </w:tr>
    </w:tbl>
    <w:p>
      <w:pPr>
        <w:widowControl/>
        <w:shd w:val="clear"/>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呼图壁县教育局</w:t>
      </w:r>
      <w:r>
        <w:rPr>
          <w:rFonts w:hint="eastAsia" w:ascii="仿宋_GB2312" w:hAnsi="仿宋_GB2312" w:eastAsia="仿宋_GB2312" w:cs="仿宋_GB2312"/>
          <w:b/>
          <w:bCs w:val="0"/>
          <w:color w:val="auto"/>
          <w:kern w:val="0"/>
          <w:sz w:val="32"/>
          <w:szCs w:val="32"/>
          <w:highlight w:val="none"/>
        </w:rPr>
        <w:t>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单位：万元</w:t>
      </w:r>
    </w:p>
    <w:tbl>
      <w:tblPr>
        <w:tblStyle w:val="6"/>
        <w:tblW w:w="9660" w:type="dxa"/>
        <w:tblInd w:w="-450" w:type="dxa"/>
        <w:tblLayout w:type="fixed"/>
        <w:tblCellMar>
          <w:top w:w="0" w:type="dxa"/>
          <w:left w:w="108" w:type="dxa"/>
          <w:bottom w:w="0" w:type="dxa"/>
          <w:right w:w="108" w:type="dxa"/>
        </w:tblCellMar>
      </w:tblPr>
      <w:tblGrid>
        <w:gridCol w:w="526"/>
        <w:gridCol w:w="400"/>
        <w:gridCol w:w="450"/>
        <w:gridCol w:w="805"/>
        <w:gridCol w:w="910"/>
        <w:gridCol w:w="765"/>
        <w:gridCol w:w="710"/>
        <w:gridCol w:w="715"/>
        <w:gridCol w:w="450"/>
        <w:gridCol w:w="660"/>
        <w:gridCol w:w="515"/>
        <w:gridCol w:w="745"/>
        <w:gridCol w:w="570"/>
        <w:gridCol w:w="490"/>
        <w:gridCol w:w="442"/>
        <w:gridCol w:w="507"/>
      </w:tblGrid>
      <w:tr>
        <w:tblPrEx>
          <w:tblCellMar>
            <w:top w:w="0" w:type="dxa"/>
            <w:left w:w="108" w:type="dxa"/>
            <w:bottom w:w="0" w:type="dxa"/>
            <w:right w:w="108" w:type="dxa"/>
          </w:tblCellMar>
        </w:tblPrEx>
        <w:trPr>
          <w:trHeight w:val="2054" w:hRule="atLeast"/>
        </w:trPr>
        <w:tc>
          <w:tcPr>
            <w:tcW w:w="1376"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0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1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60"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49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42"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431" w:hRule="atLeast"/>
        </w:trPr>
        <w:tc>
          <w:tcPr>
            <w:tcW w:w="526" w:type="dxa"/>
            <w:tcBorders>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0"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0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91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1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4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0" w:type="dxa"/>
            <w:tcBorders>
              <w:left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490" w:type="dxa"/>
            <w:tcBorders>
              <w:left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442" w:type="dxa"/>
            <w:tcBorders>
              <w:left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507" w:type="dxa"/>
            <w:tcBorders>
              <w:left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教育支出</w:t>
            </w:r>
          </w:p>
        </w:tc>
        <w:tc>
          <w:tcPr>
            <w:tcW w:w="91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9142.78</w:t>
            </w:r>
          </w:p>
        </w:tc>
        <w:tc>
          <w:tcPr>
            <w:tcW w:w="765" w:type="dxa"/>
            <w:tcBorders>
              <w:top w:val="nil"/>
              <w:left w:val="nil"/>
              <w:bottom w:val="single" w:color="auto" w:sz="4" w:space="0"/>
              <w:right w:val="single" w:color="auto" w:sz="4" w:space="0"/>
            </w:tcBorders>
            <w:shd w:val="clear" w:color="auto" w:fill="auto"/>
            <w:noWrap w:val="0"/>
            <w:vAlign w:val="center"/>
          </w:tcPr>
          <w:p>
            <w:pPr>
              <w:shd w:val="clear"/>
              <w:tabs>
                <w:tab w:val="left" w:pos="217"/>
              </w:tabs>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eastAsia="zh-CN"/>
              </w:rPr>
              <w:t>7502</w:t>
            </w:r>
            <w:r>
              <w:rPr>
                <w:rFonts w:hint="eastAsia" w:ascii="仿宋" w:hAnsi="仿宋" w:eastAsia="仿宋" w:cs="仿宋"/>
                <w:color w:val="auto"/>
                <w:sz w:val="13"/>
                <w:szCs w:val="13"/>
                <w:highlight w:val="none"/>
                <w:lang w:val="en-US" w:eastAsia="zh-CN"/>
              </w:rPr>
              <w:t>.</w:t>
            </w:r>
            <w:r>
              <w:rPr>
                <w:rFonts w:hint="eastAsia" w:ascii="仿宋" w:hAnsi="仿宋" w:eastAsia="仿宋" w:cs="仿宋"/>
                <w:color w:val="auto"/>
                <w:sz w:val="13"/>
                <w:szCs w:val="13"/>
                <w:highlight w:val="none"/>
                <w:lang w:eastAsia="zh-CN"/>
              </w:rPr>
              <w:t>77</w:t>
            </w:r>
          </w:p>
        </w:tc>
        <w:tc>
          <w:tcPr>
            <w:tcW w:w="710" w:type="dxa"/>
            <w:tcBorders>
              <w:top w:val="nil"/>
              <w:left w:val="nil"/>
              <w:bottom w:val="single" w:color="auto" w:sz="4" w:space="0"/>
              <w:right w:val="single" w:color="auto" w:sz="4" w:space="0"/>
            </w:tcBorders>
            <w:shd w:val="clear" w:color="auto" w:fill="auto"/>
            <w:noWrap w:val="0"/>
            <w:vAlign w:val="center"/>
          </w:tcPr>
          <w:p>
            <w:pPr>
              <w:shd w:val="clear"/>
              <w:tabs>
                <w:tab w:val="left" w:pos="217"/>
              </w:tabs>
              <w:jc w:val="both"/>
              <w:rPr>
                <w:rFonts w:hint="eastAsia" w:ascii="仿宋" w:hAnsi="仿宋" w:eastAsia="仿宋" w:cs="仿宋"/>
                <w:color w:val="auto"/>
                <w:sz w:val="13"/>
                <w:szCs w:val="13"/>
                <w:highlight w:val="none"/>
                <w:lang w:eastAsia="zh-CN"/>
              </w:rPr>
            </w:pPr>
            <w:r>
              <w:rPr>
                <w:rFonts w:hint="eastAsia" w:ascii="仿宋" w:hAnsi="仿宋" w:eastAsia="仿宋" w:cs="仿宋"/>
                <w:color w:val="auto"/>
                <w:sz w:val="13"/>
                <w:szCs w:val="13"/>
                <w:highlight w:val="none"/>
                <w:lang w:eastAsia="zh-CN"/>
              </w:rPr>
              <w:t>7502</w:t>
            </w:r>
            <w:r>
              <w:rPr>
                <w:rFonts w:hint="eastAsia" w:ascii="仿宋" w:hAnsi="仿宋" w:eastAsia="仿宋" w:cs="仿宋"/>
                <w:color w:val="auto"/>
                <w:sz w:val="13"/>
                <w:szCs w:val="13"/>
                <w:highlight w:val="none"/>
                <w:lang w:val="en-US" w:eastAsia="zh-CN"/>
              </w:rPr>
              <w:t>.</w:t>
            </w:r>
            <w:r>
              <w:rPr>
                <w:rFonts w:hint="eastAsia" w:ascii="仿宋" w:hAnsi="仿宋" w:eastAsia="仿宋" w:cs="仿宋"/>
                <w:color w:val="auto"/>
                <w:sz w:val="13"/>
                <w:szCs w:val="13"/>
                <w:highlight w:val="none"/>
                <w:lang w:eastAsia="zh-CN"/>
              </w:rPr>
              <w:t>77</w:t>
            </w:r>
          </w:p>
        </w:tc>
        <w:tc>
          <w:tcPr>
            <w:tcW w:w="715"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4039</w:t>
            </w:r>
            <w:r>
              <w:rPr>
                <w:rFonts w:hint="eastAsia" w:ascii="仿宋" w:hAnsi="仿宋" w:eastAsia="仿宋" w:cs="仿宋"/>
                <w:color w:val="auto"/>
                <w:sz w:val="13"/>
                <w:szCs w:val="13"/>
                <w:highlight w:val="none"/>
                <w:lang w:val="en-US" w:eastAsia="zh-CN"/>
              </w:rPr>
              <w:t>.</w:t>
            </w:r>
            <w:r>
              <w:rPr>
                <w:rFonts w:hint="eastAsia" w:ascii="仿宋" w:hAnsi="仿宋" w:eastAsia="仿宋" w:cs="仿宋"/>
                <w:color w:val="auto"/>
                <w:sz w:val="13"/>
                <w:szCs w:val="13"/>
                <w:highlight w:val="none"/>
              </w:rPr>
              <w:t>29</w:t>
            </w:r>
          </w:p>
        </w:tc>
        <w:tc>
          <w:tcPr>
            <w:tcW w:w="45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1597.86</w:t>
            </w:r>
          </w:p>
        </w:tc>
        <w:tc>
          <w:tcPr>
            <w:tcW w:w="442" w:type="dxa"/>
            <w:tcBorders>
              <w:top w:val="nil"/>
              <w:left w:val="single" w:color="auto" w:sz="4" w:space="0"/>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42.35</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教育管理事务</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2306.88</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709.02</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709.02</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1597.86</w:t>
            </w: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80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行政运行</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2306.88</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709.02</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709.02</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1597.86</w:t>
            </w: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30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普通教育</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4992.64</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4950.29</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4950.29</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3997.83</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42.35</w:t>
            </w: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小学教育</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967.37</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967.37</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967.37</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967.37</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初中教育</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888.94</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888.94</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888.94</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888.94</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其他普通教育支出</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3136.33</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3093.98</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3093.98</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2141.52</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345" w:hRule="atLeast"/>
        </w:trPr>
        <w:tc>
          <w:tcPr>
            <w:tcW w:w="52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205</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37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07</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特殊教育</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39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07</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01</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特殊学校教育</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41.46</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278" w:hRule="atLeast"/>
        </w:trPr>
        <w:tc>
          <w:tcPr>
            <w:tcW w:w="52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r>
              <w:rPr>
                <w:rFonts w:hint="eastAsia" w:ascii="仿宋" w:hAnsi="仿宋" w:eastAsia="仿宋" w:cs="仿宋"/>
                <w:i w:val="0"/>
                <w:iCs w:val="0"/>
                <w:color w:val="000000"/>
                <w:kern w:val="0"/>
                <w:sz w:val="13"/>
                <w:szCs w:val="13"/>
                <w:highlight w:val="none"/>
                <w:u w:val="none"/>
                <w:lang w:val="en-US" w:eastAsia="zh-CN" w:bidi="ar"/>
              </w:rPr>
              <w:t>205</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i w:val="0"/>
                <w:iCs w:val="0"/>
                <w:color w:val="000000"/>
                <w:kern w:val="0"/>
                <w:sz w:val="13"/>
                <w:szCs w:val="13"/>
                <w:highlight w:val="none"/>
                <w:u w:val="none"/>
                <w:lang w:val="en-US" w:eastAsia="zh-CN" w:bidi="ar"/>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59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09</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教育费附加安排的支出</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7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09</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其他教育费附加安支出</w:t>
            </w: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1800</w:t>
            </w: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32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9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6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其他教育支出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rPr>
            </w:pPr>
            <w:r>
              <w:rPr>
                <w:rFonts w:hint="eastAsia" w:ascii="仿宋" w:hAnsi="仿宋" w:eastAsia="仿宋" w:cs="仿宋"/>
                <w:i w:val="0"/>
                <w:iCs w:val="0"/>
                <w:color w:val="000000"/>
                <w:kern w:val="0"/>
                <w:sz w:val="13"/>
                <w:szCs w:val="13"/>
                <w:highlight w:val="none"/>
                <w:u w:val="none"/>
                <w:lang w:val="en-US" w:eastAsia="zh-CN" w:bidi="ar"/>
              </w:rPr>
              <w:t>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其他教育支出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rPr>
            </w:pPr>
            <w:r>
              <w:rPr>
                <w:rFonts w:hint="eastAsia" w:ascii="仿宋" w:hAnsi="仿宋" w:eastAsia="仿宋" w:cs="仿宋"/>
                <w:i w:val="0"/>
                <w:iCs w:val="0"/>
                <w:color w:val="000000"/>
                <w:kern w:val="0"/>
                <w:sz w:val="13"/>
                <w:szCs w:val="13"/>
                <w:highlight w:val="none"/>
                <w:u w:val="none"/>
                <w:lang w:val="en-US" w:eastAsia="zh-CN" w:bidi="ar"/>
              </w:rPr>
              <w:t>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212</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城乡社区支出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lang w:val="en-US"/>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212</w:t>
            </w:r>
          </w:p>
        </w:tc>
        <w:tc>
          <w:tcPr>
            <w:tcW w:w="40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08</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国有土地使用权出让收入安排的支出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kern w:val="2"/>
                <w:sz w:val="13"/>
                <w:szCs w:val="13"/>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i w:val="0"/>
                <w:iCs w:val="0"/>
                <w:color w:val="000000"/>
                <w:kern w:val="0"/>
                <w:sz w:val="13"/>
                <w:szCs w:val="13"/>
                <w:highlight w:val="none"/>
                <w:u w:val="none"/>
                <w:lang w:val="en-US" w:eastAsia="zh-CN" w:bidi="ar"/>
              </w:rPr>
              <w:t>2139.36</w:t>
            </w: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212</w:t>
            </w:r>
          </w:p>
        </w:tc>
        <w:tc>
          <w:tcPr>
            <w:tcW w:w="400" w:type="dxa"/>
            <w:tcBorders>
              <w:top w:val="nil"/>
              <w:left w:val="nil"/>
              <w:bottom w:val="single" w:color="auto" w:sz="4" w:space="0"/>
              <w:right w:val="single" w:color="auto" w:sz="4" w:space="0"/>
            </w:tcBorders>
            <w:noWrap w:val="0"/>
            <w:vAlign w:val="center"/>
          </w:tcPr>
          <w:p>
            <w:pPr>
              <w:shd w:val="clea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08</w:t>
            </w:r>
          </w:p>
        </w:tc>
        <w:tc>
          <w:tcPr>
            <w:tcW w:w="45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99</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其他国有土地使用权出让收入安排的支出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highlight w:val="none"/>
                <w:u w:val="none"/>
                <w:lang w:val="en-US" w:eastAsia="zh-CN" w:bidi="ar"/>
              </w:rPr>
              <w:t>2139.36</w:t>
            </w:r>
          </w:p>
        </w:tc>
        <w:tc>
          <w:tcPr>
            <w:tcW w:w="71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kern w:val="2"/>
                <w:sz w:val="13"/>
                <w:szCs w:val="13"/>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仿宋" w:hAnsi="仿宋" w:eastAsia="仿宋" w:cs="仿宋"/>
                <w:color w:val="auto"/>
                <w:kern w:val="2"/>
                <w:sz w:val="13"/>
                <w:szCs w:val="13"/>
                <w:highlight w:val="none"/>
                <w:lang w:val="en-US" w:eastAsia="zh-CN" w:bidi="ar-SA"/>
              </w:rPr>
            </w:pPr>
            <w:r>
              <w:rPr>
                <w:rFonts w:hint="eastAsia" w:ascii="仿宋" w:hAnsi="仿宋" w:eastAsia="仿宋" w:cs="仿宋"/>
                <w:i w:val="0"/>
                <w:iCs w:val="0"/>
                <w:color w:val="000000"/>
                <w:kern w:val="0"/>
                <w:sz w:val="13"/>
                <w:szCs w:val="13"/>
                <w:highlight w:val="none"/>
                <w:u w:val="none"/>
                <w:lang w:val="en-US" w:eastAsia="zh-CN" w:bidi="ar"/>
              </w:rPr>
              <w:t>2139.36</w:t>
            </w:r>
          </w:p>
        </w:tc>
        <w:tc>
          <w:tcPr>
            <w:tcW w:w="660"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shd w:val="clear"/>
              <w:jc w:val="both"/>
              <w:rPr>
                <w:rFonts w:hint="eastAsia" w:ascii="仿宋" w:hAnsi="仿宋" w:eastAsia="仿宋" w:cs="仿宋"/>
                <w:color w:val="auto"/>
                <w:sz w:val="13"/>
                <w:szCs w:val="13"/>
                <w:highlight w:val="none"/>
              </w:rPr>
            </w:pPr>
          </w:p>
        </w:tc>
      </w:tr>
      <w:tr>
        <w:tblPrEx>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shd w:val="clear"/>
              <w:jc w:val="both"/>
              <w:rPr>
                <w:rFonts w:ascii="仿宋_GB2312" w:hAnsi="宋体" w:eastAsia="仿宋_GB2312" w:cs="宋体"/>
                <w:color w:val="auto"/>
                <w:sz w:val="20"/>
                <w:szCs w:val="20"/>
                <w:highlight w:val="none"/>
              </w:rPr>
            </w:pPr>
          </w:p>
        </w:tc>
        <w:tc>
          <w:tcPr>
            <w:tcW w:w="400" w:type="dxa"/>
            <w:tcBorders>
              <w:top w:val="nil"/>
              <w:left w:val="nil"/>
              <w:bottom w:val="single" w:color="auto" w:sz="4" w:space="0"/>
              <w:right w:val="single" w:color="auto" w:sz="4" w:space="0"/>
            </w:tcBorders>
            <w:noWrap w:val="0"/>
            <w:vAlign w:val="center"/>
          </w:tcPr>
          <w:p>
            <w:pPr>
              <w:shd w:val="clear"/>
              <w:jc w:val="both"/>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shd w:val="clear"/>
              <w:jc w:val="both"/>
              <w:rPr>
                <w:rFonts w:ascii="仿宋_GB2312" w:hAnsi="宋体" w:eastAsia="仿宋_GB2312" w:cs="宋体"/>
                <w:color w:val="auto"/>
                <w:sz w:val="20"/>
                <w:szCs w:val="20"/>
                <w:highlight w:val="none"/>
              </w:rPr>
            </w:pPr>
          </w:p>
        </w:tc>
        <w:tc>
          <w:tcPr>
            <w:tcW w:w="805" w:type="dxa"/>
            <w:tcBorders>
              <w:top w:val="nil"/>
              <w:left w:val="nil"/>
              <w:bottom w:val="single" w:color="auto" w:sz="4" w:space="0"/>
              <w:right w:val="single" w:color="auto" w:sz="4" w:space="0"/>
            </w:tcBorders>
            <w:noWrap w:val="0"/>
            <w:vAlign w:val="center"/>
          </w:tcPr>
          <w:p>
            <w:pPr>
              <w:shd w:val="clear"/>
              <w:jc w:val="both"/>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仿宋_GB2312" w:hAnsi="宋体" w:eastAsia="仿宋_GB2312" w:cs="宋体"/>
                <w:color w:val="auto"/>
                <w:sz w:val="16"/>
                <w:szCs w:val="16"/>
                <w:highlight w:val="none"/>
              </w:rPr>
            </w:pPr>
            <w:r>
              <w:rPr>
                <w:rFonts w:hint="default" w:ascii="Calibri" w:hAnsi="Calibri" w:eastAsia="宋体" w:cs="Calibri"/>
                <w:i w:val="0"/>
                <w:iCs w:val="0"/>
                <w:color w:val="000000"/>
                <w:kern w:val="0"/>
                <w:sz w:val="16"/>
                <w:szCs w:val="16"/>
                <w:highlight w:val="none"/>
                <w:u w:val="none"/>
                <w:lang w:val="en-US" w:eastAsia="zh-CN" w:bidi="ar"/>
              </w:rPr>
              <w:t>11282</w:t>
            </w:r>
            <w:r>
              <w:rPr>
                <w:rFonts w:hint="eastAsia" w:ascii="Calibri" w:hAnsi="Calibri" w:cs="Calibri"/>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3</w:t>
            </w:r>
            <w:r>
              <w:rPr>
                <w:rFonts w:hint="eastAsia" w:ascii="Calibri" w:hAnsi="Calibri" w:cs="Calibri"/>
                <w:i w:val="0"/>
                <w:iCs w:val="0"/>
                <w:color w:val="000000"/>
                <w:kern w:val="0"/>
                <w:sz w:val="16"/>
                <w:szCs w:val="16"/>
                <w:highlight w:val="none"/>
                <w:u w:val="none"/>
                <w:lang w:val="en-US" w:eastAsia="zh-CN" w:bidi="ar"/>
              </w:rPr>
              <w:t>4</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r>
              <w:rPr>
                <w:rFonts w:hint="default" w:ascii="Calibri" w:hAnsi="Calibri" w:eastAsia="宋体" w:cs="Calibri"/>
                <w:i w:val="0"/>
                <w:iCs w:val="0"/>
                <w:color w:val="000000"/>
                <w:kern w:val="0"/>
                <w:sz w:val="16"/>
                <w:szCs w:val="16"/>
                <w:highlight w:val="none"/>
                <w:u w:val="none"/>
                <w:lang w:val="en-US" w:eastAsia="zh-CN" w:bidi="ar"/>
              </w:rPr>
              <w:t>9642</w:t>
            </w:r>
            <w:r>
              <w:rPr>
                <w:rFonts w:hint="eastAsia" w:ascii="Calibri" w:hAnsi="Calibri" w:eastAsia="宋体" w:cs="Calibri"/>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1</w:t>
            </w:r>
            <w:r>
              <w:rPr>
                <w:rFonts w:hint="eastAsia" w:ascii="Calibri" w:hAnsi="Calibri" w:eastAsia="宋体" w:cs="Calibri"/>
                <w:i w:val="0"/>
                <w:iCs w:val="0"/>
                <w:color w:val="000000"/>
                <w:kern w:val="0"/>
                <w:sz w:val="16"/>
                <w:szCs w:val="16"/>
                <w:highlight w:val="none"/>
                <w:u w:val="none"/>
                <w:lang w:val="en-US" w:eastAsia="zh-CN" w:bidi="ar"/>
              </w:rPr>
              <w:t>3</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r>
              <w:rPr>
                <w:rFonts w:hint="default" w:ascii="Calibri" w:hAnsi="Calibri" w:eastAsia="宋体" w:cs="Calibri"/>
                <w:i w:val="0"/>
                <w:iCs w:val="0"/>
                <w:color w:val="000000"/>
                <w:kern w:val="0"/>
                <w:sz w:val="16"/>
                <w:szCs w:val="16"/>
                <w:highlight w:val="none"/>
                <w:u w:val="none"/>
                <w:lang w:val="en-US" w:eastAsia="zh-CN" w:bidi="ar"/>
              </w:rPr>
              <w:t>7502</w:t>
            </w:r>
            <w:r>
              <w:rPr>
                <w:rFonts w:hint="eastAsia" w:ascii="Calibri" w:hAnsi="Calibri" w:eastAsia="宋体" w:cs="Calibri"/>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77</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r>
              <w:rPr>
                <w:rFonts w:hint="default" w:ascii="Calibri" w:hAnsi="Calibri" w:eastAsia="宋体" w:cs="Calibri"/>
                <w:i w:val="0"/>
                <w:iCs w:val="0"/>
                <w:color w:val="000000"/>
                <w:kern w:val="0"/>
                <w:sz w:val="16"/>
                <w:szCs w:val="16"/>
                <w:highlight w:val="none"/>
                <w:u w:val="none"/>
                <w:lang w:val="en-US" w:eastAsia="zh-CN" w:bidi="ar"/>
              </w:rPr>
              <w:t>4039</w:t>
            </w:r>
            <w:r>
              <w:rPr>
                <w:rFonts w:hint="eastAsia" w:ascii="Calibri" w:hAnsi="Calibri" w:eastAsia="宋体" w:cs="Calibri"/>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29</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r>
              <w:rPr>
                <w:rFonts w:hint="eastAsia" w:ascii="Calibri" w:hAnsi="Calibri" w:eastAsia="宋体" w:cs="Calibri"/>
                <w:i w:val="0"/>
                <w:iCs w:val="0"/>
                <w:color w:val="000000"/>
                <w:kern w:val="0"/>
                <w:sz w:val="16"/>
                <w:szCs w:val="16"/>
                <w:highlight w:val="none"/>
                <w:u w:val="none"/>
                <w:lang w:val="en-US" w:eastAsia="zh-CN" w:bidi="ar"/>
              </w:rPr>
              <w:t>2139.36</w:t>
            </w:r>
          </w:p>
        </w:tc>
        <w:tc>
          <w:tcPr>
            <w:tcW w:w="660"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51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74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5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Calibri" w:hAnsi="Calibri" w:eastAsia="宋体" w:cs="Calibri"/>
                <w:i w:val="0"/>
                <w:iCs w:val="0"/>
                <w:color w:val="000000"/>
                <w:kern w:val="0"/>
                <w:sz w:val="16"/>
                <w:szCs w:val="16"/>
                <w:highlight w:val="none"/>
                <w:u w:val="none"/>
                <w:lang w:val="en-US" w:eastAsia="zh-CN" w:bidi="ar"/>
              </w:rPr>
              <w:t>1597.86</w:t>
            </w:r>
          </w:p>
        </w:tc>
        <w:tc>
          <w:tcPr>
            <w:tcW w:w="4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Calibri" w:hAnsi="Calibri" w:eastAsia="宋体" w:cs="Calibri"/>
                <w:i w:val="0"/>
                <w:iCs w:val="0"/>
                <w:color w:val="000000"/>
                <w:kern w:val="0"/>
                <w:sz w:val="16"/>
                <w:szCs w:val="16"/>
                <w:highlight w:val="none"/>
                <w:u w:val="none"/>
                <w:lang w:val="en-US" w:eastAsia="zh-CN" w:bidi="ar"/>
              </w:rPr>
              <w:t>42.35</w:t>
            </w:r>
          </w:p>
        </w:tc>
        <w:tc>
          <w:tcPr>
            <w:tcW w:w="50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hint="eastAsia" w:ascii="Calibri" w:hAnsi="Calibri" w:eastAsia="宋体" w:cs="Calibri"/>
                <w:i w:val="0"/>
                <w:iCs w:val="0"/>
                <w:color w:val="000000"/>
                <w:kern w:val="0"/>
                <w:sz w:val="16"/>
                <w:szCs w:val="16"/>
                <w:highlight w:val="none"/>
                <w:u w:val="none"/>
                <w:lang w:val="en-US" w:eastAsia="zh-CN" w:bidi="ar"/>
              </w:rPr>
            </w:pP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呼图壁县教育局</w:t>
      </w:r>
      <w:r>
        <w:rPr>
          <w:rFonts w:hint="eastAsia" w:ascii="仿宋_GB2312" w:hAnsi="宋体" w:eastAsia="仿宋_GB2312"/>
          <w:b/>
          <w:color w:val="auto"/>
          <w:kern w:val="0"/>
          <w:sz w:val="32"/>
          <w:szCs w:val="32"/>
          <w:highlight w:val="none"/>
        </w:rPr>
        <w:t>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fixed"/>
        <w:tblCellMar>
          <w:top w:w="0" w:type="dxa"/>
          <w:left w:w="108" w:type="dxa"/>
          <w:bottom w:w="0" w:type="dxa"/>
          <w:right w:w="108" w:type="dxa"/>
        </w:tblCellMar>
      </w:tblPr>
      <w:tblGrid>
        <w:gridCol w:w="519"/>
        <w:gridCol w:w="417"/>
        <w:gridCol w:w="417"/>
        <w:gridCol w:w="2536"/>
        <w:gridCol w:w="1828"/>
        <w:gridCol w:w="1828"/>
        <w:gridCol w:w="1875"/>
      </w:tblGrid>
      <w:tr>
        <w:tblPrEx>
          <w:tblCellMar>
            <w:top w:w="0" w:type="dxa"/>
            <w:left w:w="108" w:type="dxa"/>
            <w:bottom w:w="0" w:type="dxa"/>
            <w:right w:w="108" w:type="dxa"/>
          </w:tblCellMar>
        </w:tblPrEx>
        <w:trPr>
          <w:trHeight w:val="328" w:hRule="atLeast"/>
        </w:trPr>
        <w:tc>
          <w:tcPr>
            <w:tcW w:w="3889"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1" w:type="dxa"/>
            <w:gridSpan w:val="3"/>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6"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5"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6"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教育支出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eastAsia" w:ascii="宋体" w:hAnsi="宋体" w:eastAsia="宋体" w:cs="宋体"/>
                <w:b/>
                <w:bCs/>
                <w:color w:val="auto"/>
                <w:kern w:val="0"/>
                <w:sz w:val="22"/>
                <w:szCs w:val="22"/>
                <w:highlight w:val="none"/>
                <w:lang w:eastAsia="zh-CN"/>
              </w:rPr>
            </w:pPr>
            <w:r>
              <w:rPr>
                <w:rFonts w:hint="default" w:ascii="Calibri" w:hAnsi="Calibri" w:eastAsia="宋体" w:cs="Calibri"/>
                <w:i w:val="0"/>
                <w:iCs w:val="0"/>
                <w:color w:val="000000"/>
                <w:kern w:val="0"/>
                <w:sz w:val="22"/>
                <w:szCs w:val="22"/>
                <w:highlight w:val="none"/>
                <w:u w:val="none"/>
                <w:lang w:val="en-US" w:eastAsia="zh-CN" w:bidi="ar"/>
              </w:rPr>
              <w:t>7545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6836</w:t>
            </w:r>
            <w:r>
              <w:rPr>
                <w:rFonts w:hint="eastAsia" w:ascii="Calibri" w:hAnsi="Calibri" w:cs="Calibri"/>
                <w:i w:val="0"/>
                <w:iCs w:val="0"/>
                <w:color w:val="000000"/>
                <w:kern w:val="0"/>
                <w:sz w:val="22"/>
                <w:szCs w:val="22"/>
                <w:highlight w:val="none"/>
                <w:u w:val="none"/>
                <w:lang w:val="en-US" w:eastAsia="zh-CN" w:bidi="ar"/>
              </w:rPr>
              <w:t>.1</w:t>
            </w:r>
            <w:r>
              <w:rPr>
                <w:rFonts w:hint="default" w:ascii="Calibri" w:hAnsi="Calibri" w:eastAsia="宋体" w:cs="Calibri"/>
                <w:i w:val="0"/>
                <w:iCs w:val="0"/>
                <w:color w:val="000000"/>
                <w:kern w:val="0"/>
                <w:sz w:val="22"/>
                <w:szCs w:val="22"/>
                <w:highlight w:val="none"/>
                <w:u w:val="none"/>
                <w:lang w:val="en-US" w:eastAsia="zh-CN" w:bidi="ar"/>
              </w:rPr>
              <w:t>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教育管理事务</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75"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01</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行政运行</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b/>
                <w:bCs/>
                <w:color w:val="auto"/>
                <w:kern w:val="0"/>
                <w:sz w:val="22"/>
                <w:szCs w:val="22"/>
                <w:highlight w:val="none"/>
                <w:lang w:val="en-US"/>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b/>
                <w:bCs/>
                <w:color w:val="auto"/>
                <w:kern w:val="0"/>
                <w:sz w:val="22"/>
                <w:szCs w:val="22"/>
                <w:highlight w:val="none"/>
                <w:lang w:val="en-US"/>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75" w:type="dxa"/>
            <w:tcBorders>
              <w:top w:val="nil"/>
              <w:left w:val="nil"/>
              <w:bottom w:val="single" w:color="auto" w:sz="4" w:space="0"/>
              <w:right w:val="single" w:color="auto" w:sz="4" w:space="0"/>
            </w:tcBorders>
            <w:noWrap w:val="0"/>
            <w:vAlign w:val="center"/>
          </w:tcPr>
          <w:p>
            <w:pPr>
              <w:shd w:val="clear"/>
              <w:jc w:val="center"/>
              <w:rPr>
                <w:rFonts w:hint="default" w:ascii="宋体" w:hAnsi="宋体" w:cs="宋体"/>
                <w:b/>
                <w:bCs/>
                <w:color w:val="auto"/>
                <w:kern w:val="0"/>
                <w:sz w:val="22"/>
                <w:szCs w:val="22"/>
                <w:highlight w:val="none"/>
                <w:lang w:val="en-US"/>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普通教育</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4992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6</w:t>
            </w:r>
            <w:r>
              <w:rPr>
                <w:rFonts w:hint="eastAsia" w:ascii="Calibri" w:hAnsi="Calibri" w:cs="Calibri"/>
                <w:i w:val="0"/>
                <w:iCs w:val="0"/>
                <w:color w:val="000000"/>
                <w:kern w:val="0"/>
                <w:sz w:val="22"/>
                <w:szCs w:val="22"/>
                <w:highlight w:val="none"/>
                <w:u w:val="none"/>
                <w:lang w:val="en-US" w:eastAsia="zh-CN" w:bidi="ar"/>
              </w:rPr>
              <w:t>4</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4992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6</w:t>
            </w:r>
            <w:r>
              <w:rPr>
                <w:rFonts w:hint="eastAsia" w:ascii="Calibri" w:hAnsi="Calibri" w:cs="Calibri"/>
                <w:i w:val="0"/>
                <w:iCs w:val="0"/>
                <w:color w:val="000000"/>
                <w:kern w:val="0"/>
                <w:sz w:val="22"/>
                <w:szCs w:val="22"/>
                <w:highlight w:val="none"/>
                <w:u w:val="none"/>
                <w:lang w:val="en-US" w:eastAsia="zh-CN" w:bidi="ar"/>
              </w:rPr>
              <w:t>4</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02</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小学教育</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b/>
                <w:bCs/>
                <w:color w:val="auto"/>
                <w:kern w:val="0"/>
                <w:sz w:val="22"/>
                <w:szCs w:val="22"/>
                <w:highlight w:val="none"/>
                <w:lang w:val="en-US"/>
              </w:rPr>
            </w:pPr>
            <w:r>
              <w:rPr>
                <w:rFonts w:hint="default" w:ascii="Calibri" w:hAnsi="Calibri" w:eastAsia="宋体" w:cs="Calibri"/>
                <w:i w:val="0"/>
                <w:iCs w:val="0"/>
                <w:color w:val="000000"/>
                <w:kern w:val="0"/>
                <w:sz w:val="22"/>
                <w:szCs w:val="22"/>
                <w:highlight w:val="none"/>
                <w:u w:val="none"/>
                <w:lang w:val="en-US" w:eastAsia="zh-CN" w:bidi="ar"/>
              </w:rPr>
              <w:t>967</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37</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967</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37</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03</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初中教育</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888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94</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888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94</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99</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其他普通教育支出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3136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3</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3136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3</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特殊教育</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color w:val="auto"/>
                <w:kern w:val="0"/>
                <w:sz w:val="20"/>
                <w:szCs w:val="20"/>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color w:val="auto"/>
                <w:kern w:val="0"/>
                <w:sz w:val="20"/>
                <w:szCs w:val="20"/>
                <w:highlight w:val="none"/>
                <w:lang w:val="en-US" w:eastAsia="zh-CN"/>
              </w:rPr>
              <w:t>01</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特殊学校教育</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教育费附加安排的支出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99</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其他教育费附加安排的支出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其他教育支出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2</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2</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r>
              <w:rPr>
                <w:rFonts w:hint="eastAsia" w:ascii="宋体" w:hAnsi="宋体" w:cs="宋体"/>
                <w:color w:val="auto"/>
                <w:kern w:val="0"/>
                <w:sz w:val="20"/>
                <w:szCs w:val="20"/>
                <w:highlight w:val="none"/>
                <w:lang w:val="en-US" w:eastAsia="zh-CN"/>
              </w:rPr>
              <w:t>99</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highlight w:val="none"/>
                <w:u w:val="none"/>
                <w:lang w:val="en-US" w:eastAsia="zh-CN" w:bidi="ar"/>
              </w:rPr>
              <w:t>其他教育支出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eastAsia" w:ascii="Calibri" w:hAnsi="Calibri" w:cs="Calibri"/>
                <w:i w:val="0"/>
                <w:iCs w:val="0"/>
                <w:color w:val="000000"/>
                <w:kern w:val="0"/>
                <w:sz w:val="22"/>
                <w:szCs w:val="22"/>
                <w:highlight w:val="none"/>
                <w:u w:val="none"/>
                <w:lang w:val="en-US" w:eastAsia="zh-CN" w:bidi="ar"/>
              </w:rPr>
              <w:t>2</w:t>
            </w: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r>
              <w:rPr>
                <w:rFonts w:hint="eastAsia" w:ascii="Calibri" w:hAnsi="Calibri" w:cs="Calibri"/>
                <w:i w:val="0"/>
                <w:iCs w:val="0"/>
                <w:color w:val="000000"/>
                <w:kern w:val="0"/>
                <w:sz w:val="22"/>
                <w:szCs w:val="22"/>
                <w:highlight w:val="none"/>
                <w:u w:val="none"/>
                <w:lang w:val="en-US" w:eastAsia="zh-CN" w:bidi="ar"/>
              </w:rPr>
              <w:t>2</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shd w:val="clear"/>
              <w:jc w:val="center"/>
              <w:rPr>
                <w:rFonts w:hint="default" w:ascii="Calibri" w:hAnsi="Calibri" w:eastAsia="宋体" w:cs="Calibri"/>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shd w:val="clea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c>
          <w:tcPr>
            <w:tcW w:w="2536"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c>
          <w:tcPr>
            <w:tcW w:w="1828"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c>
          <w:tcPr>
            <w:tcW w:w="1875" w:type="dxa"/>
            <w:tcBorders>
              <w:top w:val="nil"/>
              <w:left w:val="nil"/>
              <w:bottom w:val="single" w:color="auto" w:sz="4" w:space="0"/>
              <w:right w:val="single" w:color="auto" w:sz="4" w:space="0"/>
            </w:tcBorders>
            <w:noWrap w:val="0"/>
            <w:vAlign w:val="center"/>
          </w:tcPr>
          <w:p>
            <w:pPr>
              <w:shd w:val="clear"/>
              <w:jc w:val="center"/>
              <w:rPr>
                <w:color w:val="auto"/>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4"/>
                <w:highlight w:val="none"/>
              </w:rPr>
            </w:pPr>
          </w:p>
        </w:tc>
        <w:tc>
          <w:tcPr>
            <w:tcW w:w="253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7545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6836</w:t>
            </w:r>
            <w:r>
              <w:rPr>
                <w:rFonts w:hint="eastAsia" w:ascii="Calibri" w:hAnsi="Calibri" w:cs="Calibri"/>
                <w:i w:val="0"/>
                <w:iCs w:val="0"/>
                <w:color w:val="000000"/>
                <w:kern w:val="0"/>
                <w:sz w:val="22"/>
                <w:szCs w:val="22"/>
                <w:highlight w:val="none"/>
                <w:u w:val="none"/>
                <w:lang w:val="en-US" w:eastAsia="zh-CN" w:bidi="ar"/>
              </w:rPr>
              <w:t>.10</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fixed"/>
        <w:tblCellMar>
          <w:top w:w="0" w:type="dxa"/>
          <w:left w:w="108" w:type="dxa"/>
          <w:bottom w:w="0" w:type="dxa"/>
          <w:right w:w="108" w:type="dxa"/>
        </w:tblCellMar>
      </w:tblPr>
      <w:tblGrid>
        <w:gridCol w:w="1941"/>
        <w:gridCol w:w="990"/>
        <w:gridCol w:w="2270"/>
        <w:gridCol w:w="820"/>
        <w:gridCol w:w="1150"/>
        <w:gridCol w:w="1160"/>
        <w:gridCol w:w="1118"/>
      </w:tblGrid>
      <w:tr>
        <w:tblPrEx>
          <w:tblCellMar>
            <w:top w:w="0" w:type="dxa"/>
            <w:left w:w="108" w:type="dxa"/>
            <w:bottom w:w="0" w:type="dxa"/>
            <w:right w:w="108" w:type="dxa"/>
          </w:tblCellMar>
        </w:tblPrEx>
        <w:trPr>
          <w:trHeight w:val="285" w:hRule="atLeast"/>
        </w:trPr>
        <w:tc>
          <w:tcPr>
            <w:tcW w:w="2931" w:type="dxa"/>
            <w:gridSpan w:val="2"/>
            <w:tcBorders>
              <w:top w:val="single" w:color="auto" w:sz="4" w:space="0"/>
              <w:left w:val="single" w:color="auto" w:sz="4" w:space="0"/>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18" w:type="dxa"/>
            <w:gridSpan w:val="5"/>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9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27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82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15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6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8" w:type="dxa"/>
            <w:tcBorders>
              <w:top w:val="nil"/>
              <w:left w:val="nil"/>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9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9684</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4</w:t>
            </w:r>
            <w:r>
              <w:rPr>
                <w:rFonts w:hint="eastAsia" w:ascii="仿宋_GB2312" w:hAnsi="宋体" w:eastAsia="仿宋_GB2312" w:cs="宋体"/>
                <w:color w:val="auto"/>
                <w:kern w:val="0"/>
                <w:sz w:val="18"/>
                <w:szCs w:val="18"/>
                <w:highlight w:val="none"/>
                <w:lang w:val="en-US" w:eastAsia="zh-CN"/>
              </w:rPr>
              <w:t>8</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9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7545</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lang w:val="en-US" w:eastAsia="zh-CN"/>
              </w:rPr>
              <w:t>2</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9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2139</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6</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82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7545</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lang w:val="en-US" w:eastAsia="zh-CN"/>
              </w:rPr>
              <w:t>2</w:t>
            </w:r>
          </w:p>
        </w:tc>
        <w:tc>
          <w:tcPr>
            <w:tcW w:w="115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7545</w:t>
            </w:r>
            <w:r>
              <w:rPr>
                <w:rFonts w:hint="eastAsia" w:ascii="仿宋_GB2312" w:hAnsi="宋体" w:eastAsia="仿宋_GB2312" w:cs="宋体"/>
                <w:color w:val="auto"/>
                <w:kern w:val="0"/>
                <w:sz w:val="18"/>
                <w:szCs w:val="18"/>
                <w:highlight w:val="none"/>
                <w:lang w:val="en-US" w:eastAsia="zh-CN"/>
              </w:rPr>
              <w:t>.12</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82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2139</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5</w:t>
            </w:r>
          </w:p>
        </w:tc>
        <w:tc>
          <w:tcPr>
            <w:tcW w:w="115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c>
          <w:tcPr>
            <w:tcW w:w="116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2139</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lang w:val="en-US" w:eastAsia="zh-CN"/>
              </w:rPr>
              <w:t>5</w:t>
            </w: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90"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p>
        </w:tc>
        <w:tc>
          <w:tcPr>
            <w:tcW w:w="82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5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6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4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9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9684.47　</w:t>
            </w:r>
          </w:p>
        </w:tc>
        <w:tc>
          <w:tcPr>
            <w:tcW w:w="227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82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9684</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47</w:t>
            </w:r>
          </w:p>
        </w:tc>
        <w:tc>
          <w:tcPr>
            <w:tcW w:w="115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7545</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lang w:val="en-US" w:eastAsia="zh-CN"/>
              </w:rPr>
              <w:t>2</w:t>
            </w:r>
          </w:p>
        </w:tc>
        <w:tc>
          <w:tcPr>
            <w:tcW w:w="1160"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2139</w:t>
            </w:r>
            <w:r>
              <w:rPr>
                <w:rFonts w:hint="eastAsia" w:ascii="仿宋_GB2312" w:hAnsi="宋体" w:eastAsia="仿宋_GB2312" w:cs="宋体"/>
                <w:color w:val="auto"/>
                <w:kern w:val="0"/>
                <w:sz w:val="18"/>
                <w:szCs w:val="18"/>
                <w:highlight w:val="none"/>
                <w:lang w:val="en-US" w:eastAsia="zh-CN"/>
              </w:rPr>
              <w:t>.</w:t>
            </w:r>
            <w:r>
              <w:rPr>
                <w:rFonts w:hint="default" w:ascii="仿宋_GB2312" w:hAnsi="宋体" w:eastAsia="仿宋_GB2312" w:cs="宋体"/>
                <w:color w:val="auto"/>
                <w:kern w:val="0"/>
                <w:sz w:val="18"/>
                <w:szCs w:val="18"/>
                <w:highlight w:val="none"/>
                <w:lang w:val="en-US" w:eastAsia="zh-CN"/>
              </w:rPr>
              <w:t>35</w:t>
            </w:r>
          </w:p>
        </w:tc>
        <w:tc>
          <w:tcPr>
            <w:tcW w:w="1118" w:type="dxa"/>
            <w:tcBorders>
              <w:top w:val="nil"/>
              <w:left w:val="nil"/>
              <w:bottom w:val="single" w:color="auto" w:sz="4" w:space="0"/>
              <w:right w:val="single" w:color="auto" w:sz="4" w:space="0"/>
            </w:tcBorders>
            <w:noWrap w:val="0"/>
            <w:vAlign w:val="top"/>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p>
        </w:tc>
      </w:tr>
    </w:tbl>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519"/>
        <w:gridCol w:w="498"/>
        <w:gridCol w:w="502"/>
        <w:gridCol w:w="2483"/>
        <w:gridCol w:w="660"/>
        <w:gridCol w:w="1020"/>
        <w:gridCol w:w="216"/>
        <w:gridCol w:w="1619"/>
        <w:gridCol w:w="1697"/>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02" w:type="dxa"/>
            <w:gridSpan w:val="4"/>
            <w:tcBorders>
              <w:top w:val="nil"/>
              <w:left w:val="nil"/>
              <w:bottom w:val="nil"/>
              <w:right w:val="nil"/>
            </w:tcBorders>
            <w:noWrap w:val="0"/>
            <w:vAlign w:val="center"/>
          </w:tcPr>
          <w:p>
            <w:pPr>
              <w:widowControl/>
              <w:shd w:val="clear"/>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p>
        </w:tc>
        <w:tc>
          <w:tcPr>
            <w:tcW w:w="660"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236"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6" w:type="dxa"/>
            <w:gridSpan w:val="2"/>
            <w:tcBorders>
              <w:top w:val="nil"/>
              <w:left w:val="nil"/>
              <w:bottom w:val="nil"/>
              <w:right w:val="nil"/>
            </w:tcBorders>
            <w:noWrap w:val="0"/>
            <w:vAlign w:val="center"/>
          </w:tcPr>
          <w:p>
            <w:pPr>
              <w:widowControl/>
              <w:shd w:val="clear"/>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2" w:type="dxa"/>
            <w:gridSpan w:val="4"/>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2"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83"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0"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5"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7"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8"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83"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680"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835"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697"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bidi="ar"/>
              </w:rPr>
              <w:t>教育支出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9142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w:t>
            </w:r>
            <w:r>
              <w:rPr>
                <w:rFonts w:hint="eastAsia" w:ascii="Calibri" w:hAnsi="Calibri" w:cs="Calibri"/>
                <w:i w:val="0"/>
                <w:iCs w:val="0"/>
                <w:color w:val="000000"/>
                <w:kern w:val="0"/>
                <w:sz w:val="22"/>
                <w:szCs w:val="22"/>
                <w:highlight w:val="none"/>
                <w:u w:val="none"/>
                <w:lang w:val="en-US" w:eastAsia="zh-CN" w:bidi="ar"/>
              </w:rPr>
              <w:t>8</w:t>
            </w:r>
            <w:r>
              <w:rPr>
                <w:rFonts w:hint="default" w:ascii="Calibri" w:hAnsi="Calibri" w:eastAsia="宋体" w:cs="Calibri"/>
                <w:i w:val="0"/>
                <w:iCs w:val="0"/>
                <w:color w:val="000000"/>
                <w:kern w:val="0"/>
                <w:sz w:val="22"/>
                <w:szCs w:val="22"/>
                <w:highlight w:val="none"/>
                <w:u w:val="none"/>
                <w:lang w:val="en-US" w:eastAsia="zh-CN" w:bidi="ar"/>
              </w:rPr>
              <w:t>7</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2306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6836</w:t>
            </w:r>
            <w:r>
              <w:rPr>
                <w:rFonts w:hint="eastAsia" w:ascii="Calibri" w:hAnsi="Calibri" w:cs="Calibri"/>
                <w:i w:val="0"/>
                <w:iCs w:val="0"/>
                <w:color w:val="000000"/>
                <w:kern w:val="0"/>
                <w:sz w:val="22"/>
                <w:szCs w:val="22"/>
                <w:highlight w:val="none"/>
                <w:u w:val="none"/>
                <w:lang w:val="en-US" w:eastAsia="zh-CN" w:bidi="ar"/>
              </w:rPr>
              <w:t>.1</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bidi="ar"/>
              </w:rPr>
              <w:t>教育管理事务</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2306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88</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2306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88</w:t>
            </w:r>
          </w:p>
        </w:tc>
        <w:tc>
          <w:tcPr>
            <w:tcW w:w="1697" w:type="dxa"/>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2306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88</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2306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88</w:t>
            </w:r>
          </w:p>
        </w:tc>
        <w:tc>
          <w:tcPr>
            <w:tcW w:w="1697" w:type="dxa"/>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bidi="ar"/>
              </w:rPr>
              <w:t>教育支出</w:t>
            </w:r>
          </w:p>
        </w:tc>
        <w:tc>
          <w:tcPr>
            <w:tcW w:w="1680" w:type="dxa"/>
            <w:gridSpan w:val="2"/>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普通教育</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4992</w:t>
            </w:r>
            <w:r>
              <w:rPr>
                <w:rFonts w:hint="eastAsia" w:ascii="Calibri" w:hAnsi="Calibri" w:cs="Calibri"/>
                <w:i w:val="0"/>
                <w:iCs w:val="0"/>
                <w:color w:val="000000"/>
                <w:kern w:val="0"/>
                <w:sz w:val="22"/>
                <w:szCs w:val="22"/>
                <w:highlight w:val="none"/>
                <w:u w:val="none"/>
                <w:lang w:val="en-US" w:eastAsia="zh-CN" w:bidi="ar"/>
              </w:rPr>
              <w:t>.64</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4992</w:t>
            </w:r>
            <w:r>
              <w:rPr>
                <w:rFonts w:hint="eastAsia" w:ascii="Calibri" w:hAnsi="Calibri" w:cs="Calibri"/>
                <w:i w:val="0"/>
                <w:iCs w:val="0"/>
                <w:color w:val="000000"/>
                <w:kern w:val="0"/>
                <w:sz w:val="22"/>
                <w:szCs w:val="22"/>
                <w:highlight w:val="none"/>
                <w:u w:val="none"/>
                <w:lang w:val="en-US" w:eastAsia="zh-CN" w:bidi="ar"/>
              </w:rPr>
              <w:t>.64</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02</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小学教育</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967</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37</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967</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37</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03</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初中教育</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888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94</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888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94</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其他普通教育支出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3136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3</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3136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3</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highlight w:val="none"/>
                <w:u w:val="none"/>
                <w:lang w:val="en-US" w:eastAsia="zh-CN" w:bidi="ar"/>
              </w:rPr>
              <w:t>教育支出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特殊教育</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特殊学校教育</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46</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教育费附加安排的支出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其他教育费附加安排的支出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其他教育支出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205</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其他教育支出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212</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城乡社区支出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212</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国有土地使用权出让收入安排的支出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212</w:t>
            </w:r>
          </w:p>
        </w:tc>
        <w:tc>
          <w:tcPr>
            <w:tcW w:w="4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其他国有土地使用权出让收入安排的支出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c>
          <w:tcPr>
            <w:tcW w:w="1835" w:type="dxa"/>
            <w:gridSpan w:val="2"/>
            <w:tcBorders>
              <w:top w:val="nil"/>
              <w:left w:val="nil"/>
              <w:bottom w:val="single" w:color="auto" w:sz="4" w:space="0"/>
              <w:right w:val="single" w:color="auto" w:sz="4" w:space="0"/>
            </w:tcBorders>
            <w:noWrap w:val="0"/>
            <w:vAlign w:val="center"/>
          </w:tcPr>
          <w:p>
            <w:pPr>
              <w:shd w:val="clear"/>
              <w:jc w:val="center"/>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2139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6</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highlight w:val="none"/>
                <w:u w:val="none"/>
                <w:lang w:val="en-US" w:eastAsia="zh-CN" w:bidi="ar"/>
              </w:rPr>
              <w:t>11282.34</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highlight w:val="none"/>
                <w:u w:val="none"/>
                <w:lang w:val="en-US" w:eastAsia="zh-CN" w:bidi="ar"/>
              </w:rPr>
              <w:t>2306.88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highlight w:val="none"/>
                <w:u w:val="none"/>
                <w:lang w:val="en-US" w:eastAsia="zh-CN" w:bidi="ar"/>
              </w:rPr>
              <w:t>8975.46</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p>
        </w:tc>
        <w:tc>
          <w:tcPr>
            <w:tcW w:w="995"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3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594</w:t>
            </w:r>
            <w:r>
              <w:rPr>
                <w:rFonts w:hint="eastAsia" w:ascii="Calibri" w:hAnsi="Calibri" w:cs="Calibri"/>
                <w:i w:val="0"/>
                <w:iCs w:val="0"/>
                <w:color w:val="000000"/>
                <w:kern w:val="0"/>
                <w:sz w:val="22"/>
                <w:szCs w:val="22"/>
                <w:highlight w:val="none"/>
                <w:u w:val="none"/>
                <w:lang w:val="en-US" w:eastAsia="zh-CN" w:bidi="ar"/>
              </w:rPr>
              <w:t>.16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hint="default" w:ascii="宋体" w:hAnsi="宋体" w:cs="宋体"/>
                <w:color w:val="auto"/>
                <w:kern w:val="0"/>
                <w:sz w:val="20"/>
                <w:szCs w:val="20"/>
                <w:highlight w:val="none"/>
                <w:lang w:val="en-US"/>
              </w:rPr>
            </w:pPr>
            <w:r>
              <w:rPr>
                <w:rFonts w:hint="default" w:ascii="Calibri" w:hAnsi="Calibri" w:eastAsia="宋体" w:cs="Calibri"/>
                <w:i w:val="0"/>
                <w:iCs w:val="0"/>
                <w:color w:val="000000"/>
                <w:kern w:val="0"/>
                <w:sz w:val="22"/>
                <w:szCs w:val="22"/>
                <w:highlight w:val="none"/>
                <w:u w:val="none"/>
                <w:lang w:val="en-US" w:eastAsia="zh-CN" w:bidi="ar"/>
              </w:rPr>
              <w:t>594</w:t>
            </w:r>
            <w:r>
              <w:rPr>
                <w:rFonts w:hint="eastAsia" w:ascii="Calibri" w:hAnsi="Calibri" w:cs="Calibri"/>
                <w:i w:val="0"/>
                <w:iCs w:val="0"/>
                <w:color w:val="000000"/>
                <w:kern w:val="0"/>
                <w:sz w:val="22"/>
                <w:szCs w:val="22"/>
                <w:highlight w:val="none"/>
                <w:u w:val="none"/>
                <w:lang w:val="en-US" w:eastAsia="zh-CN" w:bidi="ar"/>
              </w:rPr>
              <w:t>.16</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172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w:t>
            </w:r>
            <w:r>
              <w:rPr>
                <w:rFonts w:hint="eastAsia" w:ascii="Calibri" w:hAnsi="Calibri" w:cs="Calibri"/>
                <w:i w:val="0"/>
                <w:iCs w:val="0"/>
                <w:color w:val="000000"/>
                <w:kern w:val="0"/>
                <w:sz w:val="22"/>
                <w:szCs w:val="22"/>
                <w:highlight w:val="none"/>
                <w:u w:val="none"/>
                <w:lang w:val="en-US" w:eastAsia="zh-CN" w:bidi="ar"/>
              </w:rPr>
              <w:t>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172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4</w:t>
            </w:r>
            <w:r>
              <w:rPr>
                <w:rFonts w:hint="eastAsia" w:ascii="Calibri" w:hAnsi="Calibri" w:cs="Calibri"/>
                <w:i w:val="0"/>
                <w:iCs w:val="0"/>
                <w:color w:val="000000"/>
                <w:kern w:val="0"/>
                <w:sz w:val="22"/>
                <w:szCs w:val="22"/>
                <w:highlight w:val="none"/>
                <w:u w:val="none"/>
                <w:lang w:val="en-US" w:eastAsia="zh-CN" w:bidi="ar"/>
              </w:rPr>
              <w:t>4</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6</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115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w:t>
            </w:r>
            <w:r>
              <w:rPr>
                <w:rFonts w:hint="eastAsia" w:ascii="Calibri" w:hAnsi="Calibri" w:cs="Calibri"/>
                <w:i w:val="0"/>
                <w:iCs w:val="0"/>
                <w:color w:val="000000"/>
                <w:kern w:val="0"/>
                <w:sz w:val="22"/>
                <w:szCs w:val="22"/>
                <w:highlight w:val="none"/>
                <w:u w:val="none"/>
                <w:lang w:val="en-US" w:eastAsia="zh-CN" w:bidi="ar"/>
              </w:rPr>
              <w:t>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115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w:t>
            </w:r>
            <w:r>
              <w:rPr>
                <w:rFonts w:hint="eastAsia" w:ascii="Calibri" w:hAnsi="Calibri" w:cs="Calibri"/>
                <w:i w:val="0"/>
                <w:iCs w:val="0"/>
                <w:color w:val="000000"/>
                <w:kern w:val="0"/>
                <w:sz w:val="22"/>
                <w:szCs w:val="22"/>
                <w:highlight w:val="none"/>
                <w:u w:val="none"/>
                <w:lang w:val="en-US" w:eastAsia="zh-CN" w:bidi="ar"/>
              </w:rPr>
              <w:t>6</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7</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91</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7</w:t>
            </w:r>
            <w:r>
              <w:rPr>
                <w:rFonts w:hint="eastAsia" w:ascii="Calibri" w:hAnsi="Calibri" w:cs="Calibri"/>
                <w:i w:val="0"/>
                <w:iCs w:val="0"/>
                <w:color w:val="000000"/>
                <w:kern w:val="0"/>
                <w:sz w:val="22"/>
                <w:szCs w:val="22"/>
                <w:highlight w:val="none"/>
                <w:u w:val="none"/>
                <w:lang w:val="en-US" w:eastAsia="zh-CN" w:bidi="ar"/>
              </w:rPr>
              <w:t>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7</w:t>
            </w:r>
            <w:r>
              <w:rPr>
                <w:rFonts w:hint="eastAsia" w:ascii="Calibri" w:hAnsi="Calibri" w:cs="Calibri"/>
                <w:i w:val="0"/>
                <w:iCs w:val="0"/>
                <w:color w:val="000000"/>
                <w:kern w:val="0"/>
                <w:sz w:val="22"/>
                <w:szCs w:val="22"/>
                <w:highlight w:val="none"/>
                <w:u w:val="none"/>
                <w:lang w:val="en-US" w:eastAsia="zh-CN" w:bidi="ar"/>
              </w:rPr>
              <w:t>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7</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hd w:val="clear"/>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52</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06</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74</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8</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74</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shd w:val="clear"/>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2</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w:t>
            </w:r>
            <w:r>
              <w:rPr>
                <w:rFonts w:hint="eastAsia" w:ascii="Calibri" w:hAnsi="Calibri" w:cs="Calibri"/>
                <w:i w:val="0"/>
                <w:iCs w:val="0"/>
                <w:color w:val="000000"/>
                <w:kern w:val="0"/>
                <w:sz w:val="22"/>
                <w:szCs w:val="22"/>
                <w:highlight w:val="none"/>
                <w:u w:val="none"/>
                <w:lang w:val="en-US" w:eastAsia="zh-CN" w:bidi="ar"/>
              </w:rPr>
              <w:t>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shd w:val="clear"/>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w:t>
            </w:r>
            <w:r>
              <w:rPr>
                <w:rFonts w:hint="eastAsia" w:ascii="Calibri" w:hAnsi="Calibri" w:cs="Calibri"/>
                <w:i w:val="0"/>
                <w:iCs w:val="0"/>
                <w:color w:val="000000"/>
                <w:kern w:val="0"/>
                <w:sz w:val="22"/>
                <w:szCs w:val="22"/>
                <w:highlight w:val="none"/>
                <w:u w:val="none"/>
                <w:lang w:val="en-US" w:eastAsia="zh-CN" w:bidi="ar"/>
              </w:rPr>
              <w:t>9</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w:t>
            </w:r>
            <w:r>
              <w:rPr>
                <w:rFonts w:hint="eastAsia" w:ascii="Calibri" w:hAnsi="Calibri" w:cs="Calibri"/>
                <w:i w:val="0"/>
                <w:iCs w:val="0"/>
                <w:color w:val="000000"/>
                <w:kern w:val="0"/>
                <w:sz w:val="22"/>
                <w:szCs w:val="22"/>
                <w:highlight w:val="none"/>
                <w:u w:val="none"/>
                <w:lang w:val="en-US" w:eastAsia="zh-CN" w:bidi="ar"/>
              </w:rPr>
              <w:t>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shd w:val="clear"/>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75</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58</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shd w:val="clear"/>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highlight w:val="none"/>
                <w:u w:val="none"/>
                <w:lang w:val="en-US" w:eastAsia="zh-CN" w:bidi="ar"/>
              </w:rPr>
              <w:t>0.9</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highlight w:val="none"/>
                <w:u w:val="none"/>
                <w:lang w:val="en-US" w:eastAsia="zh-CN" w:bidi="ar"/>
              </w:rPr>
              <w:t>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hint="default" w:ascii="Calibri" w:hAnsi="Calibri"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7.62</w:t>
            </w:r>
          </w:p>
        </w:tc>
        <w:tc>
          <w:tcPr>
            <w:tcW w:w="1701" w:type="dxa"/>
            <w:gridSpan w:val="2"/>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hint="default" w:ascii="Calibri" w:hAnsi="Calibri"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7.62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40</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6</w:t>
            </w:r>
            <w:r>
              <w:rPr>
                <w:rFonts w:hint="eastAsia" w:ascii="Calibri" w:hAnsi="Calibri" w:cs="Calibri"/>
                <w:i w:val="0"/>
                <w:iCs w:val="0"/>
                <w:color w:val="000000"/>
                <w:kern w:val="0"/>
                <w:sz w:val="22"/>
                <w:szCs w:val="22"/>
                <w:highlight w:val="none"/>
                <w:u w:val="none"/>
                <w:lang w:val="en-US" w:eastAsia="zh-CN" w:bidi="ar"/>
              </w:rPr>
              <w:t>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40</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6</w:t>
            </w:r>
            <w:r>
              <w:rPr>
                <w:rFonts w:hint="eastAsia" w:ascii="Calibri" w:hAnsi="Calibri" w:cs="Calibri"/>
                <w:i w:val="0"/>
                <w:iCs w:val="0"/>
                <w:color w:val="000000"/>
                <w:kern w:val="0"/>
                <w:sz w:val="22"/>
                <w:szCs w:val="22"/>
                <w:highlight w:val="none"/>
                <w:u w:val="none"/>
                <w:lang w:val="en-US" w:eastAsia="zh-CN" w:bidi="ar"/>
              </w:rPr>
              <w:t>8</w:t>
            </w:r>
          </w:p>
        </w:tc>
        <w:tc>
          <w:tcPr>
            <w:tcW w:w="1701" w:type="dxa"/>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36</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11</w:t>
            </w:r>
          </w:p>
        </w:tc>
        <w:tc>
          <w:tcPr>
            <w:tcW w:w="1701" w:type="dxa"/>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2</w:t>
            </w:r>
          </w:p>
        </w:tc>
        <w:tc>
          <w:tcPr>
            <w:tcW w:w="1701" w:type="dxa"/>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3</w:t>
            </w:r>
            <w:r>
              <w:rPr>
                <w:rFonts w:hint="eastAsia" w:ascii="Calibri" w:hAnsi="Calibri" w:cs="Calibri"/>
                <w:i w:val="0"/>
                <w:iCs w:val="0"/>
                <w:color w:val="000000"/>
                <w:kern w:val="0"/>
                <w:sz w:val="22"/>
                <w:szCs w:val="22"/>
                <w:highlight w:val="none"/>
                <w:u w:val="none"/>
                <w:lang w:val="en-US" w:eastAsia="zh-CN" w:bidi="ar"/>
              </w:rPr>
              <w:t>5</w:t>
            </w:r>
          </w:p>
        </w:tc>
        <w:tc>
          <w:tcPr>
            <w:tcW w:w="1701" w:type="dxa"/>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highlight w:val="none"/>
                <w:u w:val="none"/>
                <w:lang w:val="en-US" w:eastAsia="zh-CN" w:bidi="ar"/>
              </w:rPr>
              <w:t>0.0</w:t>
            </w:r>
            <w:r>
              <w:rPr>
                <w:rFonts w:hint="default" w:ascii="Calibri" w:hAnsi="Calibri" w:eastAsia="宋体" w:cs="Calibri"/>
                <w:i w:val="0"/>
                <w:iCs w:val="0"/>
                <w:color w:val="000000"/>
                <w:kern w:val="0"/>
                <w:sz w:val="22"/>
                <w:szCs w:val="22"/>
                <w:highlight w:val="none"/>
                <w:u w:val="none"/>
                <w:lang w:val="en-US" w:eastAsia="zh-CN" w:bidi="ar"/>
              </w:rPr>
              <w:t>18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highlight w:val="none"/>
                <w:u w:val="none"/>
                <w:lang w:val="en-US" w:eastAsia="zh-CN" w:bidi="ar"/>
              </w:rPr>
              <w:t>0.0</w:t>
            </w:r>
            <w:r>
              <w:rPr>
                <w:rFonts w:hint="default" w:ascii="Calibri" w:hAnsi="Calibri" w:eastAsia="宋体" w:cs="Calibri"/>
                <w:i w:val="0"/>
                <w:iCs w:val="0"/>
                <w:color w:val="000000"/>
                <w:kern w:val="0"/>
                <w:sz w:val="22"/>
                <w:szCs w:val="22"/>
                <w:highlight w:val="none"/>
                <w:u w:val="none"/>
                <w:lang w:val="en-US" w:eastAsia="zh-CN" w:bidi="ar"/>
              </w:rPr>
              <w:t>18</w:t>
            </w:r>
          </w:p>
        </w:tc>
        <w:tc>
          <w:tcPr>
            <w:tcW w:w="1701" w:type="dxa"/>
            <w:tcBorders>
              <w:top w:val="nil"/>
              <w:left w:val="nil"/>
              <w:bottom w:val="single" w:color="auto" w:sz="4" w:space="0"/>
              <w:right w:val="single" w:color="auto" w:sz="4" w:space="0"/>
            </w:tcBorders>
            <w:noWrap w:val="0"/>
            <w:vAlign w:val="top"/>
          </w:tcPr>
          <w:p>
            <w:pPr>
              <w:shd w:val="clea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709</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02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634</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84</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shd w:val="clear"/>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74</w:t>
            </w:r>
            <w:r>
              <w:rPr>
                <w:rFonts w:hint="eastAsia" w:ascii="Calibri" w:hAnsi="Calibri" w:cs="Calibri"/>
                <w:i w:val="0"/>
                <w:iCs w:val="0"/>
                <w:color w:val="000000"/>
                <w:kern w:val="0"/>
                <w:sz w:val="22"/>
                <w:szCs w:val="22"/>
                <w:highlight w:val="none"/>
                <w:u w:val="none"/>
                <w:lang w:val="en-US" w:eastAsia="zh-CN" w:bidi="ar"/>
              </w:rPr>
              <w:t>.</w:t>
            </w:r>
            <w:r>
              <w:rPr>
                <w:rFonts w:hint="default" w:ascii="Calibri" w:hAnsi="Calibri" w:eastAsia="宋体" w:cs="Calibri"/>
                <w:i w:val="0"/>
                <w:iCs w:val="0"/>
                <w:color w:val="000000"/>
                <w:kern w:val="0"/>
                <w:sz w:val="22"/>
                <w:szCs w:val="22"/>
                <w:highlight w:val="none"/>
                <w:u w:val="none"/>
                <w:lang w:val="en-US" w:eastAsia="zh-CN" w:bidi="ar"/>
              </w:rPr>
              <w:t>1</w:t>
            </w:r>
            <w:r>
              <w:rPr>
                <w:rFonts w:hint="eastAsia" w:ascii="Calibri" w:hAnsi="Calibri" w:cs="Calibri"/>
                <w:i w:val="0"/>
                <w:iCs w:val="0"/>
                <w:color w:val="000000"/>
                <w:kern w:val="0"/>
                <w:sz w:val="22"/>
                <w:szCs w:val="22"/>
                <w:highlight w:val="none"/>
                <w:u w:val="none"/>
                <w:lang w:val="en-US" w:eastAsia="zh-CN" w:bidi="ar"/>
              </w:rPr>
              <w:t>8</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491" w:type="dxa"/>
        <w:tblInd w:w="-360" w:type="dxa"/>
        <w:tblLayout w:type="fixed"/>
        <w:tblCellMar>
          <w:top w:w="0" w:type="dxa"/>
          <w:left w:w="108" w:type="dxa"/>
          <w:bottom w:w="0" w:type="dxa"/>
          <w:right w:w="108" w:type="dxa"/>
        </w:tblCellMar>
      </w:tblPr>
      <w:tblGrid>
        <w:gridCol w:w="417"/>
        <w:gridCol w:w="417"/>
        <w:gridCol w:w="417"/>
        <w:gridCol w:w="684"/>
        <w:gridCol w:w="1390"/>
        <w:gridCol w:w="610"/>
        <w:gridCol w:w="370"/>
        <w:gridCol w:w="354"/>
        <w:gridCol w:w="246"/>
        <w:gridCol w:w="566"/>
        <w:gridCol w:w="450"/>
        <w:gridCol w:w="516"/>
        <w:gridCol w:w="56"/>
        <w:gridCol w:w="618"/>
        <w:gridCol w:w="720"/>
        <w:gridCol w:w="434"/>
        <w:gridCol w:w="540"/>
        <w:gridCol w:w="686"/>
      </w:tblGrid>
      <w:tr>
        <w:tblPrEx>
          <w:tblCellMar>
            <w:top w:w="0" w:type="dxa"/>
            <w:left w:w="108" w:type="dxa"/>
            <w:bottom w:w="0" w:type="dxa"/>
            <w:right w:w="108" w:type="dxa"/>
          </w:tblCellMar>
        </w:tblPrEx>
        <w:trPr>
          <w:trHeight w:val="375" w:hRule="atLeast"/>
        </w:trPr>
        <w:tc>
          <w:tcPr>
            <w:tcW w:w="9491" w:type="dxa"/>
            <w:gridSpan w:val="1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trHeight w:val="405" w:hRule="atLeast"/>
        </w:trPr>
        <w:tc>
          <w:tcPr>
            <w:tcW w:w="3325" w:type="dxa"/>
            <w:gridSpan w:val="5"/>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p>
        </w:tc>
        <w:tc>
          <w:tcPr>
            <w:tcW w:w="1334"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778" w:type="dxa"/>
            <w:gridSpan w:val="4"/>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54" w:type="dxa"/>
            <w:gridSpan w:val="6"/>
            <w:tcBorders>
              <w:top w:val="nil"/>
              <w:left w:val="nil"/>
              <w:bottom w:val="nil"/>
              <w:right w:val="nil"/>
            </w:tcBorders>
            <w:noWrap w:val="0"/>
            <w:vAlign w:val="center"/>
          </w:tcPr>
          <w:p>
            <w:pPr>
              <w:widowControl/>
              <w:shd w:val="clear"/>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3"/>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84" w:type="dxa"/>
            <w:vMerge w:val="restart"/>
            <w:noWrap w:val="0"/>
            <w:vAlign w:val="center"/>
          </w:tcPr>
          <w:p>
            <w:pPr>
              <w:widowControl/>
              <w:shd w:val="clear"/>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shd w:val="clear"/>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90" w:type="dxa"/>
            <w:vMerge w:val="restart"/>
            <w:noWrap w:val="0"/>
            <w:vAlign w:val="center"/>
          </w:tcPr>
          <w:p>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1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7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00"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6"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72"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8"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2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34"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4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86"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trPr>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84" w:type="dxa"/>
            <w:vMerge w:val="continue"/>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p>
        </w:tc>
        <w:tc>
          <w:tcPr>
            <w:tcW w:w="139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1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37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00"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566"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572"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434"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eastAsia="zh-Hans"/>
              </w:rPr>
            </w:pP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教育支出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6836.10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1890.72</w:t>
            </w: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531.91</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4407.33</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普通教育</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4992.64</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1332.4</w:t>
            </w: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531.91</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3128.33</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967.37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777.52</w:t>
            </w: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189.85</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2024年城乡义务教育补助经费（中央直达资金）（综合奖补小学家庭经济困难学生生活补助）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13.17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13.17</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2024年城乡义务教育补助经费（自治区直达资金）（小学公用经费）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54.03</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54.03</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2024年城乡义务教育补助经费（中央直达资金）（小学家庭经济困难学生生活补助）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89.53</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89.53</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2024年城乡义务教育补助经费（中央直达资金）（小学公用经费）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720.38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720.38</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2024年城乡义务教育补助经费（自治区直达资金）（小学家庭经济困难补助）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87.15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87.15</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default" w:ascii="宋体" w:hAnsi="宋体" w:eastAsia="宋体" w:cs="宋体"/>
                <w:color w:val="auto"/>
                <w:kern w:val="0"/>
                <w:sz w:val="10"/>
                <w:szCs w:val="10"/>
                <w:highlight w:val="none"/>
                <w:lang w:val="en-US" w:eastAsia="zh-CN"/>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小学教育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2024年城乡义务教育补助经费（自治区直达资金）（特教公用经费）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3.11</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3.11</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888.94</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554.88</w:t>
            </w: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334.06</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2024年城乡义务教育补助经费（自治区直达资金）（初中家庭经济困难补助）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143.94</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143.94</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2024年城乡义务教育补助经费（中央直达资金）（初中家庭经济困难学生生活补助）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165.77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165.77</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2024年城乡义务教育补助经费（中央直达资金）（综合奖补初中家庭经济困难学生生活补助）</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24.35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24.35</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2024年城乡义务教育补助经费（中央直达资金）（初中公用经费）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516.17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516.17</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03</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初中教育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2024年城乡义务教育补助经费（自治区直达资金）（初中公用经费）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38.71</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38.71</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3136.33</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3128.33</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2024年政府隐性债务支出责任（教育）2017年呼图壁县新（扩）建14所幼儿园设施设备采购合同(第二 标段   教学设施设备</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30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30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昌州财教[2023]11号-2023年城乡义务教育补助经费[第二批]中央直达资金（校舍安全）</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42.35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42.35</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2024年政府隐性债务支出责任（教育）大丰镇小学教学楼建设</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5.64</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5.64</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2024年政府隐性债务支出责任（教育）五工台小学周转房及附属工程</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18.63</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18.63</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2024年政府隐性债务支出责任（教育）31所学校消防工程</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2024年政府隐性债务支出责任（教育）石梯子、宁州户教学楼</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2024年政府隐性债务支出责任（教育）宁州户雀尔沟霍斯铁热克宁州户西沟幼儿园</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26.42</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26.42</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2024年政府隐性债务支出责任（教育）县四小300米运动场</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6.48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6.48</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2024年政府隐性债务支出责任（教育）县一小、三小食堂</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23.99</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23.99</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2024年政府隐性债务支出责任（教育）2017年呼图壁县新（扩）建14所幼儿园设施设备采购合同(第六标段 厨房设施设备)</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24.8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24.8</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2024年中央“三区”人才教师专项工作补助经费（中央资金）(三区人才经费）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8</w:t>
            </w: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2024年政府隐性债务支出责任（教育）县五中教学楼建设项目</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30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2024年政府隐性债务支出责任（教育）大丰等3所幼儿园</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25.09</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25.09</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2024年政府隐性债务支出责任（教育）县五中400米塑胶运动场</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88.16</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88.16</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2024年政府隐性债务支出责任（教育）花儿幼儿园</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2024年政府隐性债务支出责任（教育）县二小教学楼及附属工程</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20.77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20.77</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2024年政府隐性债务支出责任（教育）呼图壁县第三幼儿园、园户村双语幼儿园</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2024年政府隐性债务支出责任（教育）九所学校食堂-明信二标段</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2024年义务教育薄弱环节改善与能力提升补助资金（中央资金）（义务教育薄改资金）</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142.7</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142.7</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2024年政府隐性债务支出责任（教育）青少年实践基地</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430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430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2024年政府隐性债务支出责任（教育）九所学校食堂-广域一标段</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25</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2024年新疆西藏等地区教育特殊补助资金（中央资金）（幼儿园园舍维修资金）</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216.52</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216.52</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2024年城乡义务教育补助经费（中央直达资金）（义务段学校校舍维修改造）</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490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490</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2024年政府隐性债务支出责任（教育）教师周转宿舍</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19.48</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19.48</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02</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其他普通教育支出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2024年政府隐性债务支出责任（教育）石梯子白杨河、霍斯托别克、富源幼儿园</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35</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shd w:val="clear"/>
              <w:jc w:val="center"/>
              <w:rPr>
                <w:rFonts w:hint="eastAsia" w:ascii="宋体" w:hAnsi="宋体" w:eastAsia="宋体" w:cs="宋体"/>
                <w:color w:val="auto"/>
                <w:kern w:val="0"/>
                <w:sz w:val="10"/>
                <w:szCs w:val="10"/>
                <w:highlight w:val="none"/>
              </w:rPr>
            </w:pP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35</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07</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特殊教育</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41.46</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41.46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07</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01</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特殊学校教育</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41.46</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41.46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07</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01</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特殊学校教育</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2024年城乡义务教育补助经费（中央直达资金）（特教公用经费）</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41.46</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41.46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09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教育费附加安排的支出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1800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515</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1279</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其他教育费附加安排的支出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1800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515</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1279</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09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其他教育费附加安排的支出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（教育费附加）2024年非定额</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1800</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515</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1279</w:t>
            </w: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其他教育支出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2</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0"/>
                <w:szCs w:val="10"/>
                <w:highlight w:val="none"/>
                <w:u w:val="none"/>
                <w:lang w:val="en-US" w:eastAsia="zh-CN" w:bidi="ar"/>
              </w:rPr>
              <w:t>1.86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99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其他教育支出</w:t>
            </w:r>
          </w:p>
        </w:tc>
        <w:tc>
          <w:tcPr>
            <w:tcW w:w="1390" w:type="dxa"/>
            <w:noWrap w:val="0"/>
            <w:vAlign w:val="center"/>
          </w:tcPr>
          <w:p>
            <w:pPr>
              <w:shd w:val="clear"/>
              <w:jc w:val="left"/>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2</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1.86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205</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lang w:val="en-US" w:eastAsia="zh-CN"/>
              </w:rPr>
              <w:t>99</w:t>
            </w: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lang w:val="en-US" w:eastAsia="zh-CN"/>
              </w:rPr>
            </w:pPr>
            <w:r>
              <w:rPr>
                <w:rFonts w:hint="eastAsia" w:ascii="宋体" w:hAnsi="宋体" w:eastAsia="宋体" w:cs="宋体"/>
                <w:color w:val="auto"/>
                <w:kern w:val="0"/>
                <w:sz w:val="10"/>
                <w:szCs w:val="10"/>
                <w:highlight w:val="none"/>
                <w:lang w:val="en-US" w:eastAsia="zh-CN"/>
              </w:rPr>
              <w:t>99</w:t>
            </w: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r>
              <w:rPr>
                <w:rFonts w:hint="eastAsia" w:ascii="宋体" w:hAnsi="宋体" w:eastAsia="宋体" w:cs="宋体"/>
                <w:i w:val="0"/>
                <w:iCs w:val="0"/>
                <w:color w:val="000000"/>
                <w:kern w:val="0"/>
                <w:sz w:val="10"/>
                <w:szCs w:val="10"/>
                <w:highlight w:val="none"/>
                <w:u w:val="none"/>
                <w:lang w:val="en-US" w:eastAsia="zh-CN" w:bidi="ar"/>
              </w:rPr>
              <w:t>其他教育支出</w:t>
            </w:r>
          </w:p>
        </w:tc>
        <w:tc>
          <w:tcPr>
            <w:tcW w:w="1390"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rPr>
            </w:pPr>
            <w:r>
              <w:rPr>
                <w:rFonts w:hint="eastAsia" w:ascii="宋体" w:hAnsi="宋体" w:eastAsia="宋体" w:cs="宋体"/>
                <w:i w:val="0"/>
                <w:iCs w:val="0"/>
                <w:color w:val="000000"/>
                <w:kern w:val="0"/>
                <w:sz w:val="12"/>
                <w:szCs w:val="12"/>
                <w:highlight w:val="none"/>
                <w:u w:val="none"/>
                <w:lang w:val="en-US" w:eastAsia="zh-CN" w:bidi="ar"/>
              </w:rPr>
              <w:t>（国家通用语言文字工作经费）2024年非定额</w:t>
            </w: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2</w:t>
            </w: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1.86</w:t>
            </w:r>
          </w:p>
        </w:tc>
        <w:tc>
          <w:tcPr>
            <w:tcW w:w="566" w:type="dxa"/>
            <w:noWrap w:val="0"/>
            <w:vAlign w:val="center"/>
          </w:tcPr>
          <w:p>
            <w:pPr>
              <w:shd w:val="clear"/>
              <w:jc w:val="center"/>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shd w:val="clear"/>
              <w:jc w:val="center"/>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lang w:val="en-US"/>
              </w:rPr>
            </w:pPr>
            <w:r>
              <w:rPr>
                <w:rFonts w:hint="eastAsia" w:ascii="宋体" w:hAnsi="宋体" w:eastAsia="宋体" w:cs="宋体"/>
                <w:i w:val="0"/>
                <w:iCs w:val="0"/>
                <w:color w:val="000000"/>
                <w:kern w:val="0"/>
                <w:sz w:val="10"/>
                <w:szCs w:val="10"/>
                <w:highlight w:val="none"/>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417"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c>
          <w:tcPr>
            <w:tcW w:w="684" w:type="dxa"/>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kern w:val="0"/>
                <w:sz w:val="10"/>
                <w:szCs w:val="10"/>
                <w:highlight w:val="none"/>
                <w:u w:val="none"/>
                <w:lang w:val="en-US" w:eastAsia="zh-CN" w:bidi="ar"/>
              </w:rPr>
            </w:pPr>
          </w:p>
        </w:tc>
        <w:tc>
          <w:tcPr>
            <w:tcW w:w="139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0"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p>
        </w:tc>
        <w:tc>
          <w:tcPr>
            <w:tcW w:w="370" w:type="dxa"/>
            <w:noWrap w:val="0"/>
            <w:vAlign w:val="center"/>
          </w:tcPr>
          <w:p>
            <w:pPr>
              <w:shd w:val="clear"/>
              <w:jc w:val="center"/>
              <w:rPr>
                <w:rFonts w:hint="eastAsia" w:ascii="宋体" w:hAnsi="宋体" w:eastAsia="宋体" w:cs="宋体"/>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p>
        </w:tc>
        <w:tc>
          <w:tcPr>
            <w:tcW w:w="566"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p>
        </w:tc>
        <w:tc>
          <w:tcPr>
            <w:tcW w:w="45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72" w:type="dxa"/>
            <w:gridSpan w:val="2"/>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hint="eastAsia" w:ascii="宋体" w:hAnsi="宋体" w:eastAsia="宋体" w:cs="宋体"/>
                <w:color w:val="auto"/>
                <w:kern w:val="0"/>
                <w:sz w:val="10"/>
                <w:szCs w:val="10"/>
                <w:highlight w:val="none"/>
              </w:rPr>
            </w:pPr>
          </w:p>
        </w:tc>
        <w:tc>
          <w:tcPr>
            <w:tcW w:w="72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434"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540" w:type="dxa"/>
            <w:noWrap w:val="0"/>
            <w:vAlign w:val="top"/>
          </w:tcPr>
          <w:p>
            <w:pPr>
              <w:widowControl/>
              <w:shd w:val="clear"/>
              <w:jc w:val="left"/>
              <w:outlineLvl w:val="1"/>
              <w:rPr>
                <w:rFonts w:hint="eastAsia" w:ascii="宋体" w:hAnsi="宋体" w:eastAsia="宋体" w:cs="宋体"/>
                <w:color w:val="auto"/>
                <w:kern w:val="0"/>
                <w:sz w:val="10"/>
                <w:szCs w:val="10"/>
                <w:highlight w:val="none"/>
              </w:rPr>
            </w:pPr>
          </w:p>
        </w:tc>
        <w:tc>
          <w:tcPr>
            <w:tcW w:w="686" w:type="dxa"/>
            <w:noWrap w:val="0"/>
            <w:vAlign w:val="center"/>
          </w:tcPr>
          <w:p>
            <w:pPr>
              <w:widowControl/>
              <w:shd w:val="clear"/>
              <w:jc w:val="center"/>
              <w:outlineLvl w:val="1"/>
              <w:rPr>
                <w:rFonts w:hint="eastAsia" w:ascii="宋体" w:hAnsi="宋体" w:eastAsia="宋体" w:cs="宋体"/>
                <w:color w:val="auto"/>
                <w:kern w:val="0"/>
                <w:sz w:val="10"/>
                <w:szCs w:val="1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noWrap w:val="0"/>
            <w:vAlign w:val="center"/>
          </w:tcPr>
          <w:p>
            <w:pPr>
              <w:widowControl/>
              <w:shd w:val="clear"/>
              <w:jc w:val="center"/>
              <w:outlineLvl w:val="1"/>
              <w:rPr>
                <w:rFonts w:ascii="仿宋_GB2312" w:hAnsi="宋体" w:eastAsia="仿宋_GB2312"/>
                <w:color w:val="auto"/>
                <w:kern w:val="0"/>
                <w:sz w:val="15"/>
                <w:szCs w:val="15"/>
                <w:highlight w:val="none"/>
              </w:rPr>
            </w:pPr>
          </w:p>
        </w:tc>
        <w:tc>
          <w:tcPr>
            <w:tcW w:w="417" w:type="dxa"/>
            <w:noWrap w:val="0"/>
            <w:vAlign w:val="center"/>
          </w:tcPr>
          <w:p>
            <w:pPr>
              <w:widowControl/>
              <w:shd w:val="clear"/>
              <w:jc w:val="center"/>
              <w:outlineLvl w:val="1"/>
              <w:rPr>
                <w:rFonts w:ascii="仿宋_GB2312" w:hAnsi="宋体" w:eastAsia="仿宋_GB2312"/>
                <w:color w:val="auto"/>
                <w:kern w:val="0"/>
                <w:sz w:val="15"/>
                <w:szCs w:val="15"/>
                <w:highlight w:val="none"/>
              </w:rPr>
            </w:pPr>
          </w:p>
        </w:tc>
        <w:tc>
          <w:tcPr>
            <w:tcW w:w="417" w:type="dxa"/>
            <w:noWrap w:val="0"/>
            <w:vAlign w:val="center"/>
          </w:tcPr>
          <w:p>
            <w:pPr>
              <w:widowControl/>
              <w:shd w:val="clear"/>
              <w:jc w:val="center"/>
              <w:outlineLvl w:val="1"/>
              <w:rPr>
                <w:rFonts w:ascii="仿宋_GB2312" w:hAnsi="宋体" w:eastAsia="仿宋_GB2312"/>
                <w:color w:val="auto"/>
                <w:kern w:val="0"/>
                <w:sz w:val="15"/>
                <w:szCs w:val="15"/>
                <w:highlight w:val="none"/>
              </w:rPr>
            </w:pPr>
          </w:p>
        </w:tc>
        <w:tc>
          <w:tcPr>
            <w:tcW w:w="684" w:type="dxa"/>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center"/>
          </w:tcPr>
          <w:p>
            <w:pPr>
              <w:widowControl/>
              <w:shd w:val="clear"/>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10" w:type="dxa"/>
            <w:noWrap w:val="0"/>
            <w:vAlign w:val="center"/>
          </w:tcPr>
          <w:p>
            <w:pPr>
              <w:keepNext w:val="0"/>
              <w:keepLines w:val="0"/>
              <w:widowControl/>
              <w:suppressLineNumbers w:val="0"/>
              <w:shd w:val="clear"/>
              <w:jc w:val="center"/>
              <w:textAlignment w:val="top"/>
              <w:rPr>
                <w:rFonts w:hint="default" w:ascii="仿宋_GB2312" w:hAnsi="宋体" w:eastAsia="仿宋_GB2312"/>
                <w:color w:val="auto"/>
                <w:kern w:val="0"/>
                <w:sz w:val="10"/>
                <w:szCs w:val="10"/>
                <w:highlight w:val="none"/>
                <w:lang w:val="en-US"/>
              </w:rPr>
            </w:pPr>
            <w:r>
              <w:rPr>
                <w:rFonts w:hint="default" w:ascii="Calibri" w:hAnsi="Calibri" w:eastAsia="宋体" w:cs="Calibri"/>
                <w:i w:val="0"/>
                <w:iCs w:val="0"/>
                <w:color w:val="000000"/>
                <w:kern w:val="0"/>
                <w:sz w:val="10"/>
                <w:szCs w:val="10"/>
                <w:highlight w:val="none"/>
                <w:u w:val="none"/>
                <w:lang w:val="en-US" w:eastAsia="zh-CN" w:bidi="ar"/>
              </w:rPr>
              <w:t>6836</w:t>
            </w:r>
            <w:r>
              <w:rPr>
                <w:rFonts w:hint="eastAsia" w:ascii="Calibri" w:hAnsi="Calibri" w:cs="Calibri"/>
                <w:i w:val="0"/>
                <w:iCs w:val="0"/>
                <w:color w:val="000000"/>
                <w:kern w:val="0"/>
                <w:sz w:val="10"/>
                <w:szCs w:val="10"/>
                <w:highlight w:val="none"/>
                <w:u w:val="none"/>
                <w:lang w:val="en-US" w:eastAsia="zh-CN" w:bidi="ar"/>
              </w:rPr>
              <w:t>.10</w:t>
            </w:r>
          </w:p>
        </w:tc>
        <w:tc>
          <w:tcPr>
            <w:tcW w:w="370" w:type="dxa"/>
            <w:noWrap w:val="0"/>
            <w:vAlign w:val="center"/>
          </w:tcPr>
          <w:p>
            <w:pPr>
              <w:shd w:val="clear"/>
              <w:jc w:val="center"/>
              <w:rPr>
                <w:rFonts w:ascii="仿宋_GB2312" w:hAnsi="宋体" w:eastAsia="仿宋_GB2312"/>
                <w:color w:val="auto"/>
                <w:kern w:val="0"/>
                <w:sz w:val="10"/>
                <w:szCs w:val="10"/>
                <w:highlight w:val="none"/>
              </w:rPr>
            </w:pPr>
          </w:p>
        </w:tc>
        <w:tc>
          <w:tcPr>
            <w:tcW w:w="600" w:type="dxa"/>
            <w:gridSpan w:val="2"/>
            <w:noWrap w:val="0"/>
            <w:vAlign w:val="center"/>
          </w:tcPr>
          <w:p>
            <w:pPr>
              <w:keepNext w:val="0"/>
              <w:keepLines w:val="0"/>
              <w:widowControl/>
              <w:suppressLineNumbers w:val="0"/>
              <w:shd w:val="clear"/>
              <w:jc w:val="center"/>
              <w:textAlignment w:val="top"/>
              <w:rPr>
                <w:rFonts w:ascii="仿宋_GB2312" w:hAnsi="宋体" w:eastAsia="仿宋_GB2312"/>
                <w:color w:val="auto"/>
                <w:kern w:val="0"/>
                <w:sz w:val="10"/>
                <w:szCs w:val="10"/>
                <w:highlight w:val="none"/>
              </w:rPr>
            </w:pPr>
            <w:r>
              <w:rPr>
                <w:rFonts w:hint="default" w:ascii="Calibri" w:hAnsi="Calibri" w:eastAsia="宋体" w:cs="Calibri"/>
                <w:i w:val="0"/>
                <w:iCs w:val="0"/>
                <w:color w:val="000000"/>
                <w:kern w:val="0"/>
                <w:sz w:val="10"/>
                <w:szCs w:val="10"/>
                <w:highlight w:val="none"/>
                <w:u w:val="none"/>
                <w:lang w:val="en-US" w:eastAsia="zh-CN" w:bidi="ar"/>
              </w:rPr>
              <w:t>1890</w:t>
            </w:r>
            <w:r>
              <w:rPr>
                <w:rFonts w:hint="eastAsia" w:ascii="Calibri" w:hAnsi="Calibri" w:cs="Calibri"/>
                <w:i w:val="0"/>
                <w:iCs w:val="0"/>
                <w:color w:val="000000"/>
                <w:kern w:val="0"/>
                <w:sz w:val="10"/>
                <w:szCs w:val="10"/>
                <w:highlight w:val="none"/>
                <w:u w:val="none"/>
                <w:lang w:val="en-US" w:eastAsia="zh-CN" w:bidi="ar"/>
              </w:rPr>
              <w:t>.</w:t>
            </w:r>
            <w:r>
              <w:rPr>
                <w:rFonts w:hint="default" w:ascii="Calibri" w:hAnsi="Calibri" w:eastAsia="宋体" w:cs="Calibri"/>
                <w:i w:val="0"/>
                <w:iCs w:val="0"/>
                <w:color w:val="000000"/>
                <w:kern w:val="0"/>
                <w:sz w:val="10"/>
                <w:szCs w:val="10"/>
                <w:highlight w:val="none"/>
                <w:u w:val="none"/>
                <w:lang w:val="en-US" w:eastAsia="zh-CN" w:bidi="ar"/>
              </w:rPr>
              <w:t>72</w:t>
            </w:r>
          </w:p>
        </w:tc>
        <w:tc>
          <w:tcPr>
            <w:tcW w:w="566" w:type="dxa"/>
            <w:noWrap w:val="0"/>
            <w:vAlign w:val="center"/>
          </w:tcPr>
          <w:p>
            <w:pPr>
              <w:keepNext w:val="0"/>
              <w:keepLines w:val="0"/>
              <w:widowControl/>
              <w:suppressLineNumbers w:val="0"/>
              <w:shd w:val="clear"/>
              <w:jc w:val="center"/>
              <w:textAlignment w:val="top"/>
              <w:rPr>
                <w:rFonts w:ascii="仿宋_GB2312" w:hAnsi="宋体" w:eastAsia="仿宋_GB2312"/>
                <w:color w:val="auto"/>
                <w:kern w:val="0"/>
                <w:sz w:val="10"/>
                <w:szCs w:val="10"/>
                <w:highlight w:val="none"/>
              </w:rPr>
            </w:pPr>
            <w:r>
              <w:rPr>
                <w:rFonts w:hint="default" w:ascii="Calibri" w:hAnsi="Calibri" w:eastAsia="宋体" w:cs="Calibri"/>
                <w:i w:val="0"/>
                <w:iCs w:val="0"/>
                <w:color w:val="000000"/>
                <w:kern w:val="0"/>
                <w:sz w:val="10"/>
                <w:szCs w:val="10"/>
                <w:highlight w:val="none"/>
                <w:u w:val="none"/>
                <w:lang w:val="en-US" w:eastAsia="zh-CN" w:bidi="ar"/>
              </w:rPr>
              <w:t>531</w:t>
            </w:r>
            <w:r>
              <w:rPr>
                <w:rFonts w:hint="eastAsia" w:ascii="Calibri" w:hAnsi="Calibri" w:cs="Calibri"/>
                <w:i w:val="0"/>
                <w:iCs w:val="0"/>
                <w:color w:val="000000"/>
                <w:kern w:val="0"/>
                <w:sz w:val="10"/>
                <w:szCs w:val="10"/>
                <w:highlight w:val="none"/>
                <w:u w:val="none"/>
                <w:lang w:val="en-US" w:eastAsia="zh-CN" w:bidi="ar"/>
              </w:rPr>
              <w:t>.</w:t>
            </w:r>
            <w:r>
              <w:rPr>
                <w:rFonts w:hint="default" w:ascii="Calibri" w:hAnsi="Calibri" w:eastAsia="宋体" w:cs="Calibri"/>
                <w:i w:val="0"/>
                <w:iCs w:val="0"/>
                <w:color w:val="000000"/>
                <w:kern w:val="0"/>
                <w:sz w:val="10"/>
                <w:szCs w:val="10"/>
                <w:highlight w:val="none"/>
                <w:u w:val="none"/>
                <w:lang w:val="en-US" w:eastAsia="zh-CN" w:bidi="ar"/>
              </w:rPr>
              <w:t>91</w:t>
            </w:r>
          </w:p>
        </w:tc>
        <w:tc>
          <w:tcPr>
            <w:tcW w:w="450" w:type="dxa"/>
            <w:noWrap w:val="0"/>
            <w:vAlign w:val="center"/>
          </w:tcPr>
          <w:p>
            <w:pPr>
              <w:widowControl/>
              <w:shd w:val="clear"/>
              <w:jc w:val="center"/>
              <w:outlineLvl w:val="1"/>
              <w:rPr>
                <w:rFonts w:ascii="仿宋_GB2312" w:hAnsi="宋体" w:eastAsia="仿宋_GB2312"/>
                <w:color w:val="auto"/>
                <w:kern w:val="0"/>
                <w:sz w:val="10"/>
                <w:szCs w:val="10"/>
                <w:highlight w:val="none"/>
              </w:rPr>
            </w:pPr>
          </w:p>
        </w:tc>
        <w:tc>
          <w:tcPr>
            <w:tcW w:w="572" w:type="dxa"/>
            <w:gridSpan w:val="2"/>
            <w:noWrap w:val="0"/>
            <w:vAlign w:val="center"/>
          </w:tcPr>
          <w:p>
            <w:pPr>
              <w:widowControl/>
              <w:shd w:val="clear"/>
              <w:jc w:val="center"/>
              <w:outlineLvl w:val="1"/>
              <w:rPr>
                <w:rFonts w:ascii="仿宋_GB2312" w:hAnsi="宋体" w:eastAsia="仿宋_GB2312"/>
                <w:color w:val="auto"/>
                <w:kern w:val="0"/>
                <w:sz w:val="10"/>
                <w:szCs w:val="10"/>
                <w:highlight w:val="none"/>
              </w:rPr>
            </w:pPr>
          </w:p>
        </w:tc>
        <w:tc>
          <w:tcPr>
            <w:tcW w:w="618" w:type="dxa"/>
            <w:noWrap w:val="0"/>
            <w:vAlign w:val="center"/>
          </w:tcPr>
          <w:p>
            <w:pPr>
              <w:keepNext w:val="0"/>
              <w:keepLines w:val="0"/>
              <w:widowControl/>
              <w:suppressLineNumbers w:val="0"/>
              <w:shd w:val="clear"/>
              <w:jc w:val="center"/>
              <w:textAlignment w:val="top"/>
              <w:rPr>
                <w:rFonts w:ascii="Calibri" w:hAnsi="Calibri" w:eastAsia="宋体" w:cs="Calibri"/>
                <w:i w:val="0"/>
                <w:iCs w:val="0"/>
                <w:color w:val="000000"/>
                <w:kern w:val="2"/>
                <w:sz w:val="10"/>
                <w:szCs w:val="10"/>
                <w:highlight w:val="none"/>
                <w:u w:val="none"/>
                <w:lang w:val="en-US" w:eastAsia="zh-CN" w:bidi="ar-SA"/>
              </w:rPr>
            </w:pPr>
            <w:r>
              <w:rPr>
                <w:rFonts w:hint="default" w:ascii="Calibri" w:hAnsi="Calibri" w:eastAsia="宋体" w:cs="Calibri"/>
                <w:i w:val="0"/>
                <w:iCs w:val="0"/>
                <w:color w:val="000000"/>
                <w:kern w:val="0"/>
                <w:sz w:val="10"/>
                <w:szCs w:val="10"/>
                <w:highlight w:val="none"/>
                <w:u w:val="none"/>
                <w:lang w:val="en-US" w:eastAsia="zh-CN" w:bidi="ar"/>
              </w:rPr>
              <w:t>4407</w:t>
            </w:r>
            <w:r>
              <w:rPr>
                <w:rFonts w:hint="eastAsia" w:ascii="Calibri" w:hAnsi="Calibri" w:cs="Calibri"/>
                <w:i w:val="0"/>
                <w:iCs w:val="0"/>
                <w:color w:val="000000"/>
                <w:kern w:val="0"/>
                <w:sz w:val="10"/>
                <w:szCs w:val="10"/>
                <w:highlight w:val="none"/>
                <w:u w:val="none"/>
                <w:lang w:val="en-US" w:eastAsia="zh-CN" w:bidi="ar"/>
              </w:rPr>
              <w:t>.</w:t>
            </w:r>
            <w:r>
              <w:rPr>
                <w:rFonts w:hint="default" w:ascii="Calibri" w:hAnsi="Calibri" w:eastAsia="宋体" w:cs="Calibri"/>
                <w:i w:val="0"/>
                <w:iCs w:val="0"/>
                <w:color w:val="000000"/>
                <w:kern w:val="0"/>
                <w:sz w:val="10"/>
                <w:szCs w:val="10"/>
                <w:highlight w:val="none"/>
                <w:u w:val="none"/>
                <w:lang w:val="en-US" w:eastAsia="zh-CN" w:bidi="ar"/>
              </w:rPr>
              <w:t>3</w:t>
            </w:r>
            <w:r>
              <w:rPr>
                <w:rFonts w:hint="eastAsia" w:ascii="Calibri" w:hAnsi="Calibri" w:cs="Calibri"/>
                <w:i w:val="0"/>
                <w:iCs w:val="0"/>
                <w:color w:val="000000"/>
                <w:kern w:val="0"/>
                <w:sz w:val="10"/>
                <w:szCs w:val="10"/>
                <w:highlight w:val="none"/>
                <w:u w:val="none"/>
                <w:lang w:val="en-US" w:eastAsia="zh-CN" w:bidi="ar"/>
              </w:rPr>
              <w:t>3</w:t>
            </w:r>
          </w:p>
        </w:tc>
        <w:tc>
          <w:tcPr>
            <w:tcW w:w="720" w:type="dxa"/>
            <w:noWrap w:val="0"/>
            <w:vAlign w:val="center"/>
          </w:tcPr>
          <w:p>
            <w:pPr>
              <w:widowControl/>
              <w:shd w:val="clear"/>
              <w:jc w:val="center"/>
              <w:outlineLvl w:val="1"/>
              <w:rPr>
                <w:rFonts w:ascii="仿宋_GB2312" w:hAnsi="宋体" w:eastAsia="仿宋_GB2312"/>
                <w:color w:val="auto"/>
                <w:kern w:val="0"/>
                <w:sz w:val="10"/>
                <w:szCs w:val="10"/>
                <w:highlight w:val="none"/>
              </w:rPr>
            </w:pPr>
          </w:p>
        </w:tc>
        <w:tc>
          <w:tcPr>
            <w:tcW w:w="434" w:type="dxa"/>
            <w:noWrap w:val="0"/>
            <w:vAlign w:val="center"/>
          </w:tcPr>
          <w:p>
            <w:pPr>
              <w:widowControl/>
              <w:shd w:val="clear"/>
              <w:jc w:val="center"/>
              <w:outlineLvl w:val="1"/>
              <w:rPr>
                <w:rFonts w:ascii="仿宋_GB2312" w:hAnsi="宋体" w:eastAsia="仿宋_GB2312"/>
                <w:color w:val="auto"/>
                <w:kern w:val="0"/>
                <w:sz w:val="10"/>
                <w:szCs w:val="10"/>
                <w:highlight w:val="none"/>
              </w:rPr>
            </w:pPr>
          </w:p>
        </w:tc>
        <w:tc>
          <w:tcPr>
            <w:tcW w:w="540" w:type="dxa"/>
            <w:noWrap w:val="0"/>
            <w:vAlign w:val="center"/>
          </w:tcPr>
          <w:p>
            <w:pPr>
              <w:widowControl/>
              <w:shd w:val="clear"/>
              <w:jc w:val="center"/>
              <w:outlineLvl w:val="1"/>
              <w:rPr>
                <w:rFonts w:ascii="仿宋_GB2312" w:hAnsi="宋体" w:eastAsia="仿宋_GB2312"/>
                <w:color w:val="auto"/>
                <w:kern w:val="0"/>
                <w:sz w:val="10"/>
                <w:szCs w:val="10"/>
                <w:highlight w:val="none"/>
              </w:rPr>
            </w:pPr>
          </w:p>
        </w:tc>
        <w:tc>
          <w:tcPr>
            <w:tcW w:w="686" w:type="dxa"/>
            <w:noWrap w:val="0"/>
            <w:vAlign w:val="center"/>
          </w:tcPr>
          <w:p>
            <w:pPr>
              <w:keepNext w:val="0"/>
              <w:keepLines w:val="0"/>
              <w:widowControl/>
              <w:suppressLineNumbers w:val="0"/>
              <w:shd w:val="clear"/>
              <w:jc w:val="center"/>
              <w:textAlignment w:val="top"/>
              <w:rPr>
                <w:rFonts w:hint="default" w:ascii="Calibri" w:hAnsi="Calibri" w:eastAsia="宋体" w:cs="Calibri"/>
                <w:i w:val="0"/>
                <w:iCs w:val="0"/>
                <w:color w:val="000000"/>
                <w:kern w:val="2"/>
                <w:sz w:val="10"/>
                <w:szCs w:val="10"/>
                <w:highlight w:val="none"/>
                <w:u w:val="none"/>
                <w:lang w:val="en-US" w:eastAsia="zh-CN" w:bidi="ar-SA"/>
              </w:rPr>
            </w:pPr>
            <w:r>
              <w:rPr>
                <w:rFonts w:hint="eastAsia" w:ascii="Calibri" w:hAnsi="Calibri" w:cs="Calibri"/>
                <w:i w:val="0"/>
                <w:iCs w:val="0"/>
                <w:color w:val="000000"/>
                <w:kern w:val="0"/>
                <w:sz w:val="10"/>
                <w:szCs w:val="10"/>
                <w:highlight w:val="none"/>
                <w:u w:val="none"/>
                <w:lang w:val="en-US" w:eastAsia="zh-CN" w:bidi="ar"/>
              </w:rPr>
              <w:t>6.14</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hd w:val="clear"/>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212</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2357" w:type="dxa"/>
            <w:tcBorders>
              <w:top w:val="single" w:color="auto" w:sz="4" w:space="0"/>
              <w:left w:val="nil"/>
              <w:bottom w:val="single" w:color="auto" w:sz="4" w:space="0"/>
              <w:right w:val="single" w:color="auto" w:sz="4" w:space="0"/>
            </w:tcBorders>
            <w:noWrap w:val="0"/>
            <w:vAlign w:val="top"/>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城乡社区支出</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宋体" w:eastAsia="仿宋_GB2312" w:cs="宋体"/>
                <w:b w:val="0"/>
                <w:bCs w:val="0"/>
                <w:color w:val="auto"/>
                <w:kern w:val="0"/>
                <w:sz w:val="20"/>
                <w:szCs w:val="20"/>
                <w:highlight w:val="none"/>
                <w:lang w:val="en-US" w:eastAsia="zh-CN"/>
              </w:rPr>
              <w:t>2339.36</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bCs/>
                <w:color w:val="auto"/>
                <w:kern w:val="0"/>
                <w:sz w:val="32"/>
                <w:szCs w:val="32"/>
                <w:highlight w:val="none"/>
                <w:lang w:val="en-US"/>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bCs/>
                <w:color w:val="auto"/>
                <w:kern w:val="0"/>
                <w:sz w:val="32"/>
                <w:szCs w:val="32"/>
                <w:highlight w:val="none"/>
                <w:lang w:val="en-US"/>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2339.36</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357" w:type="dxa"/>
            <w:tcBorders>
              <w:top w:val="nil"/>
              <w:left w:val="nil"/>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val="0"/>
                <w:bCs w:val="0"/>
                <w:color w:val="auto"/>
                <w:kern w:val="0"/>
                <w:sz w:val="20"/>
                <w:szCs w:val="20"/>
                <w:highlight w:val="none"/>
                <w:lang w:val="en-US" w:eastAsia="zh-CN"/>
              </w:rPr>
              <w:t>2339.36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2339.36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99　</w:t>
            </w:r>
          </w:p>
        </w:tc>
        <w:tc>
          <w:tcPr>
            <w:tcW w:w="2357" w:type="dxa"/>
            <w:tcBorders>
              <w:top w:val="nil"/>
              <w:left w:val="nil"/>
              <w:bottom w:val="single" w:color="auto" w:sz="4" w:space="0"/>
              <w:right w:val="single" w:color="auto" w:sz="4" w:space="0"/>
            </w:tcBorders>
            <w:noWrap w:val="0"/>
            <w:vAlign w:val="top"/>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val="0"/>
                <w:bCs w:val="0"/>
                <w:color w:val="auto"/>
                <w:kern w:val="0"/>
                <w:sz w:val="20"/>
                <w:szCs w:val="20"/>
                <w:highlight w:val="none"/>
                <w:lang w:val="en-US" w:eastAsia="zh-CN"/>
              </w:rPr>
              <w:t>2339.36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2339.36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val="0"/>
                <w:bCs w:val="0"/>
                <w:color w:val="auto"/>
                <w:kern w:val="0"/>
                <w:sz w:val="20"/>
                <w:szCs w:val="20"/>
                <w:highlight w:val="none"/>
                <w:lang w:val="en-US" w:eastAsia="zh-CN"/>
              </w:rPr>
              <w:t>2339.36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val="0"/>
                <w:bCs w:val="0"/>
                <w:color w:val="auto"/>
                <w:kern w:val="0"/>
                <w:sz w:val="20"/>
                <w:szCs w:val="20"/>
                <w:highlight w:val="none"/>
                <w:lang w:val="en-US" w:eastAsia="zh-CN"/>
              </w:rPr>
              <w:t>2339.36　</w:t>
            </w:r>
          </w:p>
        </w:tc>
      </w:tr>
    </w:tbl>
    <w:p>
      <w:pPr>
        <w:widowControl/>
        <w:shd w:val="clear"/>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hd w:val="clear"/>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hint="eastAsia" w:ascii="仿宋_GB2312" w:hAnsi="宋体" w:eastAsia="仿宋_GB2312"/>
          <w:b/>
          <w:color w:val="auto"/>
          <w:kern w:val="0"/>
          <w:sz w:val="28"/>
          <w:szCs w:val="32"/>
          <w:highlight w:val="none"/>
          <w:lang w:eastAsia="zh-CN"/>
        </w:rPr>
      </w:pPr>
    </w:p>
    <w:p>
      <w:pPr>
        <w:widowControl/>
        <w:shd w:val="clear"/>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本单位2024年没有国有资本经营预算支出，此表为</w:t>
      </w:r>
      <w:r>
        <w:rPr>
          <w:rFonts w:hint="eastAsia" w:ascii="仿宋_GB2312" w:hAnsi="宋体" w:eastAsia="仿宋_GB2312"/>
          <w:b/>
          <w:color w:val="auto"/>
          <w:kern w:val="0"/>
          <w:sz w:val="28"/>
          <w:szCs w:val="32"/>
          <w:highlight w:val="none"/>
        </w:rPr>
        <w:t>空表。</w:t>
      </w: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shd w:val="clear"/>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呼图壁县教育局</w:t>
      </w:r>
      <w:r>
        <w:rPr>
          <w:rFonts w:hint="eastAsia" w:ascii="仿宋_GB2312" w:hAnsi="宋体" w:eastAsia="仿宋_GB2312"/>
          <w:color w:val="auto"/>
          <w:kern w:val="0"/>
          <w:sz w:val="24"/>
          <w:highlight w:val="none"/>
        </w:rPr>
        <w:t xml:space="preserve">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bl>
    <w:p>
      <w:pPr>
        <w:widowControl/>
        <w:shd w:val="clea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宋体"/>
          <w:color w:val="auto"/>
          <w:kern w:val="0"/>
          <w:sz w:val="32"/>
          <w:szCs w:val="32"/>
          <w:highlight w:val="none"/>
          <w:lang w:val="en-US" w:eastAsia="zh-CN"/>
        </w:rPr>
        <w:t>在做2024年预算时</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错列到办公费里，导致本年预算</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0万元，因此此表为空表</w:t>
      </w:r>
      <w:r>
        <w:rPr>
          <w:rFonts w:hint="eastAsia" w:ascii="仿宋_GB2312" w:hAnsi="宋体" w:eastAsia="仿宋_GB2312"/>
          <w:b/>
          <w:color w:val="auto"/>
          <w:kern w:val="0"/>
          <w:sz w:val="28"/>
          <w:szCs w:val="32"/>
          <w:highlight w:val="none"/>
        </w:rPr>
        <w:t>。</w:t>
      </w: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hd w:val="clea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shd w:val="clear"/>
              <w:jc w:val="left"/>
              <w:textAlignment w:val="center"/>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i w:val="0"/>
                <w:iCs w:val="0"/>
                <w:color w:val="000000"/>
                <w:kern w:val="0"/>
                <w:sz w:val="12"/>
                <w:szCs w:val="12"/>
                <w:highlight w:val="none"/>
                <w:u w:val="none"/>
                <w:lang w:val="en-US" w:eastAsia="zh-CN" w:bidi="ar"/>
              </w:rPr>
              <w:t>202</w:t>
            </w:r>
            <w:r>
              <w:rPr>
                <w:rFonts w:hint="eastAsia" w:ascii="宋体" w:hAnsi="宋体" w:cs="宋体"/>
                <w:i w:val="0"/>
                <w:iCs w:val="0"/>
                <w:color w:val="000000"/>
                <w:kern w:val="0"/>
                <w:sz w:val="12"/>
                <w:szCs w:val="12"/>
                <w:highlight w:val="none"/>
                <w:u w:val="none"/>
                <w:lang w:val="en-US" w:eastAsia="zh-CN" w:bidi="ar"/>
              </w:rPr>
              <w:t>3</w:t>
            </w:r>
            <w:r>
              <w:rPr>
                <w:rFonts w:hint="eastAsia" w:ascii="宋体" w:hAnsi="宋体" w:eastAsia="宋体" w:cs="宋体"/>
                <w:i w:val="0"/>
                <w:iCs w:val="0"/>
                <w:color w:val="000000"/>
                <w:kern w:val="0"/>
                <w:sz w:val="12"/>
                <w:szCs w:val="12"/>
                <w:highlight w:val="none"/>
                <w:u w:val="none"/>
                <w:lang w:val="en-US" w:eastAsia="zh-CN" w:bidi="ar"/>
              </w:rPr>
              <w:t>年城乡义务教育补助经费（中央直达资金）（义务段学校校舍维修改造）</w:t>
            </w:r>
          </w:p>
        </w:tc>
        <w:tc>
          <w:tcPr>
            <w:tcW w:w="850" w:type="dxa"/>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42.35</w:t>
            </w:r>
          </w:p>
        </w:tc>
        <w:tc>
          <w:tcPr>
            <w:tcW w:w="1054" w:type="dxa"/>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42.35</w:t>
            </w:r>
          </w:p>
        </w:tc>
        <w:tc>
          <w:tcPr>
            <w:tcW w:w="89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hd w:val="clear"/>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42.35</w:t>
            </w:r>
          </w:p>
        </w:tc>
        <w:tc>
          <w:tcPr>
            <w:tcW w:w="79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20"/>
                <w:szCs w:val="20"/>
                <w:highlight w:val="none"/>
              </w:rPr>
            </w:pPr>
          </w:p>
        </w:tc>
      </w:tr>
    </w:tbl>
    <w:p>
      <w:pPr>
        <w:widowControl/>
        <w:shd w:val="clear"/>
        <w:spacing w:line="280" w:lineRule="exact"/>
        <w:jc w:val="left"/>
        <w:outlineLvl w:val="1"/>
        <w:rPr>
          <w:rFonts w:ascii="仿宋_GB2312" w:hAnsi="宋体" w:eastAsia="仿宋_GB2312"/>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呼图壁县教育局</w:t>
      </w:r>
      <w:r>
        <w:rPr>
          <w:rFonts w:hint="eastAsia" w:ascii="黑体" w:hAnsi="黑体" w:eastAsia="黑体"/>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呼图壁县教育局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呼图壁县教育局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呼图壁县教育局</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11282.34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7502.77万元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2139.36万元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1597.86万元，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42.35万元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9142.98万元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2139.36万元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呼图壁县教育局</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11282.34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7502.77</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66.5</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3262.52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76.94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本年教育费附加支出及其他普通教育支出增加</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4039.29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4039.29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本年度政府隐性债务支出列入预算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2139.36</w:t>
      </w:r>
      <w:r>
        <w:rPr>
          <w:rFonts w:hint="eastAsia" w:ascii="仿宋_GB2312" w:hAnsi="宋体" w:eastAsia="仿宋_GB2312" w:cs="宋体"/>
          <w:color w:val="auto"/>
          <w:kern w:val="0"/>
          <w:sz w:val="32"/>
          <w:szCs w:val="32"/>
          <w:highlight w:val="none"/>
        </w:rPr>
        <w:t xml:space="preserve"> 万元， 占 </w:t>
      </w:r>
      <w:r>
        <w:rPr>
          <w:rFonts w:hint="eastAsia" w:ascii="仿宋_GB2312" w:hAnsi="宋体" w:eastAsia="仿宋_GB2312" w:cs="宋体"/>
          <w:color w:val="auto"/>
          <w:kern w:val="0"/>
          <w:sz w:val="32"/>
          <w:szCs w:val="32"/>
          <w:highlight w:val="none"/>
          <w:lang w:val="en-US" w:eastAsia="zh-CN"/>
        </w:rPr>
        <w:t>18.96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465.23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27.79 %，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2024年度财政安排《呼图壁县政府投资项目剩余工程款分期付款协议》纳入政府性基金预算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958" w:leftChars="304" w:hanging="320" w:hangingChars="1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1597.86</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 xml:space="preserve">14.16 </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 xml:space="preserve"> 85.67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2023年度退付基本户挂账的工程类设备类质保金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42.35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0.37</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858.65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95.3 %，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2023年度支付专项资金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呼图壁县教育局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7545.12</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 xml:space="preserve">基本支出 </w:t>
      </w:r>
      <w:r>
        <w:rPr>
          <w:rFonts w:hint="eastAsia" w:ascii="仿宋_GB2312" w:hAnsi="宋体" w:eastAsia="仿宋_GB2312" w:cs="宋体"/>
          <w:color w:val="auto"/>
          <w:kern w:val="0"/>
          <w:sz w:val="32"/>
          <w:szCs w:val="32"/>
          <w:highlight w:val="none"/>
          <w:lang w:val="en-US" w:eastAsia="zh-CN"/>
        </w:rPr>
        <w:t>709.02</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9.4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24.79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项目支出 </w:t>
      </w:r>
      <w:r>
        <w:rPr>
          <w:rFonts w:hint="eastAsia" w:ascii="仿宋_GB2312" w:hAnsi="宋体" w:eastAsia="仿宋_GB2312" w:cs="宋体"/>
          <w:color w:val="auto"/>
          <w:kern w:val="0"/>
          <w:sz w:val="32"/>
          <w:szCs w:val="32"/>
          <w:highlight w:val="none"/>
          <w:lang w:val="en-US" w:eastAsia="zh-CN"/>
        </w:rPr>
        <w:t>6836.1</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90.6</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1158.58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14.49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单位资金和结转资金预算减少。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9684.48</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7545.12</w:t>
      </w:r>
      <w:r>
        <w:rPr>
          <w:rFonts w:hint="eastAsia" w:ascii="仿宋_GB2312" w:hAnsi="宋体" w:eastAsia="仿宋_GB2312" w:cs="宋体"/>
          <w:color w:val="auto"/>
          <w:kern w:val="0"/>
          <w:sz w:val="32"/>
          <w:szCs w:val="32"/>
          <w:highlight w:val="none"/>
        </w:rPr>
        <w:t xml:space="preserve">  万元，政府性基金预算拨款   </w:t>
      </w:r>
      <w:r>
        <w:rPr>
          <w:rFonts w:hint="eastAsia" w:ascii="仿宋_GB2312" w:hAnsi="宋体" w:eastAsia="仿宋_GB2312" w:cs="宋体"/>
          <w:color w:val="auto"/>
          <w:kern w:val="0"/>
          <w:sz w:val="32"/>
          <w:szCs w:val="32"/>
          <w:highlight w:val="none"/>
          <w:lang w:val="en-US" w:eastAsia="zh-CN"/>
        </w:rPr>
        <w:t>2139.36</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205-教育支出 7545.12</w:t>
      </w:r>
      <w:r>
        <w:rPr>
          <w:rFonts w:hint="eastAsia" w:ascii="仿宋_GB2312" w:hAnsi="宋体" w:eastAsia="仿宋_GB2312" w:cs="宋体"/>
          <w:color w:val="auto"/>
          <w:kern w:val="0"/>
          <w:sz w:val="32"/>
          <w:szCs w:val="32"/>
          <w:highlight w:val="none"/>
        </w:rPr>
        <w:t xml:space="preserve">  万元，主要用于 </w:t>
      </w:r>
      <w:r>
        <w:rPr>
          <w:rFonts w:hint="eastAsia" w:ascii="仿宋_GB2312" w:hAnsi="宋体" w:eastAsia="仿宋_GB2312" w:cs="宋体"/>
          <w:color w:val="auto"/>
          <w:kern w:val="0"/>
          <w:sz w:val="32"/>
          <w:szCs w:val="32"/>
          <w:highlight w:val="none"/>
          <w:lang w:val="en-US" w:eastAsia="zh-CN"/>
        </w:rPr>
        <w:t>单位正常运转，中小学幼儿园项目建设、中小学特殊建设项目建设、中小学幼儿园购置设备</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支出包括：212-城乡社区支出支出 2139.36 万元，主要用于中小学幼儿园基础实施配套建设。</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呼图壁县教育局2024年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宋体" w:eastAsia="仿宋_GB2312" w:cs="宋体"/>
          <w:color w:val="auto"/>
          <w:kern w:val="0"/>
          <w:sz w:val="32"/>
          <w:szCs w:val="32"/>
          <w:highlight w:val="none"/>
          <w:lang w:val="en-US" w:eastAsia="zh-CN"/>
        </w:rPr>
        <w:t>7545.12</w:t>
      </w:r>
      <w:r>
        <w:rPr>
          <w:rFonts w:hint="eastAsia" w:ascii="仿宋_GB2312" w:hAnsi="仿宋_GB2312" w:eastAsia="仿宋_GB2312" w:cs="仿宋_GB2312"/>
          <w:color w:val="auto"/>
          <w:kern w:val="0"/>
          <w:sz w:val="32"/>
          <w:szCs w:val="32"/>
          <w:highlight w:val="none"/>
        </w:rPr>
        <w:t xml:space="preserve"> 万元，其中：</w:t>
      </w:r>
      <w:r>
        <w:rPr>
          <w:rFonts w:hint="eastAsia" w:ascii="仿宋_GB2312" w:hAnsi="宋体" w:eastAsia="仿宋_GB2312" w:cs="宋体"/>
          <w:color w:val="auto"/>
          <w:kern w:val="0"/>
          <w:sz w:val="32"/>
          <w:szCs w:val="32"/>
          <w:highlight w:val="none"/>
        </w:rPr>
        <w:t xml:space="preserve">基本支出 </w:t>
      </w:r>
      <w:r>
        <w:rPr>
          <w:rFonts w:hint="eastAsia" w:ascii="仿宋_GB2312" w:hAnsi="宋体" w:eastAsia="仿宋_GB2312" w:cs="宋体"/>
          <w:color w:val="auto"/>
          <w:kern w:val="0"/>
          <w:sz w:val="32"/>
          <w:szCs w:val="32"/>
          <w:highlight w:val="none"/>
          <w:lang w:val="en-US" w:eastAsia="zh-CN"/>
        </w:rPr>
        <w:t>709.02</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9.39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24.79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项目支出 </w:t>
      </w:r>
      <w:r>
        <w:rPr>
          <w:rFonts w:hint="eastAsia" w:ascii="仿宋_GB2312" w:hAnsi="宋体" w:eastAsia="仿宋_GB2312" w:cs="宋体"/>
          <w:color w:val="auto"/>
          <w:kern w:val="0"/>
          <w:sz w:val="32"/>
          <w:szCs w:val="32"/>
          <w:highlight w:val="none"/>
          <w:lang w:val="en-US" w:eastAsia="zh-CN"/>
        </w:rPr>
        <w:t>6836.1</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90.6</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1158.58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14.49%，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单位资金和结转资金预算减少。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教育支出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205</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b/>
          <w:color w:val="auto"/>
          <w:sz w:val="32"/>
          <w:szCs w:val="32"/>
          <w:highlight w:val="none"/>
          <w:lang w:val="en-US" w:eastAsia="zh-CN"/>
        </w:rPr>
        <w:t>9142.98</w:t>
      </w:r>
      <w:r>
        <w:rPr>
          <w:rFonts w:hint="eastAsia" w:ascii="仿宋_GB2312" w:hAnsi="仿宋_GB2312" w:eastAsia="仿宋_GB2312" w:cs="仿宋_GB2312"/>
          <w:color w:val="auto"/>
          <w:kern w:val="0"/>
          <w:sz w:val="32"/>
          <w:szCs w:val="32"/>
          <w:highlight w:val="none"/>
        </w:rPr>
        <w:t xml:space="preserve">万元，占  </w:t>
      </w:r>
      <w:r>
        <w:rPr>
          <w:rFonts w:hint="eastAsia" w:ascii="仿宋_GB2312" w:hAnsi="仿宋_GB2312" w:eastAsia="仿宋_GB2312" w:cs="仿宋_GB2312"/>
          <w:color w:val="auto"/>
          <w:kern w:val="0"/>
          <w:sz w:val="32"/>
          <w:szCs w:val="32"/>
          <w:highlight w:val="none"/>
          <w:lang w:val="en-US" w:eastAsia="zh-CN"/>
        </w:rPr>
        <w:t>81.04</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城乡社区支出（212类）2139.36万元，占 18.96%。</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教育管理事务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款）行政运行（</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2306.88</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1622.65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237.15</w:t>
      </w:r>
      <w:r>
        <w:rPr>
          <w:rFonts w:hint="eastAsia" w:ascii="仿宋_GB2312" w:hAnsi="仿宋_GB2312" w:eastAsia="仿宋_GB2312" w:cs="仿宋_GB2312"/>
          <w:color w:val="auto"/>
          <w:kern w:val="0"/>
          <w:sz w:val="32"/>
          <w:szCs w:val="32"/>
          <w:highlight w:val="none"/>
        </w:rPr>
        <w:t xml:space="preserve"> %，主要原因是： </w:t>
      </w:r>
      <w:r>
        <w:rPr>
          <w:rFonts w:hint="eastAsia" w:ascii="仿宋_GB2312" w:hAnsi="仿宋_GB2312" w:eastAsia="仿宋_GB2312" w:cs="仿宋_GB2312"/>
          <w:color w:val="auto"/>
          <w:kern w:val="0"/>
          <w:sz w:val="32"/>
          <w:szCs w:val="32"/>
          <w:highlight w:val="none"/>
          <w:lang w:val="en-US" w:eastAsia="zh-CN"/>
        </w:rPr>
        <w:t>本年度单位资金和结转资金列入预算里。</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普通教育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小学教育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967.37万元，比上年预算减少828.73万元，减少46.14%，主要原因是：2024年城乡义务教育补助经费（自治区直达资金）、2024年城乡义务教育补助经费（中央直达资金）、2024年城乡义务教育补助经费（中央直达资金）等公用经费列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普通教育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初中教育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888.94</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187.92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26.81</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2024年城乡义务教育补助经费（自治区直达资金）、2024年城乡义务教育补助经费（中央直达资金）、2024年城乡义务教育补助经费（中央直达资金）等公用经费列入预算。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普通教育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其他普通教育支出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3136.33</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1622.65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107.2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本年度</w:t>
      </w:r>
      <w:r>
        <w:rPr>
          <w:rFonts w:hint="eastAsia" w:ascii="仿宋_GB2312" w:hAnsi="仿宋_GB2312" w:eastAsia="仿宋_GB2312" w:cs="仿宋_GB2312"/>
          <w:color w:val="auto"/>
          <w:kern w:val="0"/>
          <w:sz w:val="32"/>
          <w:szCs w:val="32"/>
          <w:highlight w:val="none"/>
        </w:rPr>
        <w:t>2024年政府隐性债务支出责任（教育</w:t>
      </w:r>
      <w:r>
        <w:rPr>
          <w:rFonts w:hint="eastAsia" w:ascii="仿宋_GB2312" w:hAnsi="仿宋_GB2312" w:eastAsia="仿宋_GB2312" w:cs="仿宋_GB2312"/>
          <w:color w:val="auto"/>
          <w:kern w:val="0"/>
          <w:sz w:val="32"/>
          <w:szCs w:val="32"/>
          <w:highlight w:val="none"/>
          <w:lang w:val="en-US" w:eastAsia="zh-CN"/>
        </w:rPr>
        <w:t>)列入预算内。</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特殊教育</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07</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特殊学校教育支出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41.46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11.46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38.2</w:t>
      </w:r>
      <w:r>
        <w:rPr>
          <w:rFonts w:hint="eastAsia" w:ascii="仿宋_GB2312" w:hAnsi="仿宋_GB2312" w:eastAsia="仿宋_GB2312" w:cs="仿宋_GB2312"/>
          <w:color w:val="auto"/>
          <w:kern w:val="0"/>
          <w:sz w:val="32"/>
          <w:szCs w:val="32"/>
          <w:highlight w:val="none"/>
        </w:rPr>
        <w:t xml:space="preserve"> %，主要原因是：2024年城乡义务教育补助经费（中央直达资金）</w:t>
      </w:r>
      <w:r>
        <w:rPr>
          <w:rFonts w:hint="eastAsia" w:ascii="仿宋_GB2312" w:hAnsi="仿宋_GB2312" w:eastAsia="仿宋_GB2312" w:cs="仿宋_GB2312"/>
          <w:color w:val="auto"/>
          <w:kern w:val="0"/>
          <w:sz w:val="32"/>
          <w:szCs w:val="32"/>
          <w:highlight w:val="none"/>
          <w:lang w:val="en-US" w:eastAsia="zh-CN"/>
        </w:rPr>
        <w:t>列入预算内。</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教育费附加安排的支出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09</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其他教育费附加安排的支出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1800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400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28.57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保障教育资金优先使用额增加。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b/>
          <w:color w:val="FF0000"/>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其他教育支出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其他教育支出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减少178.17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降低98.89%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今年义务段学校班主任津贴直接拨付到各义务段学校本级预算。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呼图壁县教育局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709.02</w:t>
      </w:r>
      <w:r>
        <w:rPr>
          <w:rFonts w:hint="eastAsia" w:ascii="仿宋_GB2312" w:hAnsi="宋体" w:eastAsia="仿宋_GB2312" w:cs="宋体"/>
          <w:color w:val="auto"/>
          <w:spacing w:val="-6"/>
          <w:kern w:val="0"/>
          <w:sz w:val="32"/>
          <w:szCs w:val="32"/>
          <w:highlight w:val="none"/>
        </w:rPr>
        <w:t xml:space="preserve">   万元， 其中：</w:t>
      </w:r>
    </w:p>
    <w:p>
      <w:pPr>
        <w:pStyle w:val="5"/>
        <w:keepNext w:val="0"/>
        <w:keepLines w:val="0"/>
        <w:widowControl/>
        <w:suppressLineNumbers w:val="0"/>
        <w:shd w:val="clear"/>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人员经费 </w:t>
      </w:r>
      <w:r>
        <w:rPr>
          <w:rFonts w:hint="eastAsia" w:ascii="仿宋_GB2312" w:hAnsi="宋体" w:eastAsia="仿宋_GB2312" w:cs="宋体"/>
          <w:color w:val="auto"/>
          <w:kern w:val="0"/>
          <w:sz w:val="32"/>
          <w:szCs w:val="32"/>
          <w:highlight w:val="none"/>
          <w:lang w:val="en-US" w:eastAsia="zh-CN"/>
        </w:rPr>
        <w:t>634.84</w:t>
      </w:r>
      <w:r>
        <w:rPr>
          <w:rFonts w:hint="eastAsia" w:ascii="仿宋_GB2312" w:hAnsi="宋体" w:eastAsia="仿宋_GB2312" w:cs="宋体"/>
          <w:color w:val="auto"/>
          <w:kern w:val="0"/>
          <w:sz w:val="32"/>
          <w:szCs w:val="32"/>
          <w:highlight w:val="none"/>
        </w:rPr>
        <w:t xml:space="preserve"> 万元，主要包括：基本工资</w:t>
      </w:r>
      <w:r>
        <w:rPr>
          <w:rFonts w:hint="eastAsia" w:ascii="仿宋_GB2312" w:hAnsi="宋体" w:eastAsia="仿宋_GB2312" w:cs="宋体"/>
          <w:color w:val="auto"/>
          <w:kern w:val="0"/>
          <w:sz w:val="32"/>
          <w:szCs w:val="32"/>
          <w:highlight w:val="none"/>
          <w:lang w:val="en-US" w:eastAsia="zh-CN"/>
        </w:rPr>
        <w:t>172.44万元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82.86万元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115.96万元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63.17万元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63.82万元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31.91万元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8.78万元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3.17万元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52.06万元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36.11万元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1.2万元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3.35万元</w:t>
      </w:r>
      <w:r>
        <w:rPr>
          <w:rFonts w:hint="eastAsia" w:ascii="仿宋_GB2312" w:hAnsi="宋体" w:eastAsia="仿宋_GB2312" w:cs="宋体"/>
          <w:color w:val="auto"/>
          <w:kern w:val="0"/>
          <w:sz w:val="32"/>
          <w:szCs w:val="32"/>
          <w:highlight w:val="none"/>
        </w:rPr>
        <w:t>、他对个人和家庭的补助</w:t>
      </w:r>
      <w:r>
        <w:rPr>
          <w:rFonts w:hint="eastAsia" w:ascii="仿宋_GB2312" w:hAnsi="宋体" w:eastAsia="仿宋_GB2312" w:cs="宋体"/>
          <w:color w:val="auto"/>
          <w:kern w:val="0"/>
          <w:sz w:val="32"/>
          <w:szCs w:val="32"/>
          <w:highlight w:val="none"/>
          <w:lang w:val="en-US" w:eastAsia="zh-CN"/>
        </w:rPr>
        <w:t>0.018万元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74.8</w:t>
      </w:r>
      <w:r>
        <w:rPr>
          <w:rFonts w:hint="eastAsia" w:ascii="仿宋_GB2312" w:hAnsi="宋体" w:eastAsia="仿宋_GB2312" w:cs="宋体"/>
          <w:color w:val="auto"/>
          <w:kern w:val="0"/>
          <w:sz w:val="32"/>
          <w:szCs w:val="32"/>
          <w:highlight w:val="none"/>
        </w:rPr>
        <w:t xml:space="preserve"> 万元，主要包括：办公费</w:t>
      </w:r>
      <w:r>
        <w:rPr>
          <w:rFonts w:hint="eastAsia" w:ascii="仿宋_GB2312" w:hAnsi="宋体" w:eastAsia="仿宋_GB2312" w:cs="宋体"/>
          <w:color w:val="auto"/>
          <w:kern w:val="0"/>
          <w:sz w:val="32"/>
          <w:szCs w:val="32"/>
          <w:highlight w:val="none"/>
          <w:lang w:val="en-US" w:eastAsia="zh-CN"/>
        </w:rPr>
        <w:t>5.82万元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1.09万元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58.75万元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0.9万元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7.62万元</w:t>
      </w:r>
      <w:r>
        <w:rPr>
          <w:rFonts w:hint="eastAsia" w:ascii="仿宋_GB2312" w:hAnsi="宋体" w:eastAsia="仿宋_GB2312" w:cs="宋体"/>
          <w:color w:val="auto"/>
          <w:kern w:val="0"/>
          <w:sz w:val="32"/>
          <w:szCs w:val="32"/>
          <w:highlight w:val="none"/>
        </w:rPr>
        <w:t>、公务用车运行维护费等。</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2024年城乡义务教育补助经费（中央直达资金）中小学公用经费</w:t>
      </w:r>
      <w:r>
        <w:rPr>
          <w:rFonts w:hint="eastAsia" w:ascii="仿宋_GB2312" w:hAnsi="宋体" w:eastAsia="仿宋_GB2312" w:cs="宋体"/>
          <w:color w:val="auto"/>
          <w:kern w:val="0"/>
          <w:sz w:val="32"/>
          <w:szCs w:val="32"/>
          <w:highlight w:val="none"/>
          <w:lang w:eastAsia="zh-CN"/>
        </w:rPr>
        <w:t>。</w:t>
      </w:r>
    </w:p>
    <w:p>
      <w:pPr>
        <w:shd w:val="clear"/>
        <w:spacing w:line="640" w:lineRule="exact"/>
        <w:ind w:firstLine="640" w:firstLineChars="200"/>
        <w:rPr>
          <w:rFonts w:hint="eastAsia" w:ascii="仿宋_GB2312" w:eastAsia="仿宋_GB2312"/>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bookmarkStart w:id="0" w:name="filename"/>
      <w:r>
        <w:rPr>
          <w:rFonts w:hint="eastAsia" w:ascii="仿宋_GB2312" w:hAnsi="Times New Roman" w:eastAsia="仿宋_GB2312" w:cs="Times New Roman"/>
          <w:sz w:val="32"/>
          <w:szCs w:val="32"/>
          <w:highlight w:val="none"/>
          <w:lang w:eastAsia="zh-CN"/>
        </w:rPr>
        <w:t>关于提前下达202</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lang w:eastAsia="zh-CN"/>
        </w:rPr>
        <w:t>年城乡义务教育补助经费预算（中央直达资金）的通知</w:t>
      </w:r>
      <w:bookmarkEnd w:id="0"/>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1373.86万元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按财政预算安排分配，主要通过</w:t>
      </w:r>
      <w:r>
        <w:rPr>
          <w:rFonts w:hint="eastAsia" w:ascii="仿宋_GB2312" w:hAnsi="宋体" w:eastAsia="仿宋_GB2312" w:cs="宋体"/>
          <w:b w:val="0"/>
          <w:bCs w:val="0"/>
          <w:color w:val="auto"/>
          <w:kern w:val="0"/>
          <w:sz w:val="32"/>
          <w:szCs w:val="32"/>
          <w:highlight w:val="none"/>
          <w:lang w:val="en-US" w:eastAsia="zh-CN" w:bidi="ar-SA"/>
        </w:rPr>
        <w:t>农村的义务教育经费，帮助当地教师提高教学水平和业务能力，从而提高当地学生综合成绩，学校校舍日常维修改造质量达标率100%，进一步保障全县校舍安全。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w:t>
      </w:r>
      <w:r>
        <w:rPr>
          <w:rFonts w:hint="eastAsia" w:ascii="仿宋_GB2312" w:hAnsi="宋体" w:eastAsia="仿宋_GB2312" w:cs="宋体"/>
          <w:color w:val="auto"/>
          <w:kern w:val="0"/>
          <w:sz w:val="32"/>
          <w:szCs w:val="32"/>
          <w:highlight w:val="none"/>
        </w:rPr>
        <w:t>024年城乡义务教育补助经费（中央直达资金）（中小学家庭经济困难学生生活补助）</w:t>
      </w:r>
      <w:r>
        <w:rPr>
          <w:rFonts w:hint="eastAsia" w:ascii="仿宋_GB2312" w:hAnsi="宋体" w:eastAsia="仿宋_GB2312" w:cs="宋体"/>
          <w:color w:val="auto"/>
          <w:kern w:val="0"/>
          <w:sz w:val="32"/>
          <w:szCs w:val="32"/>
          <w:highlight w:val="none"/>
          <w:lang w:eastAsia="zh-CN"/>
        </w:rPr>
        <w:t>。</w:t>
      </w:r>
    </w:p>
    <w:p>
      <w:pPr>
        <w:shd w:val="clear"/>
        <w:spacing w:line="640" w:lineRule="exact"/>
        <w:rPr>
          <w:rFonts w:hint="eastAsia" w:ascii="仿宋_GB2312" w:eastAsia="仿宋_GB2312"/>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r>
        <w:rPr>
          <w:rFonts w:hint="eastAsia" w:ascii="仿宋_GB2312" w:hAnsi="Times New Roman" w:eastAsia="仿宋_GB2312" w:cs="Times New Roman"/>
          <w:sz w:val="32"/>
          <w:szCs w:val="32"/>
          <w:highlight w:val="none"/>
          <w:lang w:eastAsia="zh-CN"/>
        </w:rPr>
        <w:t>关于提前下达202</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lang w:eastAsia="zh-CN"/>
        </w:rPr>
        <w:t>年城乡义务教育补助经费</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lang w:eastAsia="zh-CN"/>
        </w:rPr>
        <w:t>预算（中央直达资金）的通知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523.91万元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按财政预算安排分配，主要用于减轻各义务段学校家庭经济困难学生生活负担，从而提高当地学生综合成绩。</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2024年城乡义务教育补助经费（中央直达资金）（义务段学校校舍维修改造）</w:t>
      </w:r>
      <w:r>
        <w:rPr>
          <w:rFonts w:hint="eastAsia" w:ascii="仿宋_GB2312" w:hAnsi="宋体" w:eastAsia="仿宋_GB2312" w:cs="宋体"/>
          <w:color w:val="auto"/>
          <w:kern w:val="0"/>
          <w:sz w:val="32"/>
          <w:szCs w:val="32"/>
          <w:highlight w:val="none"/>
          <w:lang w:eastAsia="zh-CN"/>
        </w:rPr>
        <w:t>。</w:t>
      </w:r>
    </w:p>
    <w:p>
      <w:pPr>
        <w:shd w:val="clear"/>
        <w:spacing w:line="640" w:lineRule="exact"/>
        <w:ind w:firstLine="640" w:firstLineChars="200"/>
        <w:rPr>
          <w:rFonts w:hint="eastAsia" w:ascii="仿宋_GB2312" w:eastAsia="仿宋_GB2312"/>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r>
        <w:rPr>
          <w:rFonts w:hint="eastAsia" w:ascii="仿宋_GB2312" w:hAnsi="Times New Roman" w:eastAsia="仿宋_GB2312" w:cs="Times New Roman"/>
          <w:sz w:val="32"/>
          <w:szCs w:val="32"/>
          <w:highlight w:val="none"/>
          <w:lang w:eastAsia="zh-CN"/>
        </w:rPr>
        <w:t>关于提前下达202</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lang w:eastAsia="zh-CN"/>
        </w:rPr>
        <w:t>年城乡义务教育补助经费预算（中央直达资金）的通知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490万元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按财政预算安排分配，主要用于家庭经济困难学生生活负担，从而提高当地学生综合成绩。</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2024年教育费附加</w:t>
      </w:r>
      <w:r>
        <w:rPr>
          <w:rFonts w:hint="eastAsia" w:ascii="仿宋_GB2312" w:hAnsi="宋体" w:eastAsia="仿宋_GB2312" w:cs="宋体"/>
          <w:color w:val="auto"/>
          <w:kern w:val="0"/>
          <w:sz w:val="32"/>
          <w:szCs w:val="32"/>
          <w:highlight w:val="none"/>
          <w:lang w:eastAsia="zh-CN"/>
        </w:rPr>
        <w:t>。</w:t>
      </w:r>
    </w:p>
    <w:p>
      <w:pPr>
        <w:shd w:val="clear"/>
        <w:spacing w:line="640" w:lineRule="exact"/>
        <w:ind w:firstLine="640" w:firstLineChars="200"/>
        <w:rPr>
          <w:rFonts w:hint="eastAsia" w:ascii="仿宋_GB2312" w:eastAsia="仿宋_GB2312"/>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2024年教育费附加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1800万元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shd w:val="clear"/>
        <w:spacing w:line="64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b w:val="0"/>
          <w:bCs w:val="0"/>
          <w:color w:val="auto"/>
          <w:kern w:val="2"/>
          <w:sz w:val="32"/>
          <w:szCs w:val="32"/>
          <w:highlight w:val="none"/>
          <w:lang w:val="en-US" w:eastAsia="zh-CN" w:bidi="ar-SA"/>
        </w:rPr>
        <w:t>按财政预算安排分配，资金主要用于加快发展地方教育事业，改善城乡中小学办学条件，改善职业学校</w:t>
      </w:r>
      <w:r>
        <w:rPr>
          <w:rFonts w:hint="eastAsia" w:ascii="仿宋_GB2312" w:hAnsi="黑体" w:eastAsia="仿宋_GB2312"/>
          <w:color w:val="auto"/>
          <w:sz w:val="32"/>
          <w:szCs w:val="32"/>
          <w:highlight w:val="none"/>
          <w:lang w:val="en-US" w:eastAsia="zh-CN"/>
        </w:rPr>
        <w:t>教学设施，发展地方教育事业，改善学校幼儿园办学条件，进一步保障全县校教育教学水平。</w:t>
      </w:r>
    </w:p>
    <w:p>
      <w:pPr>
        <w:shd w:val="clear"/>
        <w:spacing w:line="64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资金执行时间：2024年1月1日-2024年12月31日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2024年新疆西藏等地区教育特殊补助资金（中央资金）（幼儿园园舍维修资金）</w:t>
      </w:r>
      <w:r>
        <w:rPr>
          <w:rFonts w:hint="eastAsia" w:ascii="仿宋_GB2312" w:hAnsi="宋体" w:eastAsia="仿宋_GB2312" w:cs="宋体"/>
          <w:color w:val="auto"/>
          <w:kern w:val="0"/>
          <w:sz w:val="32"/>
          <w:szCs w:val="32"/>
          <w:highlight w:val="none"/>
          <w:lang w:eastAsia="zh-CN"/>
        </w:rPr>
        <w:t>。</w:t>
      </w:r>
    </w:p>
    <w:p>
      <w:pPr>
        <w:shd w:val="clear"/>
        <w:jc w:val="left"/>
        <w:rPr>
          <w:rFonts w:hint="eastAsia" w:ascii="仿宋_GB2312" w:hAnsi="Times New Roman" w:eastAsia="仿宋_GB2312" w:cs="Times New Roman"/>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96</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r>
        <w:rPr>
          <w:rFonts w:hint="eastAsia" w:ascii="仿宋_GB2312" w:hAnsi="Times New Roman" w:eastAsia="仿宋_GB2312" w:cs="Times New Roman"/>
          <w:sz w:val="32"/>
          <w:szCs w:val="32"/>
          <w:highlight w:val="none"/>
          <w:lang w:eastAsia="zh-CN"/>
        </w:rPr>
        <w:t>关于提前下达202</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lang w:eastAsia="zh-CN"/>
        </w:rPr>
        <w:t>年新疆西藏等地区教育特殊补助资金的通知</w:t>
      </w:r>
      <w:r>
        <w:rPr>
          <w:rFonts w:hint="eastAsia" w:ascii="仿宋_GB2312"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216.52万元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按财政预算安排分配，资金主要用于落实城乡统一，保障农村学前教育经费，幼儿园园舍日常维修改造，配齐设施设备，进一步保障全县幼儿园园舍安全。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2024年义务教育薄弱环节改善与能力提升补助资金（中央资金）（义务教育薄改资金）</w:t>
      </w:r>
      <w:r>
        <w:rPr>
          <w:rFonts w:hint="eastAsia" w:ascii="仿宋_GB2312" w:hAnsi="宋体" w:eastAsia="仿宋_GB2312" w:cs="宋体"/>
          <w:color w:val="auto"/>
          <w:kern w:val="0"/>
          <w:sz w:val="32"/>
          <w:szCs w:val="32"/>
          <w:highlight w:val="none"/>
          <w:lang w:eastAsia="zh-CN"/>
        </w:rPr>
        <w:t>。</w:t>
      </w:r>
    </w:p>
    <w:p>
      <w:pPr>
        <w:shd w:val="clear"/>
        <w:ind w:firstLine="640" w:firstLineChars="200"/>
        <w:jc w:val="left"/>
        <w:rPr>
          <w:rFonts w:hint="eastAsia"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92</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r>
        <w:rPr>
          <w:rFonts w:hint="eastAsia" w:ascii="仿宋_GB2312" w:hAnsi="黑体" w:eastAsia="仿宋_GB2312" w:cs="Times New Roman"/>
          <w:color w:val="auto"/>
          <w:sz w:val="32"/>
          <w:szCs w:val="32"/>
          <w:highlight w:val="none"/>
          <w:lang w:eastAsia="zh-CN"/>
        </w:rPr>
        <w:t>关于提前下达202</w:t>
      </w:r>
      <w:r>
        <w:rPr>
          <w:rFonts w:hint="eastAsia" w:ascii="仿宋_GB2312" w:hAnsi="黑体" w:eastAsia="仿宋_GB2312" w:cs="Times New Roman"/>
          <w:color w:val="auto"/>
          <w:sz w:val="32"/>
          <w:szCs w:val="32"/>
          <w:highlight w:val="none"/>
          <w:lang w:val="en-US" w:eastAsia="zh-CN"/>
        </w:rPr>
        <w:t>4</w:t>
      </w:r>
      <w:r>
        <w:rPr>
          <w:rFonts w:hint="eastAsia" w:ascii="仿宋_GB2312" w:hAnsi="黑体" w:eastAsia="仿宋_GB2312" w:cs="Times New Roman"/>
          <w:color w:val="auto"/>
          <w:sz w:val="32"/>
          <w:szCs w:val="32"/>
          <w:highlight w:val="none"/>
          <w:lang w:eastAsia="zh-CN"/>
        </w:rPr>
        <w:t>年中央义务教育薄弱环节改善与能力提升补助资金预算的通知。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1427万元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按财政预算安排分配，持续改善农村义务教育基本办学条件，有序扩大城镇学位供给，稳步提升学校办学能力。</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2024年中央“三区”人才教师专项工作补助经费（中央资金）(三区人才经费）</w:t>
      </w:r>
      <w:r>
        <w:rPr>
          <w:rFonts w:hint="eastAsia" w:ascii="仿宋_GB2312" w:hAnsi="宋体" w:eastAsia="仿宋_GB2312" w:cs="宋体"/>
          <w:color w:val="auto"/>
          <w:kern w:val="0"/>
          <w:sz w:val="32"/>
          <w:szCs w:val="32"/>
          <w:highlight w:val="none"/>
          <w:lang w:eastAsia="zh-CN"/>
        </w:rPr>
        <w:t>。</w:t>
      </w:r>
    </w:p>
    <w:p>
      <w:pPr>
        <w:shd w:val="clear"/>
        <w:jc w:val="left"/>
        <w:rPr>
          <w:rFonts w:hint="eastAsia"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昌州财教[20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89</w:t>
      </w:r>
      <w:r>
        <w:rPr>
          <w:rFonts w:hint="eastAsia" w:ascii="仿宋_GB2312" w:eastAsia="仿宋_GB2312"/>
          <w:sz w:val="32"/>
          <w:szCs w:val="32"/>
          <w:highlight w:val="none"/>
        </w:rPr>
        <w:t>号</w:t>
      </w:r>
      <w:r>
        <w:rPr>
          <w:rFonts w:hint="eastAsia" w:ascii="仿宋_GB2312" w:eastAsia="仿宋_GB2312"/>
          <w:sz w:val="32"/>
          <w:szCs w:val="32"/>
          <w:highlight w:val="none"/>
          <w:lang w:val="en-US" w:eastAsia="zh-CN"/>
        </w:rPr>
        <w:t>-</w:t>
      </w:r>
      <w:r>
        <w:rPr>
          <w:rFonts w:hint="eastAsia" w:ascii="仿宋_GB2312" w:hAnsi="黑体" w:eastAsia="仿宋_GB2312" w:cs="Times New Roman"/>
          <w:color w:val="auto"/>
          <w:sz w:val="32"/>
          <w:szCs w:val="32"/>
          <w:highlight w:val="none"/>
          <w:lang w:eastAsia="zh-CN"/>
        </w:rPr>
        <w:t>关于提前下达202</w:t>
      </w:r>
      <w:r>
        <w:rPr>
          <w:rFonts w:hint="eastAsia" w:ascii="仿宋_GB2312" w:hAnsi="黑体" w:eastAsia="仿宋_GB2312" w:cs="Times New Roman"/>
          <w:color w:val="auto"/>
          <w:sz w:val="32"/>
          <w:szCs w:val="32"/>
          <w:highlight w:val="none"/>
          <w:lang w:val="en-US" w:eastAsia="zh-CN"/>
        </w:rPr>
        <w:t>4</w:t>
      </w:r>
      <w:r>
        <w:rPr>
          <w:rFonts w:hint="eastAsia" w:ascii="仿宋_GB2312" w:hAnsi="黑体" w:eastAsia="仿宋_GB2312" w:cs="Times New Roman"/>
          <w:color w:val="auto"/>
          <w:sz w:val="32"/>
          <w:szCs w:val="32"/>
          <w:highlight w:val="none"/>
          <w:lang w:eastAsia="zh-CN"/>
        </w:rPr>
        <w:t>年中央</w:t>
      </w:r>
      <w:r>
        <w:rPr>
          <w:rFonts w:hint="eastAsia" w:ascii="仿宋_GB2312" w:hAnsi="黑体" w:eastAsia="仿宋_GB2312" w:cs="Times New Roman"/>
          <w:color w:val="auto"/>
          <w:sz w:val="32"/>
          <w:szCs w:val="32"/>
          <w:highlight w:val="none"/>
          <w:lang w:val="en-US" w:eastAsia="zh-CN"/>
        </w:rPr>
        <w:t>“三区”人才计划教师专项工作补助经费</w:t>
      </w:r>
      <w:r>
        <w:rPr>
          <w:rFonts w:hint="eastAsia" w:ascii="仿宋_GB2312" w:hAnsi="黑体" w:eastAsia="仿宋_GB2312" w:cs="Times New Roman"/>
          <w:color w:val="auto"/>
          <w:sz w:val="32"/>
          <w:szCs w:val="32"/>
          <w:highlight w:val="none"/>
          <w:lang w:eastAsia="zh-CN"/>
        </w:rPr>
        <w:t>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按财政预算安排分配，资金主要用于被选派支教教师到重点县农村学校支教一年的生活补助。</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2024年政府隐性债务支出责任（教育）</w:t>
      </w:r>
      <w:r>
        <w:rPr>
          <w:rFonts w:hint="eastAsia" w:ascii="仿宋_GB2312" w:hAnsi="宋体" w:eastAsia="仿宋_GB2312" w:cs="宋体"/>
          <w:color w:val="auto"/>
          <w:kern w:val="0"/>
          <w:sz w:val="32"/>
          <w:szCs w:val="32"/>
          <w:highlight w:val="none"/>
          <w:lang w:eastAsia="zh-CN"/>
        </w:rPr>
        <w:t>。</w:t>
      </w:r>
    </w:p>
    <w:p>
      <w:pPr>
        <w:shd w:val="clear"/>
        <w:jc w:val="left"/>
        <w:rPr>
          <w:rFonts w:hint="eastAsia"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highlight w:val="none"/>
        </w:rPr>
        <w:t>2024年政府隐性债务支出责任（教育）</w:t>
      </w:r>
      <w:r>
        <w:rPr>
          <w:rFonts w:hint="eastAsia" w:ascii="仿宋_GB2312" w:hAnsi="黑体" w:eastAsia="仿宋_GB2312" w:cs="Times New Roman"/>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952.46万元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按财政预算安排分配，用于中小学幼儿园建设项目、设备购置，改善办学条件。</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（国家通用语言文字工作经费）2024年非定额</w:t>
      </w:r>
      <w:r>
        <w:rPr>
          <w:rFonts w:hint="eastAsia" w:ascii="仿宋_GB2312" w:hAnsi="宋体" w:eastAsia="仿宋_GB2312" w:cs="宋体"/>
          <w:color w:val="auto"/>
          <w:kern w:val="0"/>
          <w:sz w:val="32"/>
          <w:szCs w:val="32"/>
          <w:highlight w:val="none"/>
          <w:lang w:eastAsia="zh-CN"/>
        </w:rPr>
        <w:t>。</w:t>
      </w:r>
    </w:p>
    <w:p>
      <w:pPr>
        <w:shd w:val="clear"/>
        <w:jc w:val="left"/>
        <w:rPr>
          <w:rFonts w:hint="eastAsia"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（国家通用语言文字工作经费）2024年非定额</w:t>
      </w:r>
      <w:r>
        <w:rPr>
          <w:rFonts w:hint="eastAsia" w:ascii="仿宋_GB2312" w:hAnsi="黑体" w:eastAsia="仿宋_GB2312" w:cs="Times New Roman"/>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按财政预算安排分配，帮助受教学校提升教育教学质量和教育教学水平和业务能力，进一步提高乡村教师队伍素质，切实推进基础教育事业水平。</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仿宋_GB2312" w:eastAsia="仿宋_GB2312" w:cs="仿宋_GB2312"/>
          <w:color w:val="auto"/>
          <w:kern w:val="0"/>
          <w:sz w:val="32"/>
          <w:szCs w:val="32"/>
          <w:highlight w:val="none"/>
          <w:lang w:val="en-US" w:eastAsia="zh-CN"/>
        </w:rPr>
        <w:t>2023年城乡义务教育补助经费（中央直达资金）（义务段学校校舍维修改造）</w:t>
      </w:r>
      <w:r>
        <w:rPr>
          <w:rFonts w:hint="eastAsia" w:ascii="仿宋_GB2312" w:hAnsi="宋体" w:eastAsia="仿宋_GB2312" w:cs="宋体"/>
          <w:color w:val="auto"/>
          <w:kern w:val="0"/>
          <w:sz w:val="32"/>
          <w:szCs w:val="32"/>
          <w:highlight w:val="none"/>
          <w:lang w:eastAsia="zh-CN"/>
        </w:rPr>
        <w:t>。</w:t>
      </w:r>
    </w:p>
    <w:p>
      <w:pPr>
        <w:shd w:val="clear"/>
        <w:jc w:val="left"/>
        <w:rPr>
          <w:rFonts w:hint="eastAsia"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仿宋_GB2312" w:eastAsia="仿宋_GB2312" w:cs="仿宋_GB2312"/>
          <w:color w:val="auto"/>
          <w:kern w:val="0"/>
          <w:sz w:val="32"/>
          <w:szCs w:val="32"/>
          <w:highlight w:val="none"/>
          <w:lang w:val="en-US" w:eastAsia="zh-CN"/>
        </w:rPr>
        <w:t>2023年城乡义务教育补助经费（中央直达资金）（义务段学校校舍维修改造</w:t>
      </w:r>
      <w:r>
        <w:rPr>
          <w:rFonts w:hint="eastAsia" w:ascii="仿宋_GB2312" w:hAnsi="黑体" w:eastAsia="仿宋_GB2312" w:cs="Times New Roman"/>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42.35万元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按财政预算安排分配，用于中小学幼儿园建设项目、设备购置，改善办学条件。</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呼图壁县教育局2024年</w:t>
      </w:r>
      <w:r>
        <w:rPr>
          <w:rFonts w:hint="eastAsia" w:ascii="仿宋_GB2312" w:hAnsi="仿宋_GB2312" w:eastAsia="仿宋_GB2312" w:cs="仿宋_GB2312"/>
          <w:color w:val="auto"/>
          <w:kern w:val="0"/>
          <w:sz w:val="32"/>
          <w:szCs w:val="32"/>
          <w:highlight w:val="none"/>
        </w:rPr>
        <w:t xml:space="preserve">政府性基金支出预算支出 </w:t>
      </w:r>
      <w:r>
        <w:rPr>
          <w:rFonts w:hint="eastAsia" w:ascii="仿宋_GB2312" w:hAnsi="宋体" w:eastAsia="仿宋_GB2312" w:cs="宋体"/>
          <w:color w:val="auto"/>
          <w:kern w:val="0"/>
          <w:sz w:val="32"/>
          <w:szCs w:val="32"/>
          <w:highlight w:val="none"/>
          <w:lang w:val="en-US" w:eastAsia="zh-CN"/>
        </w:rPr>
        <w:t>2139.36</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宋体" w:eastAsia="仿宋_GB2312" w:cs="宋体"/>
          <w:color w:val="auto"/>
          <w:kern w:val="0"/>
          <w:sz w:val="32"/>
          <w:szCs w:val="32"/>
          <w:highlight w:val="none"/>
          <w:lang w:val="en-US" w:eastAsia="zh-CN"/>
        </w:rPr>
        <w:t>465.23</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27.79 %</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2024年度财政安排《呼图壁县政府投资项目剩余工程款分期付款协议》纳入政府性基金预算</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城乡社区</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212</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城乡基础实施配套安排的支出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其他城乡基础实施配套安排的支出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99</w:t>
      </w:r>
      <w:r>
        <w:rPr>
          <w:rFonts w:hint="eastAsia" w:ascii="仿宋_GB2312" w:hAnsi="仿宋_GB2312" w:eastAsia="仿宋_GB2312" w:cs="仿宋_GB2312"/>
          <w:color w:val="auto"/>
          <w:sz w:val="32"/>
          <w:szCs w:val="32"/>
          <w:highlight w:val="none"/>
        </w:rPr>
        <w:t>项）支出</w:t>
      </w:r>
      <w:r>
        <w:rPr>
          <w:rFonts w:hint="eastAsia" w:ascii="仿宋_GB2312" w:hAnsi="宋体" w:eastAsia="仿宋_GB2312" w:cs="宋体"/>
          <w:color w:val="auto"/>
          <w:kern w:val="0"/>
          <w:sz w:val="32"/>
          <w:szCs w:val="32"/>
          <w:highlight w:val="none"/>
          <w:lang w:val="en-US" w:eastAsia="zh-CN"/>
        </w:rPr>
        <w:t>2139.36</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宋体" w:eastAsia="仿宋_GB2312" w:cs="宋体"/>
          <w:color w:val="auto"/>
          <w:kern w:val="0"/>
          <w:sz w:val="32"/>
          <w:szCs w:val="32"/>
          <w:highlight w:val="none"/>
          <w:lang w:val="en-US" w:eastAsia="zh-CN"/>
        </w:rPr>
        <w:t>465.23</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27.79 %</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2024年度财政安排《呼图壁县政府投资项目剩余工程款分期付款协议》纳入政府性基金预算</w:t>
      </w:r>
      <w:r>
        <w:rPr>
          <w:rFonts w:hint="eastAsia" w:ascii="仿宋_GB2312" w:hAnsi="仿宋_GB2312" w:eastAsia="仿宋_GB2312" w:cs="仿宋_GB2312"/>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呼图壁县教育局2024年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呼图壁县教育局2024年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 xml:space="preserve">减少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   ；</w:t>
      </w:r>
      <w:r>
        <w:rPr>
          <w:rFonts w:hint="eastAsia" w:ascii="仿宋_GB2312" w:hAnsi="宋体" w:eastAsia="仿宋_GB2312" w:cs="宋体"/>
          <w:color w:val="auto"/>
          <w:kern w:val="0"/>
          <w:sz w:val="32"/>
          <w:szCs w:val="32"/>
          <w:highlight w:val="none"/>
        </w:rPr>
        <w:t xml:space="preserve">公务用车购置费增加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 xml:space="preserve">  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在做2024年预算时</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错列到办公费里，导致本年预算</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为0万元</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本年度未安排预算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呼图壁县教育局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呼图壁县教育局2024年</w:t>
      </w:r>
      <w:r>
        <w:rPr>
          <w:rFonts w:hint="eastAsia" w:ascii="仿宋_GB2312" w:hAnsi="仿宋_GB2312" w:eastAsia="仿宋_GB2312" w:cs="仿宋_GB2312"/>
          <w:color w:val="auto"/>
          <w:kern w:val="0"/>
          <w:sz w:val="32"/>
          <w:szCs w:val="32"/>
          <w:highlight w:val="none"/>
          <w:lang w:val="en-US" w:eastAsia="zh-CN"/>
        </w:rPr>
        <w:t>上年结转结余42.35万元，包括：财政拨款42.35万元，非财政拨款0万元，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1.2023年城乡义务教育补助经费（中央直达资金）（义务段学校校舍维修改造</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42.35</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主要用于：义务段学校校舍维修改造。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呼图壁县教育局2024年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74.18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2.18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3.03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工会经费拨款列入2024年预算里</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呼图壁县教育局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3939.85</w:t>
      </w:r>
      <w:r>
        <w:rPr>
          <w:rFonts w:hint="eastAsia" w:ascii="仿宋_GB2312" w:hAnsi="仿宋_GB2312" w:eastAsia="仿宋_GB2312" w:cs="仿宋_GB2312"/>
          <w:color w:val="auto"/>
          <w:kern w:val="0"/>
          <w:sz w:val="32"/>
          <w:szCs w:val="32"/>
          <w:highlight w:val="none"/>
        </w:rPr>
        <w:t xml:space="preserve">万元，其中：政府采购货物预算  </w:t>
      </w:r>
      <w:r>
        <w:rPr>
          <w:rFonts w:hint="eastAsia" w:ascii="仿宋_GB2312" w:hAnsi="仿宋_GB2312" w:eastAsia="仿宋_GB2312" w:cs="仿宋_GB2312"/>
          <w:color w:val="auto"/>
          <w:kern w:val="0"/>
          <w:sz w:val="32"/>
          <w:szCs w:val="32"/>
          <w:highlight w:val="none"/>
          <w:lang w:val="en-US" w:eastAsia="zh-CN"/>
        </w:rPr>
        <w:t>373.1</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3230.52</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336.23</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呼图壁县教育局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3939.85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3939.85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呼图壁县教育局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3150.59</w:t>
      </w:r>
      <w:r>
        <w:rPr>
          <w:rFonts w:hint="eastAsia" w:ascii="仿宋_GB2312" w:hAnsi="仿宋_GB2312" w:eastAsia="仿宋_GB2312" w:cs="仿宋_GB2312"/>
          <w:color w:val="auto"/>
          <w:kern w:val="0"/>
          <w:sz w:val="32"/>
          <w:szCs w:val="32"/>
          <w:highlight w:val="none"/>
        </w:rPr>
        <w:t xml:space="preserve">   平方米，价值  </w:t>
      </w:r>
      <w:r>
        <w:rPr>
          <w:rFonts w:hint="eastAsia" w:ascii="仿宋_GB2312" w:hAnsi="仿宋_GB2312" w:eastAsia="仿宋_GB2312" w:cs="仿宋_GB2312"/>
          <w:color w:val="auto"/>
          <w:kern w:val="0"/>
          <w:sz w:val="32"/>
          <w:szCs w:val="32"/>
          <w:highlight w:val="none"/>
          <w:lang w:val="en-US" w:eastAsia="zh-CN"/>
        </w:rPr>
        <w:t>93.68</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77.68</w:t>
      </w:r>
      <w:r>
        <w:rPr>
          <w:rFonts w:hint="eastAsia" w:ascii="仿宋_GB2312" w:hAnsi="仿宋_GB2312" w:eastAsia="仿宋_GB2312" w:cs="仿宋_GB2312"/>
          <w:color w:val="auto"/>
          <w:kern w:val="0"/>
          <w:sz w:val="32"/>
          <w:szCs w:val="32"/>
          <w:highlight w:val="none"/>
        </w:rPr>
        <w:t xml:space="preserve"> 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万元；其他车辆 </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77.68</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67.8</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209.01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部门（单位）价值50万元以上大型设备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部门（单位）预算未安排购置车辆经费（或安排购置车辆经费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整体预算绩效目标1个，涉及金额7545.12万元；当年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涉及预算金额8975.46万元；当年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tabs>
                <w:tab w:val="left" w:pos="757"/>
              </w:tabs>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ab/>
            </w:r>
            <w:r>
              <w:rPr>
                <w:rFonts w:hint="eastAsia" w:ascii="宋体" w:hAnsi="宋体" w:cs="宋体"/>
                <w:i w:val="0"/>
                <w:iCs w:val="0"/>
                <w:color w:val="000000"/>
                <w:sz w:val="20"/>
                <w:szCs w:val="20"/>
                <w:highlight w:val="none"/>
                <w:u w:val="none"/>
                <w:lang w:eastAsia="zh-CN"/>
              </w:rPr>
              <w:t>呼图壁县教育和科学技术局</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阿依曼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15899063009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全面贯彻执行党和国家、自治区、自治州有关教育工作的方针政策、法律法规，拟定县教育改革与发展的政策措施和规划并监督实施；负责全县各级各类教育的统筹规划和综合协调，制定教育事业发展规划、教育教学改革；参与县本级教育经费预决算的管理；指导各级各类学校的体卫艺、劳动实践、科学、国防、共青团、少先队、安全维稳等工作；负责教育系统人才队伍建设、招生考试、对外交流合作、教育信息化、国家通用语言文字推广普及应用工作；承担县人民政府教育督导委员会的具体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rPr>
            </w:pPr>
            <w:r>
              <w:rPr>
                <w:rFonts w:hint="eastAsia" w:ascii="Calibri" w:hAnsi="Calibri" w:cs="Calibri"/>
                <w:i w:val="0"/>
                <w:iCs w:val="0"/>
                <w:color w:val="000000"/>
                <w:kern w:val="0"/>
                <w:sz w:val="22"/>
                <w:szCs w:val="22"/>
                <w:highlight w:val="none"/>
                <w:u w:val="none"/>
                <w:lang w:val="en-US" w:eastAsia="zh-CN" w:bidi="ar"/>
              </w:rPr>
              <w:t>7545.12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各级各类学校享受资助补助政策学生数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&gt;=18076人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九年义务教育统计总表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义务教育阶段当年毕业生数量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&gt;=1200人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义务教育阶段学生巩固率统计表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巩固学前教育毛入学率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2023-2024年学前毛入园率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义务教育阶段学生巩固率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义务教育阶段学生巩固率统计表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highlight w:val="none"/>
                <w:u w:val="none"/>
              </w:rPr>
            </w:pPr>
          </w:p>
        </w:tc>
      </w:tr>
    </w:tbl>
    <w:tbl>
      <w:tblPr>
        <w:tblStyle w:val="6"/>
        <w:tblW w:w="940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449"/>
        <w:gridCol w:w="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20" w:hRule="atLeast"/>
        </w:trPr>
        <w:tc>
          <w:tcPr>
            <w:tcW w:w="936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936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3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8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2024年城乡义务教育补助经费（中央直达资金）中小学公用经费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1373.86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1373.86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8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both"/>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1、落实城乡统一，重在农村的义务教育经费保障机制； </w:t>
            </w:r>
          </w:p>
          <w:p>
            <w:pPr>
              <w:keepNext w:val="0"/>
              <w:keepLines w:val="0"/>
              <w:widowControl/>
              <w:suppressLineNumbers w:val="0"/>
              <w:shd w:val="clear"/>
              <w:jc w:val="both"/>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2、普通中小学每生每年720元，初中生每生每年940元，通过城乡义务教育补助经费，帮助当地教师提高教学水平和业务能力，从而提高当地学生综合成绩； </w:t>
            </w:r>
          </w:p>
          <w:p>
            <w:pPr>
              <w:keepNext w:val="0"/>
              <w:keepLines w:val="0"/>
              <w:widowControl/>
              <w:suppressLineNumbers w:val="0"/>
              <w:shd w:val="clear"/>
              <w:jc w:val="both"/>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3、学校校舍日常维修改造质量达标率100%，进一步保障全县校舍安全。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938"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小学公用经费享受人数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&gt;=9518人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808"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初中公用经费享受人数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&gt;=5153人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1138"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改善学校办公条件，数量达标率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746"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教师素质培训合格率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资金下达及时率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小学公用经费补助标准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=720元/年/生</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中学公用经费补助标准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=940元/年/生</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596"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推动呼图壁教育均衡发展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9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3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08"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08"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2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2024年城乡义务教育补助经费（中央直达资金）（中小学家庭经济困难学生生活补助）</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523.91</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523.91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29"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1、落实城乡统一，重在农村的义务教育经费保障机制；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2、家庭经济困难学生生活负担，从而提高当地学生综合成绩。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8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小学享受补助人数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=440人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中学享受补助人数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=2283人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资助政策覆盖率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资金足额到位率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资助资金按时发放率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小学生补助标准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=1250元/生/年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初中生补助标准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=1500元/生/年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减轻家庭经济困难学生生活负担</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keepNext w:val="0"/>
        <w:keepLines w:val="0"/>
        <w:pageBreakBefore w:val="0"/>
        <w:widowControl w:val="0"/>
        <w:shd w:val="clear"/>
        <w:kinsoku/>
        <w:wordWrap/>
        <w:overflowPunct/>
        <w:topLinePunct w:val="0"/>
        <w:autoSpaceDE/>
        <w:autoSpaceDN/>
        <w:bidi w:val="0"/>
        <w:adjustRightInd/>
        <w:snapToGrid/>
        <w:spacing w:line="600" w:lineRule="exact"/>
        <w:jc w:val="both"/>
        <w:textAlignment w:val="auto"/>
        <w:rPr>
          <w:rFonts w:hint="eastAsia" w:ascii="宋体" w:hAnsi="宋体" w:eastAsia="宋体" w:cs="宋体"/>
          <w:b/>
          <w:kern w:val="0"/>
          <w:sz w:val="18"/>
          <w:szCs w:val="18"/>
          <w:highlight w:val="none"/>
        </w:rPr>
      </w:pPr>
    </w:p>
    <w:p>
      <w:pPr>
        <w:pStyle w:val="2"/>
        <w:shd w:val="clear"/>
        <w:rPr>
          <w:rFonts w:hint="eastAsia" w:ascii="宋体" w:hAnsi="宋体" w:eastAsia="宋体" w:cs="宋体"/>
          <w:b/>
          <w:kern w:val="0"/>
          <w:sz w:val="18"/>
          <w:szCs w:val="18"/>
          <w:highlight w:val="none"/>
        </w:rPr>
      </w:pPr>
    </w:p>
    <w:p>
      <w:pPr>
        <w:shd w:val="clear"/>
        <w:rPr>
          <w:rFonts w:hint="eastAsia" w:ascii="宋体" w:hAnsi="宋体" w:eastAsia="宋体" w:cs="宋体"/>
          <w:b/>
          <w:kern w:val="0"/>
          <w:sz w:val="18"/>
          <w:szCs w:val="18"/>
          <w:highlight w:val="none"/>
        </w:rPr>
      </w:pPr>
    </w:p>
    <w:tbl>
      <w:tblPr>
        <w:tblStyle w:val="6"/>
        <w:tblW w:w="940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449"/>
        <w:gridCol w:w="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08"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08"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2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2024年城乡义务教育补助经费（中央直达资金）（义务段学校校舍维修改造）</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490</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29"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1、落实城乡统一，农村义务教育经费保障机制；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2、学校校舍日常维修改造质量达标率100%，进一步保障全县校舍安全。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8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农村学校校舍维修数量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&gt;=3所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新建或改造校舍验收合格率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购置设备的质量合格率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校舍的改扩建及时率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设施设备采购及时率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推动呼图壁教育均衡发展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家长、学生满意度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20" w:hRule="atLeast"/>
        </w:trPr>
        <w:tc>
          <w:tcPr>
            <w:tcW w:w="936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36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8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2024年教育费附加</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8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1、加快发展地方教育事业，改善城乡中小学办学条件  </w:t>
            </w:r>
          </w:p>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2、改善职业学校教学设施，发展地方教育事业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3、改善学校幼儿园办学条件，进一步保障全县校教育教学水平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项目覆盖学校数量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新建或改造校舍验收合格率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购置设备的质量合格率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校舍的改扩建完成及时率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设施设备采购及时率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推动呼图壁教育均衡发展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0"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b/>
          <w:kern w:val="0"/>
          <w:sz w:val="18"/>
          <w:szCs w:val="18"/>
          <w:highlight w:val="none"/>
        </w:rPr>
      </w:pPr>
    </w:p>
    <w:p>
      <w:pPr>
        <w:shd w:val="clear"/>
        <w:rPr>
          <w:rFonts w:hint="eastAsia" w:ascii="仿宋_GB2312" w:hAnsi="仿宋_GB2312" w:eastAsia="仿宋_GB2312" w:cs="仿宋_GB2312"/>
          <w:b/>
          <w:kern w:val="0"/>
          <w:sz w:val="18"/>
          <w:szCs w:val="18"/>
          <w:highlight w:val="none"/>
        </w:rPr>
      </w:pPr>
    </w:p>
    <w:p>
      <w:pPr>
        <w:shd w:val="clear"/>
        <w:rPr>
          <w:rFonts w:hint="eastAsia" w:ascii="仿宋_GB2312" w:hAnsi="仿宋_GB2312" w:eastAsia="仿宋_GB2312" w:cs="仿宋_GB2312"/>
          <w:b/>
          <w:kern w:val="0"/>
          <w:sz w:val="18"/>
          <w:szCs w:val="18"/>
          <w:highlight w:val="none"/>
        </w:rPr>
      </w:pPr>
    </w:p>
    <w:tbl>
      <w:tblPr>
        <w:tblStyle w:val="6"/>
        <w:tblW w:w="912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2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2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12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1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2024年新疆西藏等地区教育特殊补助资金（中央资金）（幼儿园园舍维修资金）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216.52</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216.52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4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1、落实城乡统一，重在农村的学前教育经费保障机制 2、幼儿园校舍日常维修改造质量达标率100%，进一步保障全县幼儿园园舍安全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涉及幼儿园校舍维护数量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幼儿享受人数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=3405人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资金足额到位率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园舍的改扩建完成及时率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设施设备采购及时率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推动当地教育均衡发展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b/>
          <w:kern w:val="0"/>
          <w:sz w:val="18"/>
          <w:szCs w:val="18"/>
          <w:highlight w:val="none"/>
        </w:rPr>
      </w:pPr>
    </w:p>
    <w:p>
      <w:pPr>
        <w:shd w:val="clear"/>
        <w:rPr>
          <w:rFonts w:hint="eastAsia"/>
          <w:highlight w:val="none"/>
        </w:rPr>
      </w:pPr>
    </w:p>
    <w:p>
      <w:pPr>
        <w:shd w:val="clear"/>
        <w:rPr>
          <w:rFonts w:hint="eastAsia" w:ascii="宋体" w:hAnsi="宋体" w:eastAsia="宋体" w:cs="宋体"/>
          <w:b/>
          <w:kern w:val="0"/>
          <w:sz w:val="18"/>
          <w:szCs w:val="18"/>
          <w:highlight w:val="none"/>
        </w:rPr>
      </w:pPr>
    </w:p>
    <w:tbl>
      <w:tblPr>
        <w:tblStyle w:val="6"/>
        <w:tblW w:w="945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5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5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45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7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2024年义务教育薄弱环节改善与能力提升补助资金（中央资金）（义务教育薄改资金）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1427</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1427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7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持续改善农村义务教育基本办学条件 </w:t>
            </w:r>
          </w:p>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有序扩大城镇学位供给。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稳步提升学校办学能力。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5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班级学生数量控制数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&lt;=45人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建设项目合格率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设备采购质量合格率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校舍建设年度计划完成率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设备采购年度计划完成率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学校教学质量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进一步提升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学校和老师满意度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家长和学生满意度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b/>
          <w:kern w:val="0"/>
          <w:sz w:val="18"/>
          <w:szCs w:val="18"/>
          <w:highlight w:val="none"/>
        </w:rPr>
      </w:pPr>
    </w:p>
    <w:p>
      <w:pPr>
        <w:shd w:val="clear"/>
        <w:rPr>
          <w:rFonts w:hint="eastAsia"/>
          <w:highlight w:val="none"/>
        </w:rPr>
      </w:pPr>
    </w:p>
    <w:p>
      <w:pPr>
        <w:shd w:val="clear"/>
        <w:rPr>
          <w:rFonts w:hint="eastAsia" w:ascii="宋体" w:hAnsi="宋体" w:eastAsia="宋体" w:cs="宋体"/>
          <w:b/>
          <w:kern w:val="0"/>
          <w:sz w:val="18"/>
          <w:szCs w:val="18"/>
          <w:highlight w:val="none"/>
        </w:rPr>
      </w:pPr>
    </w:p>
    <w:tbl>
      <w:tblPr>
        <w:tblStyle w:val="6"/>
        <w:tblW w:w="927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27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27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2024年中央“三区”人才教师专项工作补助经费（中央资金）(三区人才经费）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帮助受教学校提升教育教学质量和教育教学水平和业务能力，改善授受学校办学管理水平，进一步提高乡村教师队伍素质，切实推进基础教育事业水平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选派支教教师数量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选派支教教师综合素质合格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选派支教教师国家通用语言文字能力合格率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经费支出及时率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每位支教教师补助标准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=2万元/人/年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推动当地教育均衡发展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有成效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shd w:val="clear"/>
        <w:rPr>
          <w:rFonts w:hint="eastAsia" w:ascii="宋体" w:hAnsi="宋体" w:eastAsia="宋体" w:cs="宋体"/>
          <w:b/>
          <w:kern w:val="0"/>
          <w:sz w:val="18"/>
          <w:szCs w:val="18"/>
          <w:highlight w:val="none"/>
        </w:rPr>
      </w:pPr>
    </w:p>
    <w:p>
      <w:pPr>
        <w:pStyle w:val="2"/>
        <w:shd w:val="clear"/>
        <w:rPr>
          <w:rFonts w:hint="eastAsia"/>
          <w:highlight w:val="none"/>
        </w:rPr>
      </w:pPr>
    </w:p>
    <w:tbl>
      <w:tblPr>
        <w:tblStyle w:val="6"/>
        <w:tblW w:w="940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0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08"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（国家通用语言文字工作经费）2024年非定额</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帮助受教学校提升教育教学质量和教育教学水平和业务能力，改善授受学校办学管理水平，进一步提高乡村教师队伍素质，切实推进基础教育事业水平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推动普通话培训活动数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提高通用语言文字达标率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&gt;=85%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提高当地教师国家通用语言文字能力</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家长学生满意度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sz w:val="18"/>
          <w:szCs w:val="18"/>
          <w:highlight w:val="none"/>
        </w:rPr>
      </w:pPr>
    </w:p>
    <w:p>
      <w:pPr>
        <w:shd w:val="clear"/>
        <w:rPr>
          <w:rFonts w:hint="eastAsia" w:ascii="宋体" w:hAnsi="宋体" w:eastAsia="宋体" w:cs="宋体"/>
          <w:sz w:val="18"/>
          <w:szCs w:val="18"/>
          <w:highlight w:val="none"/>
        </w:rPr>
      </w:pPr>
    </w:p>
    <w:p>
      <w:pPr>
        <w:shd w:val="clear"/>
        <w:rPr>
          <w:rFonts w:hint="eastAsia" w:ascii="宋体" w:hAnsi="宋体" w:eastAsia="宋体" w:cs="宋体"/>
          <w:b/>
          <w:kern w:val="0"/>
          <w:sz w:val="18"/>
          <w:szCs w:val="18"/>
          <w:highlight w:val="none"/>
        </w:rPr>
      </w:pPr>
    </w:p>
    <w:p>
      <w:pPr>
        <w:pStyle w:val="2"/>
        <w:shd w:val="clear"/>
        <w:rPr>
          <w:rFonts w:hint="eastAsia"/>
          <w:highlight w:val="none"/>
        </w:rPr>
      </w:pPr>
    </w:p>
    <w:tbl>
      <w:tblPr>
        <w:tblStyle w:val="6"/>
        <w:tblW w:w="929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205"/>
        <w:gridCol w:w="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99"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299" w:type="dxa"/>
            <w:gridSpan w:val="10"/>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2024年政府隐性债务支出责任（教育）</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952.46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952.46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0"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1、按签订的还款协议逐年化解政府债务，做好防范化解地方政府债务各项工作。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2、用于中小学幼儿园建设项目、设备购置，改善办学条件。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欠款清欠项目数量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&gt;=15个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涉及学校幼儿园数量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&gt;=48所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资金足额到位率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预算资金支付执行率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资金拨付及时率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债务清欠还款资金支出成本控制率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改善中小学幼儿园办学条件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20"/>
                <w:szCs w:val="20"/>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20"/>
                <w:szCs w:val="20"/>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280" w:hRule="atLeast"/>
        </w:trPr>
        <w:tc>
          <w:tcPr>
            <w:tcW w:w="9124"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124"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1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2023年城乡义务教育补助经费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42.35</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42.35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4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1、落实城乡统一，农村义务教育经费保障机制； 2、学校校舍日常维修改造质量达标率100%，进一步保障全县校舍安全。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农村学校校舍维修数量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新建或改造校舍验收合格率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购置设备的质量合格率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校舍的改扩建及时率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设施设备采购及时率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推动呼图壁教育均衡发展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效果显著</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5" w:type="dxa"/>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家长、学生满意度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75" w:type="dxa"/>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sz w:val="18"/>
          <w:szCs w:val="18"/>
          <w:highlight w:val="none"/>
        </w:rPr>
      </w:pPr>
    </w:p>
    <w:p>
      <w:pPr>
        <w:shd w:val="clear"/>
        <w:rPr>
          <w:rFonts w:hint="eastAsia" w:ascii="宋体" w:hAnsi="宋体" w:eastAsia="宋体" w:cs="宋体"/>
          <w:sz w:val="18"/>
          <w:szCs w:val="18"/>
          <w:highlight w:val="none"/>
        </w:rPr>
      </w:pPr>
    </w:p>
    <w:tbl>
      <w:tblPr>
        <w:tblStyle w:val="6"/>
        <w:tblW w:w="934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1422"/>
      </w:tblGrid>
      <w:tr>
        <w:tblPrEx>
          <w:tblCellMar>
            <w:top w:w="0" w:type="dxa"/>
            <w:left w:w="108" w:type="dxa"/>
            <w:bottom w:w="0" w:type="dxa"/>
            <w:right w:w="108" w:type="dxa"/>
          </w:tblCellMar>
        </w:tblPrEx>
        <w:trPr>
          <w:trHeight w:val="420" w:hRule="atLeast"/>
        </w:trPr>
        <w:tc>
          <w:tcPr>
            <w:tcW w:w="9341"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41" w:type="dxa"/>
            <w:gridSpan w:val="9"/>
            <w:tcBorders>
              <w:top w:val="nil"/>
              <w:left w:val="nil"/>
              <w:bottom w:val="nil"/>
              <w:right w:val="nil"/>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呼图壁县教育和科学技术局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2024年政府隐性债务支出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阿德力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2139.36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2139.36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6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hd w:val="clear"/>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1、按签订的还款协议逐年化解政府债务，做好防范化解地方政府债务各项工作。  </w:t>
            </w:r>
          </w:p>
          <w:p>
            <w:pPr>
              <w:keepNext w:val="0"/>
              <w:keepLines w:val="0"/>
              <w:widowControl/>
              <w:suppressLineNumbers w:val="0"/>
              <w:shd w:val="clear"/>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2、用于中小学幼儿园建设项目、设备购置，改善办学条件。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欠款清欠项目数量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&gt;=5个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涉及学校幼儿园数量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&lt;=48所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资金足额到位率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预算资金支付执行率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资金拨付及时率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债务清欠还款资金成本控制率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改善中小学幼儿园办学条件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bl>
    <w:p>
      <w:pPr>
        <w:pStyle w:val="2"/>
        <w:shd w:val="clear"/>
        <w:rPr>
          <w:rFonts w:hint="eastAsia" w:ascii="宋体" w:hAnsi="宋体" w:eastAsia="宋体" w:cs="宋体"/>
          <w:sz w:val="18"/>
          <w:szCs w:val="18"/>
          <w:highlight w:val="none"/>
        </w:rPr>
      </w:pPr>
    </w:p>
    <w:p>
      <w:pPr>
        <w:shd w:val="clear"/>
        <w:rPr>
          <w:rFonts w:hint="eastAsia" w:ascii="宋体" w:hAnsi="宋体" w:eastAsia="宋体" w:cs="宋体"/>
          <w:sz w:val="18"/>
          <w:szCs w:val="18"/>
          <w:highlight w:val="none"/>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呼图壁县教育局</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shd w:val="clear"/>
        <w:rPr>
          <w:highlight w:val="none"/>
        </w:rPr>
      </w:pPr>
    </w:p>
    <w:p>
      <w:pPr>
        <w:shd w:val="clea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right="1"/>
      <w:jc w:val="right"/>
      <w:rPr>
        <w:rFonts w:ascii="Calibri" w:hAnsi="Calibri" w:eastAsia="Calibri" w:cs="Calibri"/>
        <w:sz w:val="17"/>
        <w:szCs w:val="17"/>
      </w:rPr>
    </w:pPr>
    <w:r>
      <w:rPr>
        <w:rFonts w:ascii="Calibri" w:hAnsi="Calibri" w:eastAsia="Calibri" w:cs="Calibri"/>
        <w:spacing w:val="4"/>
        <w:sz w:val="17"/>
        <w:szCs w:val="17"/>
      </w:rPr>
      <w:t>-</w:t>
    </w:r>
    <w:r>
      <w:rPr>
        <w:rFonts w:ascii="Calibri" w:hAnsi="Calibri" w:eastAsia="Calibri" w:cs="Calibri"/>
        <w:spacing w:val="2"/>
        <w:sz w:val="17"/>
        <w:szCs w:val="17"/>
      </w:rPr>
      <w:t xml:space="preserve"> 1 -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MjRjODhlMDM4ZDExOGU2Y2MyYzE0ZWMzMDE4NjgifQ=="/>
  </w:docVars>
  <w:rsids>
    <w:rsidRoot w:val="10587512"/>
    <w:rsid w:val="002B1485"/>
    <w:rsid w:val="00EE2224"/>
    <w:rsid w:val="01C02535"/>
    <w:rsid w:val="03CF75C5"/>
    <w:rsid w:val="04267B2D"/>
    <w:rsid w:val="05397FD9"/>
    <w:rsid w:val="05997E8B"/>
    <w:rsid w:val="070E6657"/>
    <w:rsid w:val="07950B26"/>
    <w:rsid w:val="08450B28"/>
    <w:rsid w:val="09722ECD"/>
    <w:rsid w:val="0B247F12"/>
    <w:rsid w:val="0D1F336B"/>
    <w:rsid w:val="0D6E5FD0"/>
    <w:rsid w:val="0E9208E7"/>
    <w:rsid w:val="0EE43993"/>
    <w:rsid w:val="10587512"/>
    <w:rsid w:val="10916BDA"/>
    <w:rsid w:val="10DD46B8"/>
    <w:rsid w:val="12A56ABE"/>
    <w:rsid w:val="1300779B"/>
    <w:rsid w:val="13C57E39"/>
    <w:rsid w:val="14EB539A"/>
    <w:rsid w:val="150F1F18"/>
    <w:rsid w:val="151C48DD"/>
    <w:rsid w:val="15C606C3"/>
    <w:rsid w:val="162C08A7"/>
    <w:rsid w:val="1697741D"/>
    <w:rsid w:val="1732414C"/>
    <w:rsid w:val="195F7C30"/>
    <w:rsid w:val="19AF7825"/>
    <w:rsid w:val="19CA5FB8"/>
    <w:rsid w:val="1ACB5591"/>
    <w:rsid w:val="1BEB54C3"/>
    <w:rsid w:val="1C3C6084"/>
    <w:rsid w:val="1CEB6DC6"/>
    <w:rsid w:val="1D3E1AFE"/>
    <w:rsid w:val="1EB61656"/>
    <w:rsid w:val="1F4A4C4E"/>
    <w:rsid w:val="206E043A"/>
    <w:rsid w:val="20C77B4A"/>
    <w:rsid w:val="20DD55C0"/>
    <w:rsid w:val="21D43151"/>
    <w:rsid w:val="22C05E7B"/>
    <w:rsid w:val="22DB78DD"/>
    <w:rsid w:val="23F40BAB"/>
    <w:rsid w:val="244D65B8"/>
    <w:rsid w:val="2492221D"/>
    <w:rsid w:val="25226303"/>
    <w:rsid w:val="26B4291F"/>
    <w:rsid w:val="26E769FA"/>
    <w:rsid w:val="28EB12EF"/>
    <w:rsid w:val="292357F3"/>
    <w:rsid w:val="293B2E83"/>
    <w:rsid w:val="2A012DF7"/>
    <w:rsid w:val="2AFC4894"/>
    <w:rsid w:val="2BC36D83"/>
    <w:rsid w:val="2BFF1215"/>
    <w:rsid w:val="2D480265"/>
    <w:rsid w:val="2D977453"/>
    <w:rsid w:val="2E0660A4"/>
    <w:rsid w:val="2EF22236"/>
    <w:rsid w:val="31DE5041"/>
    <w:rsid w:val="342E1F62"/>
    <w:rsid w:val="362F5B1E"/>
    <w:rsid w:val="391334D5"/>
    <w:rsid w:val="3DFA2EB5"/>
    <w:rsid w:val="3FDF4D23"/>
    <w:rsid w:val="41350D1D"/>
    <w:rsid w:val="41391F47"/>
    <w:rsid w:val="41EC7E8C"/>
    <w:rsid w:val="42D111E4"/>
    <w:rsid w:val="42D36040"/>
    <w:rsid w:val="430B22C4"/>
    <w:rsid w:val="43C26223"/>
    <w:rsid w:val="43D8307E"/>
    <w:rsid w:val="444167B1"/>
    <w:rsid w:val="44721C01"/>
    <w:rsid w:val="44EA6E8B"/>
    <w:rsid w:val="46C71DA3"/>
    <w:rsid w:val="46CE3131"/>
    <w:rsid w:val="48645AFB"/>
    <w:rsid w:val="48C82477"/>
    <w:rsid w:val="491D214E"/>
    <w:rsid w:val="494F7907"/>
    <w:rsid w:val="4C0055E5"/>
    <w:rsid w:val="4C3677AE"/>
    <w:rsid w:val="4C706B3A"/>
    <w:rsid w:val="4E950EFF"/>
    <w:rsid w:val="4FC23950"/>
    <w:rsid w:val="51C15CED"/>
    <w:rsid w:val="52285DEB"/>
    <w:rsid w:val="52AD62F0"/>
    <w:rsid w:val="53001302"/>
    <w:rsid w:val="53F62B15"/>
    <w:rsid w:val="546308FE"/>
    <w:rsid w:val="59593ECF"/>
    <w:rsid w:val="59F91E1B"/>
    <w:rsid w:val="5AD34C11"/>
    <w:rsid w:val="5CAE0FB1"/>
    <w:rsid w:val="5F2346ED"/>
    <w:rsid w:val="61086613"/>
    <w:rsid w:val="63473BF7"/>
    <w:rsid w:val="6408782B"/>
    <w:rsid w:val="65051AE9"/>
    <w:rsid w:val="651F307E"/>
    <w:rsid w:val="65322CBF"/>
    <w:rsid w:val="6562740E"/>
    <w:rsid w:val="65C42009"/>
    <w:rsid w:val="68CC52CB"/>
    <w:rsid w:val="68DE4FFE"/>
    <w:rsid w:val="694B58D7"/>
    <w:rsid w:val="69CE4E15"/>
    <w:rsid w:val="6A94006A"/>
    <w:rsid w:val="6B7F3246"/>
    <w:rsid w:val="6B831C2E"/>
    <w:rsid w:val="6EB8093E"/>
    <w:rsid w:val="6EF07839"/>
    <w:rsid w:val="6F63000B"/>
    <w:rsid w:val="72B56DCF"/>
    <w:rsid w:val="72DD00D4"/>
    <w:rsid w:val="74E219D2"/>
    <w:rsid w:val="75B570E6"/>
    <w:rsid w:val="77A86F03"/>
    <w:rsid w:val="77BB7010"/>
    <w:rsid w:val="780A1873"/>
    <w:rsid w:val="787D11B8"/>
    <w:rsid w:val="792C5912"/>
    <w:rsid w:val="79420C91"/>
    <w:rsid w:val="7B61768D"/>
    <w:rsid w:val="7BBC1A92"/>
    <w:rsid w:val="7E8B30DA"/>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17027</Words>
  <Characters>20775</Characters>
  <Lines>0</Lines>
  <Paragraphs>0</Paragraphs>
  <TotalTime>0</TotalTime>
  <ScaleCrop>false</ScaleCrop>
  <LinksUpToDate>false</LinksUpToDate>
  <CharactersWithSpaces>22310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2024-03-01T10:03:00Z</cp:lastPrinted>
  <dcterms:modified xsi:type="dcterms:W3CDTF">2025-06-17T04:05:19Z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9E3EF024F3EB45379FB2C4D76D993DDB_13</vt:lpwstr>
  </property>
</Properties>
</file>