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both"/>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kern w:val="0"/>
          <w:sz w:val="44"/>
          <w:szCs w:val="44"/>
          <w:lang w:val="en-US" w:eastAsia="zh-CN"/>
        </w:rPr>
        <w:t>中国人民解放军新疆维吾尔自治区</w:t>
      </w:r>
      <w:r>
        <w:rPr>
          <w:rFonts w:hint="eastAsia" w:ascii="方正小标宋_GBK" w:hAnsi="宋体" w:eastAsia="方正小标宋_GBK"/>
          <w:kern w:val="0"/>
          <w:sz w:val="44"/>
          <w:szCs w:val="44"/>
        </w:rPr>
        <w:t>呼图壁县人民武装部</w:t>
      </w:r>
      <w:r>
        <w:rPr>
          <w:rFonts w:hint="eastAsia" w:ascii="方正小标宋_GBK" w:hAnsi="宋体" w:eastAsia="方正小标宋_GBK"/>
          <w:kern w:val="0"/>
          <w:sz w:val="44"/>
          <w:szCs w:val="44"/>
          <w:lang w:val="en-US" w:eastAsia="zh-CN"/>
        </w:rPr>
        <w:t>2024年单位</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中国人民解放军新疆维吾尔自治区呼图壁县人民武装部</w:t>
      </w:r>
      <w:r>
        <w:rPr>
          <w:rFonts w:hint="eastAsia" w:ascii="仿宋_GB2312" w:hAnsi="仿宋_GB2312" w:eastAsia="仿宋_GB2312" w:cs="仿宋_GB2312"/>
          <w:b/>
          <w:color w:val="auto"/>
          <w:kern w:val="0"/>
          <w:sz w:val="32"/>
          <w:szCs w:val="32"/>
          <w:highlight w:val="none"/>
          <w:lang w:eastAsia="zh-CN"/>
        </w:rPr>
        <w:t>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中国人民解放军新疆维吾尔自治区呼图壁县人民武装部预算公开表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中国人民解放军新疆维吾尔自治区呼图壁县人民武装部预算情况说明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四、关于中国人民解放军新疆维吾尔自治区呼图壁县人民武装部</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关于中国人民解放军新疆维吾尔自治区呼图壁县人民武装部</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关于中国人民解放军新疆维吾尔自治区呼图壁县人民武装部</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关于中国人民解放军新疆维吾尔自治区呼图壁县人民武装部</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中国人民解放军新疆维吾尔自治区呼图壁县人民武装部</w:t>
      </w:r>
      <w:r>
        <w:rPr>
          <w:rFonts w:hint="eastAsia" w:ascii="黑体" w:hAnsi="黑体" w:eastAsia="黑体"/>
          <w:color w:val="auto"/>
          <w:kern w:val="0"/>
          <w:sz w:val="32"/>
          <w:szCs w:val="32"/>
          <w:highlight w:val="none"/>
          <w:lang w:eastAsia="zh-CN"/>
        </w:rPr>
        <w:t>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napToGrid w:val="0"/>
        <w:spacing w:line="660" w:lineRule="exact"/>
        <w:ind w:firstLine="616" w:firstLineChars="200"/>
        <w:rPr>
          <w:rFonts w:ascii="仿宋_GB2312" w:hAnsi="宋体" w:eastAsia="仿宋_GB2312" w:cs="宋体"/>
          <w:bCs/>
          <w:kern w:val="0"/>
          <w:sz w:val="32"/>
          <w:szCs w:val="32"/>
        </w:rPr>
      </w:pP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仿宋" w:eastAsia="仿宋_GB2312"/>
          <w:sz w:val="32"/>
          <w:szCs w:val="32"/>
        </w:rPr>
        <w:t>是昌吉军分区和县政府双重领导的国防动员军事</w:t>
      </w:r>
      <w:r>
        <w:rPr>
          <w:rFonts w:hint="eastAsia" w:ascii="仿宋_GB2312" w:hAnsi="仿宋" w:eastAsia="仿宋_GB2312"/>
          <w:sz w:val="32"/>
          <w:szCs w:val="32"/>
          <w:lang w:eastAsia="zh-CN"/>
        </w:rPr>
        <w:t>单位</w:t>
      </w:r>
      <w:r>
        <w:rPr>
          <w:rFonts w:hint="eastAsia" w:ascii="仿宋_GB2312" w:hAnsi="仿宋" w:eastAsia="仿宋_GB2312"/>
          <w:sz w:val="32"/>
          <w:szCs w:val="32"/>
        </w:rPr>
        <w:t>，人民武装部全年主要开展是组织民兵训练工作、专武干部培训，军事训练工作、组织民兵参加维稳</w:t>
      </w:r>
      <w:r>
        <w:rPr>
          <w:rFonts w:hint="eastAsia" w:ascii="仿宋_GB2312" w:hAnsi="仿宋" w:eastAsia="仿宋_GB2312"/>
          <w:sz w:val="32"/>
          <w:szCs w:val="32"/>
          <w:lang w:eastAsia="zh-CN"/>
        </w:rPr>
        <w:t>执勤</w:t>
      </w:r>
      <w:r>
        <w:rPr>
          <w:rFonts w:hint="eastAsia" w:ascii="仿宋_GB2312" w:hAnsi="仿宋" w:eastAsia="仿宋_GB2312"/>
          <w:sz w:val="32"/>
          <w:szCs w:val="32"/>
        </w:rPr>
        <w:t>工作、地方扶贫帮困工作、抢险救灾工作、征兵工作、国防动员教育、地方经济建设等工作。</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snapToGrid w:val="0"/>
        <w:spacing w:line="660" w:lineRule="exact"/>
        <w:ind w:firstLine="616" w:firstLineChars="200"/>
        <w:rPr>
          <w:rFonts w:hint="eastAsia" w:ascii="仿宋_GB2312" w:hAnsi="仿宋" w:eastAsia="仿宋_GB2312"/>
          <w:sz w:val="32"/>
          <w:szCs w:val="32"/>
          <w:lang w:eastAsia="zh-CN"/>
        </w:rPr>
      </w:pP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黑体" w:eastAsia="仿宋_GB2312" w:cs="宋体"/>
          <w:bCs/>
          <w:color w:val="auto"/>
          <w:kern w:val="0"/>
          <w:sz w:val="32"/>
          <w:szCs w:val="32"/>
          <w:highlight w:val="none"/>
        </w:rPr>
        <w:t>无下属预算单位</w:t>
      </w:r>
      <w:r>
        <w:rPr>
          <w:rFonts w:hint="eastAsia" w:ascii="仿宋_GB2312" w:hAnsi="黑体" w:eastAsia="仿宋_GB2312" w:cs="宋体"/>
          <w:bCs/>
          <w:color w:val="auto"/>
          <w:kern w:val="0"/>
          <w:sz w:val="32"/>
          <w:szCs w:val="32"/>
          <w:highlight w:val="none"/>
          <w:lang w:eastAsia="zh-CN"/>
        </w:rPr>
        <w:t>，</w:t>
      </w:r>
      <w:r>
        <w:rPr>
          <w:rFonts w:hint="eastAsia" w:ascii="仿宋_GB2312" w:hAnsi="黑体" w:eastAsia="仿宋_GB2312" w:cs="宋体"/>
          <w:bCs/>
          <w:kern w:val="0"/>
          <w:sz w:val="32"/>
          <w:szCs w:val="32"/>
        </w:rPr>
        <w:t>下设</w:t>
      </w:r>
      <w:r>
        <w:rPr>
          <w:rFonts w:hint="eastAsia" w:ascii="仿宋_GB2312" w:hAnsi="黑体" w:eastAsia="仿宋_GB2312" w:cs="宋体"/>
          <w:bCs/>
          <w:kern w:val="0"/>
          <w:sz w:val="32"/>
          <w:szCs w:val="32"/>
          <w:lang w:val="en-US" w:eastAsia="zh-CN"/>
        </w:rPr>
        <w:t>3</w:t>
      </w:r>
      <w:r>
        <w:rPr>
          <w:rFonts w:hint="eastAsia" w:ascii="仿宋_GB2312" w:hAnsi="黑体" w:eastAsia="仿宋_GB2312" w:cs="宋体"/>
          <w:bCs/>
          <w:kern w:val="0"/>
          <w:sz w:val="32"/>
          <w:szCs w:val="32"/>
        </w:rPr>
        <w:t>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室，分别是：军事科</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政工科</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保障科</w:t>
      </w:r>
      <w:r>
        <w:rPr>
          <w:rFonts w:hint="eastAsia" w:ascii="仿宋_GB2312" w:hAnsi="宋体" w:eastAsia="仿宋_GB2312" w:cs="宋体"/>
          <w:kern w:val="0"/>
          <w:sz w:val="32"/>
          <w:szCs w:val="32"/>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color w:val="auto"/>
          <w:spacing w:val="-6"/>
          <w:kern w:val="0"/>
          <w:sz w:val="32"/>
          <w:szCs w:val="32"/>
          <w:highlight w:val="none"/>
        </w:rPr>
        <w:t>中国人民解放军新疆维吾尔自治区呼图壁县人民武装部</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8个</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11</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198.05</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228.84</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14.47</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7.10</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9.22</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228.84</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228.84</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单位收入总体情况表</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 xml:space="preserve">中国人民解放军新疆维吾尔自治区呼图壁县人民武装部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10380" w:type="dxa"/>
        <w:tblInd w:w="-757" w:type="dxa"/>
        <w:tblLayout w:type="fixed"/>
        <w:tblCellMar>
          <w:top w:w="0" w:type="dxa"/>
          <w:left w:w="108" w:type="dxa"/>
          <w:bottom w:w="0" w:type="dxa"/>
          <w:right w:w="108" w:type="dxa"/>
        </w:tblCellMar>
      </w:tblPr>
      <w:tblGrid>
        <w:gridCol w:w="555"/>
        <w:gridCol w:w="169"/>
        <w:gridCol w:w="251"/>
        <w:gridCol w:w="480"/>
        <w:gridCol w:w="990"/>
        <w:gridCol w:w="840"/>
        <w:gridCol w:w="825"/>
        <w:gridCol w:w="885"/>
        <w:gridCol w:w="555"/>
        <w:gridCol w:w="300"/>
        <w:gridCol w:w="705"/>
        <w:gridCol w:w="600"/>
        <w:gridCol w:w="870"/>
        <w:gridCol w:w="645"/>
        <w:gridCol w:w="510"/>
        <w:gridCol w:w="525"/>
        <w:gridCol w:w="675"/>
      </w:tblGrid>
      <w:tr>
        <w:tblPrEx>
          <w:tblLayout w:type="fixed"/>
          <w:tblCellMar>
            <w:top w:w="0" w:type="dxa"/>
            <w:left w:w="108" w:type="dxa"/>
            <w:bottom w:w="0" w:type="dxa"/>
            <w:right w:w="108" w:type="dxa"/>
          </w:tblCellMar>
        </w:tblPrEx>
        <w:trPr>
          <w:trHeight w:val="697" w:hRule="atLeast"/>
        </w:trPr>
        <w:tc>
          <w:tcPr>
            <w:tcW w:w="1455"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9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4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74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4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2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7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724" w:type="dxa"/>
            <w:gridSpan w:val="2"/>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251"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8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9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2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8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5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0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7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4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2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7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一般公共服务支出</w:t>
            </w:r>
          </w:p>
        </w:tc>
        <w:tc>
          <w:tcPr>
            <w:tcW w:w="840"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825"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885"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555"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shd w:val="clear" w:color="000000" w:fill="FFFFFF"/>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shd w:val="clear" w:color="000000" w:fill="FFFFFF"/>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政府办公厅（室）及相关机构事务</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198.05</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198.05</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198.05</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50</w:t>
            </w: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事业运行</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98.05</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98.05</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660"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201</w:t>
            </w:r>
          </w:p>
        </w:tc>
        <w:tc>
          <w:tcPr>
            <w:tcW w:w="420" w:type="dxa"/>
            <w:gridSpan w:val="2"/>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03</w:t>
            </w:r>
          </w:p>
        </w:tc>
        <w:tc>
          <w:tcPr>
            <w:tcW w:w="480"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99</w:t>
            </w:r>
          </w:p>
        </w:tc>
        <w:tc>
          <w:tcPr>
            <w:tcW w:w="9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b w:val="0"/>
                <w:bCs w:val="0"/>
                <w:sz w:val="18"/>
                <w:szCs w:val="18"/>
                <w:lang w:val="en-US" w:eastAsia="zh-CN"/>
              </w:rPr>
            </w:pPr>
            <w:r>
              <w:rPr>
                <w:rFonts w:hint="eastAsia" w:ascii="仿宋_GB2312" w:hAnsi="仿宋_GB2312" w:eastAsia="仿宋_GB2312" w:cs="仿宋_GB2312"/>
                <w:b w:val="0"/>
                <w:bCs w:val="0"/>
                <w:sz w:val="18"/>
                <w:szCs w:val="18"/>
                <w:lang w:val="en-US" w:eastAsia="zh-CN"/>
              </w:rPr>
              <w:t>其他政府办公厅（室）及相关机构事务支出</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100.00</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100.00</w:t>
            </w:r>
          </w:p>
        </w:tc>
        <w:tc>
          <w:tcPr>
            <w:tcW w:w="885"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100.00</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60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87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lang w:eastAsia="zh-CN"/>
              </w:rPr>
              <w:t>社会保障和就业支出</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825"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hAnsi="仿宋_GB2312" w:eastAsia="仿宋_GB2312" w:cs="仿宋_GB2312"/>
                <w:color w:val="000000"/>
                <w:sz w:val="18"/>
                <w:szCs w:val="18"/>
                <w:lang w:val="en-US" w:eastAsia="zh-CN"/>
              </w:rPr>
              <w:t>14.47</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14.47</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lang w:eastAsia="zh-CN"/>
              </w:rPr>
              <w:t>行政事业单位养老支出</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14.47</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14.47</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14.47</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208</w:t>
            </w:r>
          </w:p>
        </w:tc>
        <w:tc>
          <w:tcPr>
            <w:tcW w:w="420" w:type="dxa"/>
            <w:gridSpan w:val="2"/>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05</w:t>
            </w:r>
          </w:p>
        </w:tc>
        <w:tc>
          <w:tcPr>
            <w:tcW w:w="480" w:type="dxa"/>
            <w:tcBorders>
              <w:top w:val="nil"/>
              <w:left w:val="nil"/>
              <w:bottom w:val="single" w:color="auto" w:sz="4" w:space="0"/>
              <w:right w:val="single" w:color="auto" w:sz="4" w:space="0"/>
            </w:tcBorders>
            <w:noWrap w:val="0"/>
            <w:vAlign w:val="center"/>
          </w:tcPr>
          <w:p>
            <w:pPr>
              <w:jc w:val="lef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01</w:t>
            </w:r>
          </w:p>
        </w:tc>
        <w:tc>
          <w:tcPr>
            <w:tcW w:w="990" w:type="dxa"/>
            <w:tcBorders>
              <w:top w:val="nil"/>
              <w:left w:val="nil"/>
              <w:bottom w:val="single" w:color="auto" w:sz="4" w:space="0"/>
              <w:right w:val="single" w:color="auto" w:sz="4" w:space="0"/>
            </w:tcBorders>
            <w:noWrap w:val="0"/>
            <w:vAlign w:val="center"/>
          </w:tcPr>
          <w:p>
            <w:pPr>
              <w:jc w:val="center"/>
              <w:rPr>
                <w:rFonts w:hint="default" w:ascii="仿宋_GB2312" w:hAnsi="仿宋_GB2312" w:eastAsia="仿宋_GB2312" w:cs="仿宋_GB2312"/>
                <w:b w:val="0"/>
                <w:bCs w:val="0"/>
                <w:sz w:val="18"/>
                <w:szCs w:val="18"/>
                <w:lang w:val="en-US" w:eastAsia="zh-CN"/>
              </w:rPr>
            </w:pPr>
            <w:r>
              <w:rPr>
                <w:rFonts w:hint="eastAsia" w:ascii="仿宋_GB2312" w:hAnsi="仿宋_GB2312" w:eastAsia="仿宋_GB2312" w:cs="仿宋_GB2312"/>
                <w:b w:val="0"/>
                <w:bCs w:val="0"/>
                <w:sz w:val="18"/>
                <w:szCs w:val="18"/>
                <w:lang w:val="en-US" w:eastAsia="zh-CN"/>
              </w:rPr>
              <w:t>行政单位离退休</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3.41</w:t>
            </w:r>
          </w:p>
        </w:tc>
        <w:tc>
          <w:tcPr>
            <w:tcW w:w="82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3.41</w:t>
            </w:r>
          </w:p>
        </w:tc>
        <w:tc>
          <w:tcPr>
            <w:tcW w:w="88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3.41</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705"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60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87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rPr>
            </w:pP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b w:val="0"/>
                <w:bCs w:val="0"/>
                <w:sz w:val="18"/>
                <w:szCs w:val="18"/>
              </w:rPr>
              <w:t>机关事业单位基本 养老保险缴费支出</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hAnsi="仿宋_GB2312" w:eastAsia="仿宋_GB2312" w:cs="仿宋_GB2312"/>
                <w:color w:val="000000"/>
                <w:sz w:val="18"/>
                <w:szCs w:val="18"/>
                <w:lang w:val="en-US" w:eastAsia="zh-CN"/>
              </w:rPr>
              <w:t>11.06</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11.06</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11.06</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卫生健康支出</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7.10</w:t>
            </w:r>
            <w:r>
              <w:rPr>
                <w:rFonts w:hint="eastAsia" w:ascii="仿宋_GB2312" w:hAnsi="仿宋_GB2312" w:eastAsia="仿宋_GB2312" w:cs="仿宋_GB2312"/>
                <w:color w:val="000000"/>
                <w:sz w:val="18"/>
                <w:szCs w:val="18"/>
              </w:rPr>
              <w:t>　</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7.10</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7.10</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行政事业单位医疗</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hAnsi="仿宋_GB2312" w:eastAsia="仿宋_GB2312" w:cs="仿宋_GB2312"/>
                <w:color w:val="000000"/>
                <w:sz w:val="18"/>
                <w:szCs w:val="18"/>
                <w:lang w:val="en-US" w:eastAsia="zh-CN"/>
              </w:rPr>
              <w:t>7.10</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7.10</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7.10</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行政单位医疗</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hAnsi="仿宋_GB2312" w:eastAsia="仿宋_GB2312" w:cs="仿宋_GB2312"/>
                <w:color w:val="000000"/>
                <w:sz w:val="18"/>
                <w:szCs w:val="18"/>
                <w:lang w:val="en-US" w:eastAsia="zh-CN"/>
              </w:rPr>
              <w:t>5.53</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5.53</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5.53</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公务员医疗补助</w:t>
            </w:r>
          </w:p>
        </w:tc>
        <w:tc>
          <w:tcPr>
            <w:tcW w:w="840" w:type="dxa"/>
            <w:tcBorders>
              <w:top w:val="nil"/>
              <w:left w:val="nil"/>
              <w:bottom w:val="single" w:color="auto" w:sz="4" w:space="0"/>
              <w:right w:val="single" w:color="auto" w:sz="4" w:space="0"/>
            </w:tcBorders>
            <w:noWrap w:val="0"/>
            <w:vAlign w:val="center"/>
          </w:tcPr>
          <w:p>
            <w:pPr>
              <w:jc w:val="right"/>
              <w:rPr>
                <w:rFonts w:hint="default" w:ascii="仿宋_GB2312" w:hAnsi="宋体" w:eastAsia="仿宋_GB2312" w:cs="宋体"/>
                <w:color w:val="auto"/>
                <w:sz w:val="20"/>
                <w:szCs w:val="20"/>
                <w:highlight w:val="none"/>
                <w:lang w:val="en-US"/>
              </w:rPr>
            </w:pPr>
            <w:r>
              <w:rPr>
                <w:rFonts w:hint="eastAsia" w:ascii="仿宋_GB2312" w:hAnsi="仿宋_GB2312" w:eastAsia="仿宋_GB2312" w:cs="仿宋_GB2312"/>
                <w:color w:val="000000"/>
                <w:sz w:val="18"/>
                <w:szCs w:val="18"/>
                <w:lang w:val="en-US" w:eastAsia="zh-CN"/>
              </w:rPr>
              <w:t>1.52</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1.52</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1.52</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99</w:t>
            </w: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其他行政事业单位医疗支出</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住房保障支出</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r>
              <w:rPr>
                <w:rFonts w:hint="eastAsia" w:ascii="仿宋_GB2312" w:hAnsi="仿宋_GB2312" w:eastAsia="仿宋_GB2312" w:cs="仿宋_GB2312"/>
                <w:color w:val="000000"/>
                <w:sz w:val="18"/>
                <w:szCs w:val="18"/>
              </w:rPr>
              <w:t>　</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eastAsia="zh-CN"/>
              </w:rPr>
              <w:t>住房改革支出</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55"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20" w:type="dxa"/>
            <w:gridSpan w:val="2"/>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48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990" w:type="dxa"/>
            <w:tcBorders>
              <w:top w:val="nil"/>
              <w:left w:val="nil"/>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住房公积金</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lang w:val="en-US" w:eastAsia="zh-CN"/>
              </w:rPr>
              <w:t>9.22</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hAnsi="仿宋_GB2312" w:eastAsia="仿宋_GB2312" w:cs="仿宋_GB2312"/>
                <w:color w:val="000000"/>
                <w:sz w:val="18"/>
                <w:szCs w:val="18"/>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724" w:type="dxa"/>
            <w:gridSpan w:val="2"/>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25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9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8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228.84</w:t>
            </w:r>
            <w:r>
              <w:rPr>
                <w:rFonts w:hint="eastAsia" w:ascii="仿宋_GB2312" w:eastAsia="仿宋_GB2312"/>
                <w:color w:val="auto"/>
                <w:sz w:val="20"/>
                <w:szCs w:val="20"/>
                <w:highlight w:val="none"/>
              </w:rPr>
              <w:t>　</w:t>
            </w:r>
          </w:p>
        </w:tc>
        <w:tc>
          <w:tcPr>
            <w:tcW w:w="82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228.84</w:t>
            </w:r>
            <w:r>
              <w:rPr>
                <w:rFonts w:hint="eastAsia" w:ascii="仿宋_GB2312" w:eastAsia="仿宋_GB2312"/>
                <w:color w:val="auto"/>
                <w:sz w:val="20"/>
                <w:szCs w:val="20"/>
                <w:highlight w:val="none"/>
              </w:rPr>
              <w:t>　</w:t>
            </w:r>
          </w:p>
        </w:tc>
        <w:tc>
          <w:tcPr>
            <w:tcW w:w="88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228.84</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3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0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7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2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75"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r>
        <w:rPr>
          <w:rFonts w:hint="eastAsia" w:ascii="宋体" w:hAnsi="宋体" w:cs="宋体"/>
          <w:i w:val="0"/>
          <w:color w:val="auto"/>
          <w:kern w:val="0"/>
          <w:sz w:val="20"/>
          <w:szCs w:val="20"/>
          <w:highlight w:val="none"/>
          <w:u w:val="none"/>
          <w:lang w:val="en-US" w:eastAsia="zh-CN" w:bidi="ar"/>
        </w:rPr>
        <w:t>。；</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486"/>
        <w:gridCol w:w="417"/>
        <w:gridCol w:w="417"/>
        <w:gridCol w:w="2562"/>
        <w:gridCol w:w="1829"/>
        <w:gridCol w:w="1830"/>
        <w:gridCol w:w="1879"/>
      </w:tblGrid>
      <w:tr>
        <w:tblPrEx>
          <w:tblLayout w:type="fixed"/>
          <w:tblCellMar>
            <w:top w:w="0" w:type="dxa"/>
            <w:left w:w="108" w:type="dxa"/>
            <w:bottom w:w="0" w:type="dxa"/>
            <w:right w:w="108" w:type="dxa"/>
          </w:tblCellMar>
        </w:tblPrEx>
        <w:trPr>
          <w:trHeight w:val="328" w:hRule="atLeast"/>
        </w:trPr>
        <w:tc>
          <w:tcPr>
            <w:tcW w:w="3882"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8"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2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9"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9"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一般公共服务支出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政府办公厅（室）及相关机构事务</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198.05</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198.05</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50</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事业运行</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99</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val="en-US" w:eastAsia="zh-CN"/>
              </w:rPr>
              <w:t>其他政府办公厅（室）及相关机构事务支出</w:t>
            </w:r>
          </w:p>
        </w:tc>
        <w:tc>
          <w:tcPr>
            <w:tcW w:w="1829"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color w:val="000000"/>
                <w:sz w:val="18"/>
                <w:szCs w:val="18"/>
                <w:lang w:val="en-US" w:eastAsia="zh-CN"/>
              </w:rPr>
            </w:pPr>
            <w:r>
              <w:rPr>
                <w:rFonts w:hint="eastAsia" w:ascii="仿宋_GB2312" w:hAnsi="仿宋_GB2312" w:eastAsia="仿宋_GB2312" w:cs="仿宋_GB2312"/>
                <w:color w:val="000000"/>
                <w:sz w:val="18"/>
                <w:szCs w:val="18"/>
                <w:lang w:val="en-US" w:eastAsia="zh-CN"/>
              </w:rPr>
              <w:t>100.00</w:t>
            </w:r>
          </w:p>
        </w:tc>
        <w:tc>
          <w:tcPr>
            <w:tcW w:w="1830" w:type="dxa"/>
            <w:tcBorders>
              <w:top w:val="nil"/>
              <w:left w:val="nil"/>
              <w:bottom w:val="single" w:color="auto" w:sz="4" w:space="0"/>
              <w:right w:val="single" w:color="auto" w:sz="4" w:space="0"/>
            </w:tcBorders>
            <w:noWrap w:val="0"/>
            <w:vAlign w:val="center"/>
          </w:tcPr>
          <w:p>
            <w:pPr>
              <w:jc w:val="right"/>
              <w:rPr>
                <w:rFonts w:hint="eastAsia" w:ascii="仿宋_GB2312" w:hAnsi="仿宋_GB2312" w:eastAsia="仿宋_GB2312" w:cs="仿宋_GB2312"/>
                <w:color w:val="000000"/>
                <w:sz w:val="18"/>
                <w:szCs w:val="18"/>
                <w:lang w:val="en-US" w:eastAsia="zh-CN"/>
              </w:rPr>
            </w:pP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100.00</w:t>
            </w: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eastAsia="zh-CN"/>
              </w:rPr>
              <w:t>社会保障和就业支出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eastAsia="zh-CN"/>
              </w:rPr>
              <w:t>行政事业单位养老支出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14.47</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14.47</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05</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01</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val="en-US" w:eastAsia="zh-CN"/>
              </w:rPr>
              <w:t>行政单位离退休</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3.41</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3.41</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rPr>
              <w:t>机关事业单位基本 养老保险缴费支出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11.06</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11.06</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卫生健康支出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7.10</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7.10</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行政事业单位医疗</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7.10</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7.10</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rPr>
              <w:t>行政单位医疗</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5.53</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5.53</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rPr>
              <w:t>公务员医疗补助</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1.52</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1.52</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99</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其他行政事业单位医疗支出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住房保障支出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9.22</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9.22</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住房改革支出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9.22</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9.22</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rPr>
              <w:t>住房公积金</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9.22</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9.22</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一般公共服务支出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政府办公厅（室）及相关机构事务</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198.05</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198.05</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50</w:t>
            </w: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eastAsia="zh-CN"/>
              </w:rPr>
              <w:t>事业运行</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201</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03</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99</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val="en-US" w:eastAsia="zh-CN"/>
              </w:rPr>
              <w:t>其他政府办公厅（室）及相关机构事务支出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100.00</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100.00</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rFonts w:ascii="宋体" w:hAnsi="宋体" w:cs="宋体"/>
                <w:b/>
                <w:bCs/>
                <w:color w:val="auto"/>
                <w:kern w:val="0"/>
                <w:sz w:val="16"/>
                <w:szCs w:val="16"/>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r>
              <w:rPr>
                <w:rFonts w:hint="eastAsia" w:ascii="仿宋_GB2312" w:hAnsi="仿宋_GB2312" w:eastAsia="仿宋_GB2312" w:cs="仿宋_GB2312"/>
                <w:b w:val="0"/>
                <w:bCs w:val="0"/>
                <w:sz w:val="18"/>
                <w:szCs w:val="18"/>
                <w:lang w:eastAsia="zh-CN"/>
              </w:rPr>
              <w:t>社会保障和就业支出</w:t>
            </w:r>
          </w:p>
        </w:tc>
        <w:tc>
          <w:tcPr>
            <w:tcW w:w="1829"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1830" w:type="dxa"/>
            <w:tcBorders>
              <w:top w:val="nil"/>
              <w:left w:val="nil"/>
              <w:bottom w:val="single" w:color="auto" w:sz="4" w:space="0"/>
              <w:right w:val="single" w:color="auto" w:sz="4" w:space="0"/>
            </w:tcBorders>
            <w:noWrap w:val="0"/>
            <w:vAlign w:val="center"/>
          </w:tcPr>
          <w:p>
            <w:pPr>
              <w:jc w:val="right"/>
              <w:rPr>
                <w:rFonts w:ascii="宋体" w:hAnsi="宋体" w:cs="宋体"/>
                <w:b/>
                <w:bCs/>
                <w:color w:val="auto"/>
                <w:kern w:val="0"/>
                <w:sz w:val="22"/>
                <w:szCs w:val="22"/>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187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jc w:val="left"/>
              <w:rPr>
                <w:color w:val="auto"/>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color w:val="auto"/>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417" w:type="dxa"/>
            <w:tcBorders>
              <w:top w:val="nil"/>
              <w:left w:val="nil"/>
              <w:bottom w:val="single" w:color="auto" w:sz="4" w:space="0"/>
              <w:right w:val="single" w:color="auto" w:sz="4" w:space="0"/>
            </w:tcBorders>
            <w:noWrap w:val="0"/>
            <w:vAlign w:val="center"/>
          </w:tcPr>
          <w:p>
            <w:pPr>
              <w:jc w:val="left"/>
              <w:rPr>
                <w:color w:val="auto"/>
                <w:highlight w:val="none"/>
              </w:rPr>
            </w:pPr>
            <w:r>
              <w:rPr>
                <w:rFonts w:hint="eastAsia" w:ascii="仿宋_GB2312" w:hAnsi="仿宋_GB2312" w:eastAsia="仿宋_GB2312" w:cs="仿宋_GB2312"/>
                <w:color w:val="000000"/>
                <w:sz w:val="18"/>
                <w:szCs w:val="18"/>
              </w:rPr>
              <w:t>　</w:t>
            </w:r>
          </w:p>
        </w:tc>
        <w:tc>
          <w:tcPr>
            <w:tcW w:w="2562" w:type="dxa"/>
            <w:tcBorders>
              <w:top w:val="nil"/>
              <w:left w:val="nil"/>
              <w:bottom w:val="single" w:color="auto" w:sz="4" w:space="0"/>
              <w:right w:val="single" w:color="auto" w:sz="4" w:space="0"/>
            </w:tcBorders>
            <w:noWrap w:val="0"/>
            <w:vAlign w:val="center"/>
          </w:tcPr>
          <w:p>
            <w:pPr>
              <w:jc w:val="center"/>
              <w:rPr>
                <w:color w:val="auto"/>
                <w:highlight w:val="none"/>
              </w:rPr>
            </w:pPr>
            <w:r>
              <w:rPr>
                <w:rFonts w:hint="eastAsia" w:ascii="仿宋_GB2312" w:hAnsi="仿宋_GB2312" w:eastAsia="仿宋_GB2312" w:cs="仿宋_GB2312"/>
                <w:b w:val="0"/>
                <w:bCs w:val="0"/>
                <w:sz w:val="18"/>
                <w:szCs w:val="18"/>
                <w:lang w:eastAsia="zh-CN"/>
              </w:rPr>
              <w:t>行政事业单位养老支出</w:t>
            </w:r>
          </w:p>
        </w:tc>
        <w:tc>
          <w:tcPr>
            <w:tcW w:w="1829" w:type="dxa"/>
            <w:tcBorders>
              <w:top w:val="nil"/>
              <w:left w:val="nil"/>
              <w:bottom w:val="single" w:color="auto" w:sz="4" w:space="0"/>
              <w:right w:val="single" w:color="auto" w:sz="4" w:space="0"/>
            </w:tcBorders>
            <w:noWrap w:val="0"/>
            <w:vAlign w:val="center"/>
          </w:tcPr>
          <w:p>
            <w:pPr>
              <w:jc w:val="right"/>
              <w:rPr>
                <w:color w:val="auto"/>
                <w:highlight w:val="none"/>
              </w:rPr>
            </w:pPr>
            <w:r>
              <w:rPr>
                <w:rFonts w:hint="eastAsia" w:ascii="仿宋_GB2312" w:hAnsi="仿宋_GB2312" w:eastAsia="仿宋_GB2312" w:cs="仿宋_GB2312"/>
                <w:color w:val="000000"/>
                <w:sz w:val="18"/>
                <w:szCs w:val="18"/>
                <w:lang w:val="en-US" w:eastAsia="zh-CN"/>
              </w:rPr>
              <w:t>14.47</w:t>
            </w:r>
          </w:p>
        </w:tc>
        <w:tc>
          <w:tcPr>
            <w:tcW w:w="1830" w:type="dxa"/>
            <w:tcBorders>
              <w:top w:val="nil"/>
              <w:left w:val="nil"/>
              <w:bottom w:val="single" w:color="auto" w:sz="4" w:space="0"/>
              <w:right w:val="single" w:color="auto" w:sz="4" w:space="0"/>
            </w:tcBorders>
            <w:noWrap w:val="0"/>
            <w:vAlign w:val="center"/>
          </w:tcPr>
          <w:p>
            <w:pPr>
              <w:jc w:val="right"/>
              <w:rPr>
                <w:color w:val="auto"/>
                <w:highlight w:val="none"/>
              </w:rPr>
            </w:pPr>
            <w:r>
              <w:rPr>
                <w:rFonts w:hint="eastAsia" w:ascii="仿宋_GB2312" w:hAnsi="仿宋_GB2312" w:eastAsia="仿宋_GB2312" w:cs="仿宋_GB2312"/>
                <w:color w:val="000000"/>
                <w:sz w:val="18"/>
                <w:szCs w:val="18"/>
                <w:lang w:val="en-US" w:eastAsia="zh-CN"/>
              </w:rPr>
              <w:t>14.47</w:t>
            </w:r>
          </w:p>
        </w:tc>
        <w:tc>
          <w:tcPr>
            <w:tcW w:w="1879"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48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6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9"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b/>
                <w:bCs/>
                <w:color w:val="000000"/>
                <w:sz w:val="18"/>
                <w:szCs w:val="18"/>
                <w:lang w:val="en-US" w:eastAsia="zh-CN"/>
              </w:rPr>
            </w:pPr>
            <w:r>
              <w:rPr>
                <w:rFonts w:hint="eastAsia" w:ascii="仿宋_GB2312" w:hAnsi="仿宋_GB2312" w:eastAsia="仿宋_GB2312" w:cs="仿宋_GB2312"/>
                <w:b/>
                <w:bCs/>
                <w:color w:val="000000"/>
                <w:sz w:val="18"/>
                <w:szCs w:val="18"/>
                <w:lang w:val="en-US" w:eastAsia="zh-CN"/>
              </w:rPr>
              <w:t>　228.84</w:t>
            </w:r>
          </w:p>
        </w:tc>
        <w:tc>
          <w:tcPr>
            <w:tcW w:w="1830"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b/>
                <w:bCs/>
                <w:color w:val="000000"/>
                <w:sz w:val="18"/>
                <w:szCs w:val="18"/>
                <w:lang w:val="en-US" w:eastAsia="zh-CN"/>
              </w:rPr>
            </w:pPr>
            <w:r>
              <w:rPr>
                <w:rFonts w:hint="eastAsia" w:ascii="仿宋_GB2312" w:hAnsi="仿宋_GB2312" w:eastAsia="仿宋_GB2312" w:cs="仿宋_GB2312"/>
                <w:b/>
                <w:bCs/>
                <w:color w:val="000000"/>
                <w:sz w:val="18"/>
                <w:szCs w:val="18"/>
                <w:lang w:val="en-US" w:eastAsia="zh-CN"/>
              </w:rPr>
              <w:t>　128.84</w:t>
            </w:r>
          </w:p>
        </w:tc>
        <w:tc>
          <w:tcPr>
            <w:tcW w:w="1879"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b/>
                <w:bCs/>
                <w:color w:val="000000"/>
                <w:sz w:val="18"/>
                <w:szCs w:val="18"/>
                <w:lang w:val="en-US" w:eastAsia="zh-CN"/>
              </w:rPr>
            </w:pPr>
            <w:r>
              <w:rPr>
                <w:rFonts w:hint="eastAsia" w:ascii="仿宋_GB2312" w:hAnsi="仿宋_GB2312" w:eastAsia="仿宋_GB2312" w:cs="仿宋_GB2312"/>
                <w:b/>
                <w:bCs/>
                <w:color w:val="000000"/>
                <w:sz w:val="18"/>
                <w:szCs w:val="18"/>
                <w:lang w:val="en-US" w:eastAsia="zh-CN"/>
              </w:rPr>
              <w:t>　100.00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s="Times New Roman"/>
          <w:color w:val="auto"/>
          <w:kern w:val="0"/>
          <w:sz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198.05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198.05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228.84</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14.47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7.10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9.22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228.84</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228.84</w:t>
            </w:r>
            <w:r>
              <w:rPr>
                <w:rFonts w:hint="eastAsia" w:ascii="仿宋_GB2312" w:hAnsi="宋体" w:eastAsia="仿宋_GB2312" w:cs="宋体"/>
                <w:color w:val="auto"/>
                <w:kern w:val="0"/>
                <w:sz w:val="18"/>
                <w:szCs w:val="18"/>
                <w:highlight w:val="none"/>
                <w:lang w:val="en-US" w:eastAsia="zh-CN"/>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486"/>
        <w:gridCol w:w="500"/>
        <w:gridCol w:w="503"/>
        <w:gridCol w:w="2506"/>
        <w:gridCol w:w="1681"/>
        <w:gridCol w:w="1839"/>
        <w:gridCol w:w="1699"/>
      </w:tblGrid>
      <w:tr>
        <w:tblPrEx>
          <w:tblLayout w:type="fixed"/>
          <w:tblCellMar>
            <w:top w:w="0" w:type="dxa"/>
            <w:left w:w="108" w:type="dxa"/>
            <w:bottom w:w="0" w:type="dxa"/>
            <w:right w:w="108" w:type="dxa"/>
          </w:tblCellMar>
        </w:tblPrEx>
        <w:trPr>
          <w:trHeight w:val="450" w:hRule="atLeast"/>
        </w:trPr>
        <w:tc>
          <w:tcPr>
            <w:tcW w:w="9214"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9214" w:type="dxa"/>
            <w:gridSpan w:val="7"/>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p>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405" w:hRule="atLeast"/>
        </w:trPr>
        <w:tc>
          <w:tcPr>
            <w:tcW w:w="3995"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19"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48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06"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9"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0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lang w:eastAsia="zh-CN"/>
              </w:rPr>
              <w:t>一般公共服务支出</w:t>
            </w:r>
          </w:p>
        </w:tc>
        <w:tc>
          <w:tcPr>
            <w:tcW w:w="1681"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1839"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b/>
                <w:color w:val="auto"/>
                <w:kern w:val="0"/>
                <w:sz w:val="20"/>
                <w:szCs w:val="20"/>
                <w:highlight w:val="none"/>
              </w:rPr>
            </w:pPr>
            <w:r>
              <w:rPr>
                <w:rFonts w:hint="eastAsia" w:ascii="仿宋_GB2312" w:hAnsi="仿宋_GB2312" w:eastAsia="仿宋_GB2312" w:cs="仿宋_GB2312"/>
                <w:color w:val="000000"/>
                <w:sz w:val="18"/>
                <w:szCs w:val="18"/>
                <w:lang w:val="en-US" w:eastAsia="zh-CN"/>
              </w:rPr>
              <w:t>200.64</w:t>
            </w:r>
            <w:r>
              <w:rPr>
                <w:rFonts w:hint="eastAsia" w:ascii="仿宋_GB2312" w:hAnsi="仿宋_GB2312" w:eastAsia="仿宋_GB2312" w:cs="仿宋_GB2312"/>
                <w:color w:val="000000"/>
                <w:sz w:val="18"/>
                <w:szCs w:val="18"/>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政府办公厅（室）及相关机构事务</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198.05</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198.05</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50</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事业运行</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98.05</w:t>
            </w:r>
            <w:r>
              <w:rPr>
                <w:rFonts w:hint="eastAsia" w:ascii="仿宋_GB2312" w:hAnsi="仿宋_GB2312" w:eastAsia="仿宋_GB2312" w:cs="仿宋_GB2312"/>
                <w:color w:val="000000"/>
                <w:sz w:val="18"/>
                <w:szCs w:val="18"/>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201</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03</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99</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lang w:val="en-US" w:eastAsia="zh-CN"/>
              </w:rPr>
              <w:t>其他政府办公厅（室）及相关机构事务支出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100.00</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100.00</w:t>
            </w: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lang w:eastAsia="zh-CN"/>
              </w:rPr>
              <w:t>社会保障和就业支出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14.47</w:t>
            </w:r>
            <w:r>
              <w:rPr>
                <w:rFonts w:hint="eastAsia" w:ascii="仿宋_GB2312" w:hAnsi="仿宋_GB2312" w:eastAsia="仿宋_GB2312" w:cs="仿宋_GB2312"/>
                <w:color w:val="000000"/>
                <w:sz w:val="18"/>
                <w:szCs w:val="18"/>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lang w:eastAsia="zh-CN"/>
              </w:rPr>
              <w:t>行政事业单位养老支出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14.47</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14.47</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208</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05</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01</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lang w:val="en-US" w:eastAsia="zh-CN"/>
              </w:rPr>
              <w:t>行政单位离退休</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3.41</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3.41</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208</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05</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b w:val="0"/>
                <w:bCs w:val="0"/>
                <w:sz w:val="18"/>
                <w:szCs w:val="18"/>
              </w:rPr>
              <w:t>机关事业单位基本 养老保险缴费支出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11.06</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11.06</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卫生健康支出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7.10</w:t>
            </w:r>
            <w:r>
              <w:rPr>
                <w:rFonts w:hint="eastAsia" w:ascii="仿宋_GB2312" w:hAnsi="仿宋_GB2312" w:eastAsia="仿宋_GB2312" w:cs="仿宋_GB2312"/>
                <w:color w:val="000000"/>
                <w:sz w:val="18"/>
                <w:szCs w:val="18"/>
              </w:rPr>
              <w:t>　</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7.10</w:t>
            </w:r>
            <w:r>
              <w:rPr>
                <w:rFonts w:hint="eastAsia" w:ascii="仿宋_GB2312" w:hAnsi="仿宋_GB2312" w:eastAsia="仿宋_GB2312" w:cs="仿宋_GB2312"/>
                <w:color w:val="000000"/>
                <w:sz w:val="18"/>
                <w:szCs w:val="18"/>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行政事业单位医疗</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7.10</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7.10</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行政单位医疗</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5.53</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5.53</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公务员医疗补助</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1.52</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1.52</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210</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11</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99</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其他行政事业单位医疗支出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0.05</w:t>
            </w:r>
            <w:r>
              <w:rPr>
                <w:rFonts w:hint="eastAsia" w:ascii="仿宋_GB2312" w:hAnsi="仿宋_GB2312" w:eastAsia="仿宋_GB2312" w:cs="仿宋_GB2312"/>
                <w:color w:val="000000"/>
                <w:sz w:val="18"/>
                <w:szCs w:val="18"/>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住房保障支出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9.22</w:t>
            </w:r>
            <w:r>
              <w:rPr>
                <w:rFonts w:hint="eastAsia" w:ascii="仿宋_GB2312" w:hAnsi="仿宋_GB2312" w:eastAsia="仿宋_GB2312" w:cs="仿宋_GB2312"/>
                <w:color w:val="000000"/>
                <w:sz w:val="18"/>
                <w:szCs w:val="18"/>
              </w:rPr>
              <w:t>　</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9.22</w:t>
            </w:r>
            <w:r>
              <w:rPr>
                <w:rFonts w:hint="eastAsia" w:ascii="仿宋_GB2312" w:hAnsi="仿宋_GB2312" w:eastAsia="仿宋_GB2312" w:cs="仿宋_GB2312"/>
                <w:color w:val="000000"/>
                <w:sz w:val="18"/>
                <w:szCs w:val="18"/>
              </w:rPr>
              <w:t>　</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住房改革支出</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9.22</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9.22</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221</w:t>
            </w:r>
            <w:r>
              <w:rPr>
                <w:rFonts w:hint="eastAsia" w:ascii="仿宋_GB2312" w:hAnsi="仿宋_GB2312" w:eastAsia="仿宋_GB2312" w:cs="仿宋_GB2312"/>
                <w:color w:val="000000"/>
                <w:sz w:val="18"/>
                <w:szCs w:val="18"/>
              </w:rPr>
              <w:t>　</w:t>
            </w:r>
          </w:p>
        </w:tc>
        <w:tc>
          <w:tcPr>
            <w:tcW w:w="500"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02</w:t>
            </w:r>
            <w:r>
              <w:rPr>
                <w:rFonts w:hint="eastAsia" w:ascii="仿宋_GB2312" w:hAnsi="仿宋_GB2312" w:eastAsia="仿宋_GB2312" w:cs="仿宋_GB2312"/>
                <w:color w:val="000000"/>
                <w:sz w:val="18"/>
                <w:szCs w:val="18"/>
              </w:rPr>
              <w:t>　</w:t>
            </w:r>
          </w:p>
        </w:tc>
        <w:tc>
          <w:tcPr>
            <w:tcW w:w="503" w:type="dxa"/>
            <w:tcBorders>
              <w:top w:val="nil"/>
              <w:left w:val="nil"/>
              <w:bottom w:val="single" w:color="auto" w:sz="4" w:space="0"/>
              <w:right w:val="single" w:color="auto" w:sz="4" w:space="0"/>
            </w:tcBorders>
            <w:noWrap w:val="0"/>
            <w:vAlign w:val="center"/>
          </w:tcPr>
          <w:p>
            <w:pPr>
              <w:jc w:val="lef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01</w:t>
            </w:r>
            <w:r>
              <w:rPr>
                <w:rFonts w:hint="eastAsia" w:ascii="仿宋_GB2312" w:hAnsi="仿宋_GB2312" w:eastAsia="仿宋_GB2312" w:cs="仿宋_GB2312"/>
                <w:color w:val="000000"/>
                <w:sz w:val="18"/>
                <w:szCs w:val="18"/>
              </w:rPr>
              <w:t>　</w:t>
            </w:r>
          </w:p>
        </w:tc>
        <w:tc>
          <w:tcPr>
            <w:tcW w:w="2506" w:type="dxa"/>
            <w:tcBorders>
              <w:top w:val="nil"/>
              <w:left w:val="nil"/>
              <w:bottom w:val="single" w:color="auto" w:sz="4" w:space="0"/>
              <w:right w:val="single" w:color="auto" w:sz="4" w:space="0"/>
            </w:tcBorders>
            <w:noWrap w:val="0"/>
            <w:vAlign w:val="center"/>
          </w:tcPr>
          <w:p>
            <w:pP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住房公积金</w:t>
            </w:r>
          </w:p>
        </w:tc>
        <w:tc>
          <w:tcPr>
            <w:tcW w:w="1681"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9.22</w:t>
            </w:r>
          </w:p>
        </w:tc>
        <w:tc>
          <w:tcPr>
            <w:tcW w:w="1839" w:type="dxa"/>
            <w:tcBorders>
              <w:top w:val="nil"/>
              <w:left w:val="nil"/>
              <w:bottom w:val="single" w:color="auto" w:sz="4" w:space="0"/>
              <w:right w:val="single" w:color="auto" w:sz="4" w:space="0"/>
            </w:tcBorders>
            <w:noWrap w:val="0"/>
            <w:vAlign w:val="center"/>
          </w:tcPr>
          <w:p>
            <w:pPr>
              <w:jc w:val="right"/>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val="en-US" w:eastAsia="zh-CN"/>
              </w:rPr>
              <w:t>9.22</w:t>
            </w:r>
          </w:p>
        </w:tc>
        <w:tc>
          <w:tcPr>
            <w:tcW w:w="1699"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0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8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3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48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506"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1"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b/>
                <w:bCs/>
                <w:color w:val="000000"/>
                <w:sz w:val="18"/>
                <w:szCs w:val="18"/>
                <w:lang w:val="en-US" w:eastAsia="zh-CN"/>
              </w:rPr>
            </w:pPr>
            <w:r>
              <w:rPr>
                <w:rFonts w:hint="eastAsia" w:ascii="仿宋_GB2312" w:hAnsi="仿宋_GB2312" w:eastAsia="仿宋_GB2312" w:cs="仿宋_GB2312"/>
                <w:b/>
                <w:bCs/>
                <w:color w:val="000000"/>
                <w:sz w:val="18"/>
                <w:szCs w:val="18"/>
                <w:lang w:val="en-US" w:eastAsia="zh-CN"/>
              </w:rPr>
              <w:t>228.84</w:t>
            </w:r>
          </w:p>
        </w:tc>
        <w:tc>
          <w:tcPr>
            <w:tcW w:w="1839" w:type="dxa"/>
            <w:tcBorders>
              <w:top w:val="nil"/>
              <w:left w:val="nil"/>
              <w:bottom w:val="single" w:color="auto" w:sz="4" w:space="0"/>
              <w:right w:val="single" w:color="auto" w:sz="4" w:space="0"/>
            </w:tcBorders>
            <w:noWrap w:val="0"/>
            <w:vAlign w:val="center"/>
          </w:tcPr>
          <w:p>
            <w:pPr>
              <w:jc w:val="right"/>
              <w:rPr>
                <w:rFonts w:hint="default" w:ascii="仿宋_GB2312" w:hAnsi="仿宋_GB2312" w:eastAsia="仿宋_GB2312" w:cs="仿宋_GB2312"/>
                <w:b/>
                <w:bCs/>
                <w:color w:val="000000"/>
                <w:sz w:val="18"/>
                <w:szCs w:val="18"/>
                <w:lang w:val="en-US" w:eastAsia="zh-CN"/>
              </w:rPr>
            </w:pPr>
            <w:r>
              <w:rPr>
                <w:rFonts w:hint="eastAsia" w:ascii="仿宋_GB2312" w:hAnsi="仿宋_GB2312" w:eastAsia="仿宋_GB2312" w:cs="仿宋_GB2312"/>
                <w:b/>
                <w:bCs/>
                <w:color w:val="000000"/>
                <w:sz w:val="18"/>
                <w:szCs w:val="18"/>
                <w:lang w:val="en-US" w:eastAsia="zh-CN"/>
              </w:rPr>
              <w:t>228.84</w:t>
            </w:r>
          </w:p>
        </w:tc>
        <w:tc>
          <w:tcPr>
            <w:tcW w:w="16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1701"/>
        <w:gridCol w:w="1701"/>
        <w:gridCol w:w="1701"/>
      </w:tblGrid>
      <w:tr>
        <w:tblPrEx>
          <w:tblLayout w:type="fixed"/>
          <w:tblCellMar>
            <w:top w:w="0" w:type="dxa"/>
            <w:left w:w="108" w:type="dxa"/>
            <w:bottom w:w="0" w:type="dxa"/>
            <w:right w:w="108" w:type="dxa"/>
          </w:tblCellMar>
        </w:tblPrEx>
        <w:trPr>
          <w:trHeight w:val="375" w:hRule="atLeast"/>
        </w:trPr>
        <w:tc>
          <w:tcPr>
            <w:tcW w:w="9328" w:type="dxa"/>
            <w:gridSpan w:val="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9328"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s="Times New Roman"/>
                <w:color w:val="auto"/>
                <w:kern w:val="0"/>
                <w:sz w:val="24"/>
                <w:highlight w:val="none"/>
                <w:lang w:val="en-US" w:eastAsia="zh-CN"/>
              </w:rPr>
              <w:t xml:space="preserve">     </w:t>
            </w: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3"/>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111.37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111.37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仿宋_GB2312" w:eastAsia="仿宋_GB2312" w:cs="仿宋_GB2312"/>
                <w:color w:val="000000"/>
                <w:kern w:val="0"/>
                <w:sz w:val="20"/>
                <w:szCs w:val="20"/>
              </w:rPr>
              <w:t>01</w:t>
            </w:r>
          </w:p>
        </w:tc>
        <w:tc>
          <w:tcPr>
            <w:tcW w:w="2891" w:type="dxa"/>
            <w:tcBorders>
              <w:top w:val="nil"/>
              <w:left w:val="nil"/>
              <w:bottom w:val="single" w:color="auto" w:sz="4" w:space="0"/>
              <w:right w:val="single" w:color="auto" w:sz="4" w:space="0"/>
            </w:tcBorders>
            <w:noWrap w:val="0"/>
            <w:vAlign w:val="center"/>
          </w:tcPr>
          <w:p>
            <w:pPr>
              <w:widowControl/>
              <w:jc w:val="center"/>
              <w:textAlignment w:val="center"/>
              <w:rPr>
                <w:rFonts w:ascii="仿宋_GB2312" w:hAnsi="宋体" w:eastAsia="仿宋_GB2312" w:cs="宋体"/>
                <w:color w:val="auto"/>
                <w:kern w:val="0"/>
                <w:sz w:val="20"/>
                <w:szCs w:val="20"/>
                <w:highlight w:val="none"/>
              </w:rPr>
            </w:pPr>
            <w:r>
              <w:rPr>
                <w:rFonts w:hint="eastAsia" w:ascii="仿宋_GB2312" w:hAnsi="仿宋_GB2312" w:eastAsia="仿宋_GB2312" w:cs="仿宋_GB2312"/>
                <w:color w:val="000000"/>
                <w:sz w:val="18"/>
                <w:szCs w:val="18"/>
              </w:rPr>
              <w:t>基本工资</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28.79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28.79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02</w:t>
            </w:r>
          </w:p>
        </w:tc>
        <w:tc>
          <w:tcPr>
            <w:tcW w:w="2891" w:type="dxa"/>
            <w:tcBorders>
              <w:top w:val="nil"/>
              <w:left w:val="nil"/>
              <w:bottom w:val="single" w:color="auto" w:sz="4" w:space="0"/>
              <w:right w:val="single" w:color="auto" w:sz="4" w:space="0"/>
            </w:tcBorders>
            <w:noWrap w:val="0"/>
            <w:vAlign w:val="center"/>
          </w:tcPr>
          <w:p>
            <w:pPr>
              <w:widowControl/>
              <w:jc w:val="center"/>
              <w:textAlignment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18"/>
                <w:szCs w:val="18"/>
              </w:rPr>
              <w:t>津贴补贴</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26.14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26.14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奖金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21.98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21.98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08</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机关事业单位基本养老保险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11.06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11.06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10</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职工基本医疗保险缴费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5.53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5.53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11</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公务员医疗补助缴费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1.52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12</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其他社会保障缴费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13</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rPr>
              <w:t>住房公积金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9.22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9.22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rPr>
              <w:t>99</w:t>
            </w:r>
          </w:p>
        </w:tc>
        <w:tc>
          <w:tcPr>
            <w:tcW w:w="2891" w:type="dxa"/>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仿宋_GB2312" w:hAnsi="仿宋_GB2312" w:eastAsia="仿宋_GB2312" w:cs="仿宋_GB2312"/>
                <w:color w:val="000000"/>
                <w:sz w:val="18"/>
                <w:szCs w:val="18"/>
                <w:lang w:eastAsia="zh-CN"/>
              </w:rPr>
              <w:t>其他工资福利支出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6.81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6.81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商品和服务支出</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14.06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14.06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06</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邮电费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0.30</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取暖费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11.32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11.32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工会经费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1.34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3.41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退休费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3.22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奖励金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0.18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color w:val="000000"/>
                <w:kern w:val="0"/>
                <w:sz w:val="20"/>
                <w:szCs w:val="20"/>
                <w:lang w:eastAsia="zh-CN"/>
              </w:rPr>
              <w:t>其他对个人和家庭的补助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128.84</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114.78</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14.06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9"/>
        <w:gridCol w:w="477"/>
        <w:gridCol w:w="417"/>
        <w:gridCol w:w="417"/>
        <w:gridCol w:w="1052"/>
        <w:gridCol w:w="884"/>
        <w:gridCol w:w="846"/>
        <w:gridCol w:w="514"/>
        <w:gridCol w:w="846"/>
        <w:gridCol w:w="568"/>
        <w:gridCol w:w="568"/>
        <w:gridCol w:w="618"/>
        <w:gridCol w:w="418"/>
        <w:gridCol w:w="618"/>
        <w:gridCol w:w="419"/>
        <w:gridCol w:w="419"/>
        <w:gridCol w:w="383"/>
        <w:gridCol w:w="67"/>
      </w:tblGrid>
      <w:tr>
        <w:tblPrEx>
          <w:tblLayout w:type="fixed"/>
          <w:tblCellMar>
            <w:top w:w="0" w:type="dxa"/>
            <w:left w:w="108" w:type="dxa"/>
            <w:bottom w:w="0" w:type="dxa"/>
            <w:right w:w="108" w:type="dxa"/>
          </w:tblCellMar>
        </w:tblPrEx>
        <w:trPr>
          <w:gridBefore w:val="1"/>
          <w:gridAfter w:val="1"/>
          <w:wBefore w:w="9" w:type="dxa"/>
          <w:wAfter w:w="67" w:type="dxa"/>
          <w:trHeight w:val="375" w:hRule="atLeast"/>
        </w:trPr>
        <w:tc>
          <w:tcPr>
            <w:tcW w:w="9464" w:type="dxa"/>
            <w:gridSpan w:val="16"/>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9" w:type="dxa"/>
          <w:wAfter w:w="67" w:type="dxa"/>
          <w:trHeight w:val="405" w:hRule="atLeast"/>
        </w:trPr>
        <w:tc>
          <w:tcPr>
            <w:tcW w:w="9464" w:type="dxa"/>
            <w:gridSpan w:val="1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2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52"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884"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4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1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4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6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6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48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52"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88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1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noWrap w:val="0"/>
            <w:vAlign w:val="center"/>
          </w:tcPr>
          <w:p>
            <w:pPr>
              <w:jc w:val="left"/>
              <w:rPr>
                <w:rFonts w:hint="eastAsia" w:ascii="仿宋_GB2312" w:hAnsi="宋体" w:eastAsia="仿宋_GB2312"/>
                <w:color w:val="auto"/>
                <w:kern w:val="0"/>
                <w:sz w:val="32"/>
                <w:szCs w:val="32"/>
                <w:highlight w:val="none"/>
                <w:lang w:eastAsia="zh-Hans"/>
              </w:rPr>
            </w:pPr>
            <w:r>
              <w:rPr>
                <w:rFonts w:hint="eastAsia" w:ascii="仿宋_GB2312" w:hAnsi="仿宋_GB2312" w:eastAsia="仿宋_GB2312" w:cs="仿宋_GB2312"/>
                <w:color w:val="000000"/>
                <w:sz w:val="18"/>
                <w:szCs w:val="18"/>
              </w:rPr>
              <w:t>　</w:t>
            </w:r>
          </w:p>
        </w:tc>
        <w:tc>
          <w:tcPr>
            <w:tcW w:w="417"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rPr>
              <w:t>　</w:t>
            </w:r>
          </w:p>
        </w:tc>
        <w:tc>
          <w:tcPr>
            <w:tcW w:w="1052" w:type="dxa"/>
            <w:noWrap w:val="0"/>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eastAsia="zh-CN"/>
              </w:rPr>
              <w:t>一般公共服务支出</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201</w:t>
            </w:r>
            <w:r>
              <w:rPr>
                <w:rFonts w:hint="eastAsia" w:ascii="仿宋_GB2312" w:hAnsi="仿宋_GB2312" w:eastAsia="仿宋_GB2312" w:cs="仿宋_GB2312"/>
                <w:color w:val="000000"/>
                <w:sz w:val="18"/>
                <w:szCs w:val="18"/>
              </w:rPr>
              <w:t>　</w:t>
            </w:r>
          </w:p>
        </w:tc>
        <w:tc>
          <w:tcPr>
            <w:tcW w:w="417"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03</w:t>
            </w:r>
            <w:r>
              <w:rPr>
                <w:rFonts w:hint="eastAsia" w:ascii="仿宋_GB2312" w:hAnsi="仿宋_GB2312" w:eastAsia="仿宋_GB2312" w:cs="仿宋_GB2312"/>
                <w:color w:val="000000"/>
                <w:sz w:val="18"/>
                <w:szCs w:val="18"/>
              </w:rPr>
              <w:t>　</w:t>
            </w:r>
          </w:p>
        </w:tc>
        <w:tc>
          <w:tcPr>
            <w:tcW w:w="417"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rPr>
              <w:t>　</w:t>
            </w:r>
          </w:p>
        </w:tc>
        <w:tc>
          <w:tcPr>
            <w:tcW w:w="1052" w:type="dxa"/>
            <w:noWrap w:val="0"/>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eastAsia="zh-CN"/>
              </w:rPr>
              <w:t>政府办公厅（室）及相关机构事务</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201</w:t>
            </w:r>
          </w:p>
        </w:tc>
        <w:tc>
          <w:tcPr>
            <w:tcW w:w="417"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03</w:t>
            </w:r>
          </w:p>
        </w:tc>
        <w:tc>
          <w:tcPr>
            <w:tcW w:w="417" w:type="dxa"/>
            <w:noWrap w:val="0"/>
            <w:vAlign w:val="center"/>
          </w:tcPr>
          <w:p>
            <w:pPr>
              <w:jc w:val="left"/>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99</w:t>
            </w:r>
          </w:p>
        </w:tc>
        <w:tc>
          <w:tcPr>
            <w:tcW w:w="1052" w:type="dxa"/>
            <w:noWrap w:val="0"/>
            <w:vAlign w:val="center"/>
          </w:tcPr>
          <w:p>
            <w:pPr>
              <w:jc w:val="center"/>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sz w:val="18"/>
                <w:szCs w:val="18"/>
                <w:lang w:val="en-US" w:eastAsia="zh-CN"/>
              </w:rPr>
              <w:t>其他政府办公厅（室）及相关机构事务支出</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sz w:val="18"/>
                <w:szCs w:val="18"/>
                <w:lang w:val="en-US" w:eastAsia="zh-CN"/>
              </w:rPr>
              <w:t>2024年人民武装建设经费　</w:t>
            </w:r>
          </w:p>
        </w:tc>
        <w:tc>
          <w:tcPr>
            <w:tcW w:w="846" w:type="dxa"/>
            <w:noWrap w:val="0"/>
            <w:vAlign w:val="top"/>
          </w:tcPr>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 w:val="32"/>
                <w:szCs w:val="32"/>
                <w:highlight w:val="none"/>
              </w:rPr>
              <w:t>　</w:t>
            </w:r>
            <w:r>
              <w:rPr>
                <w:rFonts w:hint="eastAsia" w:ascii="仿宋_GB2312" w:hAnsi="仿宋_GB2312" w:eastAsia="仿宋_GB2312" w:cs="仿宋_GB2312"/>
                <w:color w:val="000000"/>
                <w:sz w:val="18"/>
                <w:szCs w:val="18"/>
                <w:lang w:val="en-US" w:eastAsia="zh-CN"/>
              </w:rPr>
              <w:t>100.00</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both"/>
              <w:outlineLvl w:val="1"/>
              <w:rPr>
                <w:rFonts w:hint="eastAsia" w:ascii="仿宋_GB2312" w:hAnsi="仿宋_GB2312" w:eastAsia="仿宋_GB2312" w:cs="仿宋_GB2312"/>
                <w:color w:val="000000"/>
                <w:sz w:val="18"/>
                <w:szCs w:val="18"/>
                <w:lang w:val="en-US" w:eastAsia="zh-CN"/>
              </w:rPr>
            </w:pPr>
          </w:p>
          <w:p>
            <w:pPr>
              <w:widowControl/>
              <w:jc w:val="both"/>
              <w:outlineLvl w:val="1"/>
              <w:rPr>
                <w:rFonts w:hint="eastAsia" w:ascii="仿宋_GB2312" w:hAnsi="仿宋_GB2312" w:eastAsia="仿宋_GB2312" w:cs="仿宋_GB2312"/>
                <w:color w:val="000000"/>
                <w:sz w:val="18"/>
                <w:szCs w:val="18"/>
                <w:lang w:val="en-US" w:eastAsia="zh-CN"/>
              </w:rPr>
            </w:pPr>
          </w:p>
          <w:p>
            <w:pPr>
              <w:widowControl/>
              <w:jc w:val="both"/>
              <w:outlineLvl w:val="1"/>
              <w:rPr>
                <w:rFonts w:ascii="仿宋_GB2312" w:hAnsi="宋体" w:eastAsia="仿宋_GB2312"/>
                <w:color w:val="auto"/>
                <w:kern w:val="0"/>
                <w:sz w:val="32"/>
                <w:szCs w:val="32"/>
                <w:highlight w:val="none"/>
              </w:rPr>
            </w:pPr>
            <w:r>
              <w:rPr>
                <w:rFonts w:hint="eastAsia" w:ascii="仿宋_GB2312" w:hAnsi="仿宋_GB2312" w:eastAsia="仿宋_GB2312" w:cs="仿宋_GB2312"/>
                <w:color w:val="000000"/>
                <w:sz w:val="18"/>
                <w:szCs w:val="18"/>
                <w:lang w:val="en-US" w:eastAsia="zh-CN"/>
              </w:rPr>
              <w:t>100.00</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48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052"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84"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846" w:type="dxa"/>
            <w:noWrap w:val="0"/>
            <w:vAlign w:val="center"/>
          </w:tcPr>
          <w:p>
            <w:pPr>
              <w:widowControl/>
              <w:jc w:val="center"/>
              <w:outlineLvl w:val="1"/>
              <w:rPr>
                <w:rFonts w:hint="default" w:ascii="仿宋_GB2312" w:hAnsi="宋体" w:eastAsia="仿宋_GB2312"/>
                <w:color w:val="auto"/>
                <w:kern w:val="0"/>
                <w:szCs w:val="21"/>
                <w:highlight w:val="none"/>
                <w:lang w:val="en-US" w:eastAsia="zh-CN"/>
              </w:rPr>
            </w:pPr>
            <w:r>
              <w:rPr>
                <w:rFonts w:hint="eastAsia" w:ascii="仿宋_GB2312" w:hAnsi="宋体" w:eastAsia="仿宋_GB2312"/>
                <w:color w:val="auto"/>
                <w:kern w:val="0"/>
                <w:szCs w:val="21"/>
                <w:highlight w:val="none"/>
                <w:lang w:val="en-US" w:eastAsia="zh-CN"/>
              </w:rPr>
              <w:t>100.00</w:t>
            </w:r>
          </w:p>
        </w:tc>
        <w:tc>
          <w:tcPr>
            <w:tcW w:w="514"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46" w:type="dxa"/>
            <w:noWrap w:val="0"/>
            <w:vAlign w:val="top"/>
          </w:tcPr>
          <w:p>
            <w:pPr>
              <w:widowControl/>
              <w:jc w:val="left"/>
              <w:outlineLvl w:val="1"/>
              <w:rPr>
                <w:rFonts w:hint="eastAsia" w:ascii="仿宋_GB2312" w:hAnsi="宋体" w:eastAsia="仿宋_GB2312"/>
                <w:color w:val="auto"/>
                <w:kern w:val="0"/>
                <w:szCs w:val="21"/>
                <w:highlight w:val="none"/>
                <w:lang w:val="en-US" w:eastAsia="zh-CN"/>
              </w:rPr>
            </w:pPr>
          </w:p>
          <w:p>
            <w:pPr>
              <w:widowControl/>
              <w:jc w:val="left"/>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color w:val="auto"/>
                <w:kern w:val="0"/>
                <w:szCs w:val="21"/>
                <w:highlight w:val="none"/>
                <w:lang w:val="en-US" w:eastAsia="zh-CN"/>
              </w:rPr>
              <w:t>100.00</w:t>
            </w: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6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50"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jc w:val="center"/>
        <w:rPr>
          <w:rFonts w:hint="default"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本单位2024年没有政府性基金预算支出安排，此表为空表。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center"/>
        <w:rPr>
          <w:rFonts w:hint="default" w:ascii="仿宋_GB2312" w:hAnsi="宋体" w:eastAsia="仿宋_GB2312"/>
          <w:b/>
          <w:color w:val="auto"/>
          <w:kern w:val="0"/>
          <w:sz w:val="32"/>
          <w:szCs w:val="32"/>
          <w:highlight w:val="none"/>
          <w:lang w:val="en-US" w:eastAsia="zh-CN"/>
        </w:rPr>
      </w:pPr>
      <w:r>
        <w:rPr>
          <w:rFonts w:hint="eastAsia" w:ascii="仿宋_GB2312" w:hAnsi="宋体" w:eastAsia="仿宋_GB2312"/>
          <w:b/>
          <w:color w:val="auto"/>
          <w:kern w:val="0"/>
          <w:sz w:val="32"/>
          <w:szCs w:val="32"/>
          <w:highlight w:val="none"/>
          <w:lang w:val="en-US" w:eastAsia="zh-CN"/>
        </w:rPr>
        <w:t>本单位2024年没有国有资本经营预算支出安排，此表为空表。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both"/>
        <w:rPr>
          <w:rFonts w:hint="eastAsia" w:ascii="仿宋_GB2312" w:hAnsi="宋体" w:eastAsia="仿宋_GB2312"/>
          <w:color w:val="auto"/>
          <w:kern w:val="0"/>
          <w:sz w:val="24"/>
          <w:highlight w:val="none"/>
          <w:lang w:eastAsia="zh-CN"/>
        </w:rPr>
      </w:pP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s="Times New Roman"/>
          <w:color w:val="auto"/>
          <w:kern w:val="0"/>
          <w:sz w:val="24"/>
          <w:highlight w:val="none"/>
          <w:lang w:eastAsia="zh-CN"/>
        </w:rPr>
        <w:t>中国人民解放军新疆维吾尔自治区呼图壁县人民武装部</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val="0"/>
        <w:snapToGrid w:val="0"/>
        <w:jc w:val="left"/>
        <w:textAlignment w:val="auto"/>
        <w:rPr>
          <w:rFonts w:hint="default" w:ascii="仿宋_GB2312" w:hAnsi="宋体" w:eastAsia="仿宋_GB2312"/>
          <w:b/>
          <w:color w:val="auto"/>
          <w:kern w:val="0"/>
          <w:sz w:val="28"/>
          <w:szCs w:val="28"/>
          <w:highlight w:val="none"/>
          <w:lang w:val="en-US" w:eastAsia="zh-CN"/>
        </w:rPr>
      </w:pPr>
      <w:r>
        <w:rPr>
          <w:rFonts w:hint="eastAsia" w:ascii="仿宋_GB2312" w:hAnsi="宋体" w:eastAsia="仿宋_GB2312"/>
          <w:b/>
          <w:color w:val="auto"/>
          <w:kern w:val="0"/>
          <w:sz w:val="28"/>
          <w:szCs w:val="28"/>
          <w:highlight w:val="none"/>
          <w:lang w:val="en-US" w:eastAsia="zh-CN"/>
        </w:rPr>
        <w:t>本单位2024年没有</w:t>
      </w:r>
      <w:r>
        <w:rPr>
          <w:rFonts w:hint="eastAsia" w:ascii="仿宋_GB2312" w:hAnsi="宋体" w:eastAsia="仿宋_GB2312"/>
          <w:b/>
          <w:color w:val="auto"/>
          <w:kern w:val="0"/>
          <w:sz w:val="28"/>
          <w:szCs w:val="28"/>
          <w:highlight w:val="none"/>
          <w:lang w:val="en-US" w:eastAsia="zh-Hans"/>
        </w:rPr>
        <w:t>财政拨款</w:t>
      </w:r>
      <w:r>
        <w:rPr>
          <w:rFonts w:hint="eastAsia" w:ascii="仿宋_GB2312" w:hAnsi="宋体" w:eastAsia="仿宋_GB2312"/>
          <w:b/>
          <w:color w:val="auto"/>
          <w:kern w:val="0"/>
          <w:sz w:val="28"/>
          <w:szCs w:val="28"/>
          <w:highlight w:val="none"/>
          <w:lang w:val="en-US" w:eastAsia="zh-CN"/>
        </w:rPr>
        <w:t>“三公”经费支出安排，此表为空表。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val="0"/>
        <w:snapToGrid w:val="0"/>
        <w:jc w:val="left"/>
        <w:textAlignment w:val="auto"/>
        <w:rPr>
          <w:rFonts w:hint="default" w:ascii="仿宋_GB2312" w:hAnsi="宋体" w:eastAsia="仿宋_GB2312"/>
          <w:b/>
          <w:color w:val="auto"/>
          <w:kern w:val="0"/>
          <w:sz w:val="28"/>
          <w:szCs w:val="28"/>
          <w:highlight w:val="none"/>
          <w:lang w:val="en-US" w:eastAsia="zh-CN"/>
        </w:rPr>
      </w:pPr>
      <w:r>
        <w:rPr>
          <w:rFonts w:hint="eastAsia" w:ascii="仿宋_GB2312" w:hAnsi="宋体" w:eastAsia="仿宋_GB2312"/>
          <w:b/>
          <w:color w:val="auto"/>
          <w:kern w:val="0"/>
          <w:sz w:val="28"/>
          <w:szCs w:val="28"/>
          <w:highlight w:val="none"/>
          <w:lang w:val="en-US" w:eastAsia="zh-CN"/>
        </w:rPr>
        <w:t>本单位2024年没有上年结转结余资金，此表为空表。</w:t>
      </w:r>
    </w:p>
    <w:p>
      <w:pPr>
        <w:pStyle w:val="2"/>
        <w:ind w:left="0" w:leftChars="0" w:firstLine="0" w:firstLineChars="0"/>
        <w:rPr>
          <w:rFonts w:hint="default" w:eastAsia="仿宋_GB2312"/>
          <w:lang w:val="en-US" w:eastAsia="zh-CN"/>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中国人民解放军新疆维吾尔自治区呼图壁县人民武装部预算情况说明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一、关于中国人民解放军新疆维吾尔自治区呼图壁县人民武装部</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按照全口径预算的原则，中国人民解放军新疆维吾尔自治区呼图壁县人民武装部</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所有收入和支出均纳入部单位预算管理。收支总预算</w:t>
      </w:r>
      <w:r>
        <w:rPr>
          <w:rFonts w:hint="eastAsia" w:ascii="仿宋_GB2312" w:hAnsi="宋体" w:eastAsia="仿宋_GB2312" w:cs="宋体"/>
          <w:color w:val="auto"/>
          <w:kern w:val="0"/>
          <w:sz w:val="32"/>
          <w:szCs w:val="32"/>
          <w:highlight w:val="none"/>
          <w:lang w:val="en-US" w:eastAsia="zh-CN"/>
        </w:rPr>
        <w:t>228.84</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228.84万元</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w:t>
      </w:r>
      <w:r>
        <w:rPr>
          <w:rFonts w:hint="eastAsia" w:ascii="仿宋_GB2312" w:hAnsi="宋体" w:eastAsia="仿宋_GB2312" w:cs="宋体"/>
          <w:kern w:val="0"/>
          <w:sz w:val="32"/>
          <w:szCs w:val="32"/>
          <w:lang w:val="en-US" w:eastAsia="zh-CN"/>
        </w:rPr>
        <w:t>198.05万元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val="en-US" w:eastAsia="zh-CN"/>
        </w:rPr>
        <w:t>14.47万元</w:t>
      </w:r>
      <w:r>
        <w:rPr>
          <w:rFonts w:hint="eastAsia" w:ascii="仿宋_GB2312" w:hAnsi="宋体" w:eastAsia="仿宋_GB2312" w:cs="宋体"/>
          <w:kern w:val="0"/>
          <w:sz w:val="32"/>
          <w:szCs w:val="32"/>
        </w:rPr>
        <w:t>、卫生健康支出</w:t>
      </w:r>
      <w:r>
        <w:rPr>
          <w:rFonts w:hint="eastAsia" w:ascii="仿宋_GB2312" w:hAnsi="宋体" w:eastAsia="仿宋_GB2312" w:cs="宋体"/>
          <w:kern w:val="0"/>
          <w:sz w:val="32"/>
          <w:szCs w:val="32"/>
          <w:lang w:val="en-US" w:eastAsia="zh-CN"/>
        </w:rPr>
        <w:t>7.10万元</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9.22万元</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中国人民解放军新疆维吾尔自治区呼图壁县人民武装部收入预算</w:t>
      </w:r>
      <w:r>
        <w:rPr>
          <w:rFonts w:hint="eastAsia" w:ascii="仿宋_GB2312" w:hAnsi="宋体" w:eastAsia="仿宋_GB2312" w:cs="宋体"/>
          <w:color w:val="auto"/>
          <w:kern w:val="0"/>
          <w:sz w:val="32"/>
          <w:szCs w:val="32"/>
          <w:highlight w:val="none"/>
          <w:lang w:val="en-US" w:eastAsia="zh-CN"/>
        </w:rPr>
        <w:t>228.84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228.84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0.89%，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在职人员减少1人，工资福利支出减少，公用经费支出减少</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政府性基金未安排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228.84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128.84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56.30</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1.57%，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在职人员减少1人，工资福利支出减少，公用经费支出减少。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43.70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228.84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eastAsia="zh-CN"/>
        </w:rPr>
      </w:pPr>
      <w:r>
        <w:rPr>
          <w:rFonts w:hint="eastAsia" w:ascii="仿宋_GB2312" w:hAnsi="宋体" w:eastAsia="仿宋_GB2312" w:cs="宋体"/>
          <w:color w:val="auto"/>
          <w:spacing w:val="-6"/>
          <w:kern w:val="0"/>
          <w:sz w:val="32"/>
          <w:szCs w:val="32"/>
          <w:highlight w:val="none"/>
          <w:lang w:eastAsia="zh-CN"/>
        </w:rPr>
        <w:t>收入预算包括：</w:t>
      </w:r>
      <w:r>
        <w:rPr>
          <w:rFonts w:hint="eastAsia" w:ascii="仿宋_GB2312" w:hAnsi="宋体" w:eastAsia="仿宋_GB2312" w:cs="宋体"/>
          <w:color w:val="auto"/>
          <w:spacing w:val="-6"/>
          <w:kern w:val="0"/>
          <w:sz w:val="32"/>
          <w:szCs w:val="32"/>
          <w:highlight w:val="none"/>
        </w:rPr>
        <w:t xml:space="preserve">一般公共预算拨款  </w:t>
      </w:r>
      <w:r>
        <w:rPr>
          <w:rFonts w:hint="eastAsia" w:ascii="仿宋_GB2312" w:hAnsi="宋体" w:eastAsia="仿宋_GB2312" w:cs="宋体"/>
          <w:color w:val="auto"/>
          <w:spacing w:val="-6"/>
          <w:kern w:val="0"/>
          <w:sz w:val="32"/>
          <w:szCs w:val="32"/>
          <w:highlight w:val="none"/>
          <w:lang w:val="en-US" w:eastAsia="zh-CN"/>
        </w:rPr>
        <w:t>228.84</w:t>
      </w:r>
      <w:r>
        <w:rPr>
          <w:rFonts w:hint="eastAsia" w:ascii="仿宋_GB2312" w:hAnsi="宋体" w:eastAsia="仿宋_GB2312" w:cs="宋体"/>
          <w:color w:val="auto"/>
          <w:spacing w:val="-6"/>
          <w:kern w:val="0"/>
          <w:sz w:val="32"/>
          <w:szCs w:val="32"/>
          <w:highlight w:val="none"/>
        </w:rPr>
        <w:t xml:space="preserve"> 万元</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b w:val="0"/>
          <w:bCs w:val="0"/>
          <w:kern w:val="0"/>
          <w:sz w:val="32"/>
          <w:szCs w:val="32"/>
          <w:highlight w:val="none"/>
        </w:rPr>
        <w:t>一般公共预算支出包括</w:t>
      </w:r>
      <w:r>
        <w:rPr>
          <w:rFonts w:hint="eastAsia" w:ascii="仿宋_GB2312" w:hAnsi="宋体" w:eastAsia="仿宋_GB2312" w:cs="宋体"/>
          <w:kern w:val="0"/>
          <w:sz w:val="32"/>
          <w:szCs w:val="32"/>
          <w:highlight w:val="none"/>
        </w:rPr>
        <w:t>：</w:t>
      </w:r>
      <w:r>
        <w:rPr>
          <w:rFonts w:hint="eastAsia" w:ascii="仿宋_GB2312" w:hAnsi="宋体" w:eastAsia="仿宋_GB2312" w:cs="宋体"/>
          <w:kern w:val="0"/>
          <w:sz w:val="32"/>
          <w:szCs w:val="32"/>
          <w:highlight w:val="none"/>
          <w:lang w:val="en-US" w:eastAsia="zh-CN"/>
        </w:rPr>
        <w:t>-般公共服务支出198.05万元，主要用于职工工资福利支出、退休人员独生子女父母奖励金支出、保障机关运行的商品和服务支出、项目经费支出；</w:t>
      </w:r>
      <w:r>
        <w:rPr>
          <w:rFonts w:hint="eastAsia" w:ascii="仿宋_GB2312" w:hAnsi="宋体" w:eastAsia="仿宋_GB2312" w:cs="宋体"/>
          <w:kern w:val="0"/>
          <w:sz w:val="32"/>
          <w:szCs w:val="32"/>
          <w:lang w:eastAsia="zh-CN"/>
        </w:rPr>
        <w:t>社会保障和就业支出</w:t>
      </w:r>
      <w:r>
        <w:rPr>
          <w:rFonts w:hint="eastAsia" w:ascii="仿宋_GB2312" w:hAnsi="宋体" w:eastAsia="仿宋_GB2312" w:cs="宋体"/>
          <w:kern w:val="0"/>
          <w:sz w:val="32"/>
          <w:szCs w:val="32"/>
          <w:lang w:val="en-US" w:eastAsia="zh-CN"/>
        </w:rPr>
        <w:t>14.47万元，主要用于在职职工机关养老保险支出；卫生健康支出7.10万元，主要用于在职及退休职工基本医疗、公务员医疗补助、大病医疗支出；住房保障支出9.22万元，主要用于在职职工住房公积金支出。</w:t>
      </w:r>
    </w:p>
    <w:p>
      <w:pPr>
        <w:pStyle w:val="2"/>
        <w:rPr>
          <w:rFonts w:hint="eastAsia"/>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228.84</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128.84</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2.06</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1.57</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lang w:val="en-US" w:eastAsia="zh-CN"/>
        </w:rPr>
        <w:t>在职人员减少1人，工资福利支出减少，公用经费支出减少。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1、一般公共服务支出（类）198.05万元，占86.55%。</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宋体" w:eastAsia="仿宋_GB2312" w:cs="宋体"/>
          <w:kern w:val="0"/>
          <w:sz w:val="32"/>
          <w:szCs w:val="32"/>
          <w:lang w:eastAsia="zh-CN"/>
        </w:rPr>
        <w:t>社会保障和就业支出（类）</w:t>
      </w:r>
      <w:r>
        <w:rPr>
          <w:rFonts w:hint="eastAsia" w:ascii="仿宋_GB2312" w:hAnsi="宋体" w:eastAsia="仿宋_GB2312" w:cs="宋体"/>
          <w:kern w:val="0"/>
          <w:sz w:val="32"/>
          <w:szCs w:val="32"/>
          <w:lang w:val="en-US" w:eastAsia="zh-CN"/>
        </w:rPr>
        <w:t>14.47万元，占6.32%。</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3、卫生健康支出（类）7.10万元，占3.10%。</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4、住房保障支出（类）9.22万元，占4.03%。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pStyle w:val="2"/>
        <w:ind w:left="0" w:leftChars="0"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lang w:val="en-US" w:eastAsia="zh-CN"/>
        </w:rPr>
        <w:t>1、一般公共服务支出（类）政府办公厅</w:t>
      </w:r>
      <w:r>
        <w:rPr>
          <w:rFonts w:hint="eastAsia" w:ascii="仿宋_GB2312" w:hAnsi="宋体" w:eastAsia="仿宋_GB2312" w:cs="宋体"/>
          <w:kern w:val="0"/>
          <w:sz w:val="32"/>
          <w:szCs w:val="32"/>
          <w:highlight w:val="none"/>
          <w:lang w:val="en-US" w:eastAsia="zh-CN"/>
        </w:rPr>
        <w:t>及相关机构事务（款）事业运行（项）：2024年预算数为98.05万元，比上年预算数减少102.59万元，减少51.13%，主要原因是本年将项目支出使用其他科目单独列支。</w:t>
      </w:r>
    </w:p>
    <w:p>
      <w:pPr>
        <w:pStyle w:val="2"/>
        <w:ind w:left="0" w:leftChars="0"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2、一般公共服务支出（类）政府办公室及相关机构事务（款）其他政府办公室及相关机构事务（项）：2024年预算数为100万元，比上年预算数增加0万元，增长0%，主要原因是与上年数据无变化。</w:t>
      </w:r>
    </w:p>
    <w:p>
      <w:pPr>
        <w:pStyle w:val="2"/>
        <w:ind w:left="0" w:leftChars="0" w:firstLine="640" w:firstLineChars="20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3、社会保障和就业支出（类）机关事业单位基本养老保险缴费支出（款）行政单位离退休（项）：2024年预算数为3.41万元，比上年预算数增加3.41万元，增长100%，主要原因是上年预算中此科目未单独列支，2024年预算中单独列支。</w:t>
      </w:r>
    </w:p>
    <w:p>
      <w:pPr>
        <w:pStyle w:val="2"/>
        <w:numPr>
          <w:ilvl w:val="0"/>
          <w:numId w:val="1"/>
        </w:numPr>
        <w:ind w:left="-10" w:leftChars="0" w:firstLine="640" w:firstLineChars="0"/>
        <w:rPr>
          <w:rFonts w:hint="eastAsia"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社会保障和就业支出（类）机关事业单位基本养老保险缴费支出（款）机关事业单位基本养老保险缴费支出（项）：2024年预算数为11.06万元，比上年预算数减少0.45万元，下降3.91%，主要原因是在职人员减少1人，机关养老缴费减少。</w:t>
      </w:r>
    </w:p>
    <w:p>
      <w:pPr>
        <w:pStyle w:val="2"/>
        <w:numPr>
          <w:ilvl w:val="0"/>
          <w:numId w:val="1"/>
        </w:numPr>
        <w:ind w:left="-10" w:leftChars="0" w:firstLine="640" w:firstLineChars="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卫生健康支出（类）行政事业单位医疗支出（款）行政单位医疗（项）：2024年预算数为5.53万元，比上年预算数减少1.83万元，下降24.86%，主要原因是上年退休人员医保缴费预算在此科目中列支，2024年退休人员医保不再缴纳。</w:t>
      </w:r>
    </w:p>
    <w:p>
      <w:pPr>
        <w:pStyle w:val="2"/>
        <w:numPr>
          <w:ilvl w:val="0"/>
          <w:numId w:val="0"/>
        </w:numPr>
        <w:ind w:firstLine="640" w:firstLineChars="200"/>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lang w:val="en-US" w:eastAsia="zh-CN"/>
        </w:rPr>
        <w:t>6、卫生健康支出（类）行政事业单位医疗支出（款）公务员医疗补助（项）：2024年预算数为1.52万元，比上年预算减少0.51万元，下降25.12%，主要原因是上年退休人员医保缴费预算在此科目中列支，2024年退休人员医保不再缴纳。</w:t>
      </w:r>
    </w:p>
    <w:p>
      <w:pPr>
        <w:pStyle w:val="2"/>
        <w:ind w:left="0" w:leftChars="0" w:firstLine="640" w:firstLineChars="200"/>
        <w:rPr>
          <w:rFonts w:hint="default" w:ascii="仿宋_GB2312" w:hAnsi="宋体" w:eastAsia="仿宋_GB2312" w:cs="宋体"/>
          <w:kern w:val="0"/>
          <w:sz w:val="32"/>
          <w:szCs w:val="32"/>
          <w:highlight w:val="yellow"/>
          <w:lang w:val="en-US" w:eastAsia="zh-CN" w:bidi="ar-SA"/>
        </w:rPr>
      </w:pPr>
      <w:r>
        <w:rPr>
          <w:rFonts w:hint="eastAsia" w:ascii="仿宋_GB2312" w:hAnsi="宋体" w:eastAsia="仿宋_GB2312" w:cs="宋体"/>
          <w:kern w:val="0"/>
          <w:sz w:val="32"/>
          <w:szCs w:val="32"/>
          <w:highlight w:val="none"/>
          <w:lang w:val="en-US" w:eastAsia="zh-CN"/>
        </w:rPr>
        <w:t>7、住房保障支出（类）住房改革支出（款）住房公积金（项）：2024年预算数为9.22万元，比上年预算数减少0.12万元，下降1.28%，主要原因是在职人员减少1人，住房保障支出减少。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128.84</w:t>
      </w:r>
      <w:r>
        <w:rPr>
          <w:rFonts w:hint="eastAsia" w:ascii="仿宋_GB2312" w:hAnsi="宋体" w:eastAsia="仿宋_GB2312" w:cs="宋体"/>
          <w:color w:val="auto"/>
          <w:spacing w:val="-6"/>
          <w:kern w:val="0"/>
          <w:sz w:val="32"/>
          <w:szCs w:val="32"/>
          <w:highlight w:val="none"/>
        </w:rPr>
        <w:t>万元， 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114.78</w:t>
      </w:r>
      <w:r>
        <w:rPr>
          <w:rFonts w:hint="eastAsia" w:ascii="仿宋_GB2312" w:hAnsi="宋体" w:eastAsia="仿宋_GB2312" w:cs="宋体"/>
          <w:color w:val="auto"/>
          <w:kern w:val="0"/>
          <w:sz w:val="32"/>
          <w:szCs w:val="32"/>
          <w:highlight w:val="none"/>
        </w:rPr>
        <w:t>万元，主要包括：基本工资、津贴补贴、奖金、机关事业单位基本养老保险缴费、职工基本医疗保险缴费、公务员医疗补助缴费、其他社会保障缴费、住房公积金、其他工资福利支出、退休费、奖励金、其他对个人和家庭的补助。</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14.06</w:t>
      </w:r>
      <w:r>
        <w:rPr>
          <w:rFonts w:hint="eastAsia" w:ascii="仿宋_GB2312" w:hAnsi="宋体" w:eastAsia="仿宋_GB2312" w:cs="宋体"/>
          <w:color w:val="auto"/>
          <w:kern w:val="0"/>
          <w:sz w:val="32"/>
          <w:szCs w:val="32"/>
          <w:highlight w:val="none"/>
        </w:rPr>
        <w:t>万元，主要包括：水费、电费、邮电费、取暖费、工会经费。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2024年人民武装建设经费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呼图壁县党委委会会议纪要【2022】11号《中国共产党呼图壁县第十三届委员会第二十次常委会会议纪要》</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100万元</w:t>
      </w:r>
    </w:p>
    <w:p>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呼图壁县人民武装部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驻训演习民兵伙食费、误餐补助50万元；乡镇基层武装建设工作经费14万元；帮扶1个基层武装部正规化建设10万元；采购民兵新式服装26万元。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中国人民解放军新疆维吾尔自治区呼图壁县人民武装部</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Hans"/>
        </w:rPr>
        <w:t>财政拨款</w:t>
      </w:r>
      <w:r>
        <w:rPr>
          <w:rFonts w:hint="eastAsia" w:ascii="仿宋_GB2312" w:hAnsi="宋体" w:eastAsia="仿宋_GB2312" w:cs="宋体"/>
          <w:kern w:val="0"/>
          <w:sz w:val="32"/>
          <w:szCs w:val="32"/>
        </w:rPr>
        <w:t>“三公”经费比上年</w:t>
      </w:r>
      <w:r>
        <w:rPr>
          <w:rFonts w:hint="eastAsia" w:ascii="仿宋_GB2312" w:hAnsi="宋体" w:eastAsia="仿宋_GB2312" w:cs="宋体"/>
          <w:kern w:val="0"/>
          <w:sz w:val="32"/>
          <w:szCs w:val="32"/>
          <w:lang w:eastAsia="zh-Hans"/>
        </w:rPr>
        <w:t>预算</w:t>
      </w:r>
      <w:r>
        <w:rPr>
          <w:rFonts w:hint="eastAsia" w:ascii="仿宋_GB2312" w:hAnsi="宋体" w:eastAsia="仿宋_GB2312" w:cs="宋体"/>
          <w:kern w:val="0"/>
          <w:sz w:val="32"/>
          <w:szCs w:val="32"/>
        </w:rPr>
        <w:t>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%，其中：因公出国（境）费增加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；公务用车购置费增加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单位无“三公”经费预算支出安排</w:t>
      </w:r>
      <w:r>
        <w:rPr>
          <w:rFonts w:hint="eastAsia" w:ascii="仿宋_GB2312" w:hAnsi="宋体" w:eastAsia="仿宋_GB2312" w:cs="宋体"/>
          <w:kern w:val="0"/>
          <w:sz w:val="32"/>
          <w:szCs w:val="32"/>
        </w:rPr>
        <w:t>；公务用车运行费增加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单位无公车运行费预算支出安排</w:t>
      </w:r>
      <w:r>
        <w:rPr>
          <w:rFonts w:hint="eastAsia" w:ascii="仿宋_GB2312" w:hAnsi="宋体" w:eastAsia="仿宋_GB2312" w:cs="宋体"/>
          <w:kern w:val="0"/>
          <w:sz w:val="32"/>
          <w:szCs w:val="32"/>
        </w:rPr>
        <w:t>；公务接待费增加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万元，增长</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lang w:val="en-US" w:eastAsia="zh-CN"/>
        </w:rPr>
        <w:t>无公务接待预算支出安排</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rPr>
        <w:t>中国人民解放军新疆维吾尔自治区呼图壁县人民武装部</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14.06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0.45</w:t>
      </w:r>
      <w:r>
        <w:rPr>
          <w:rFonts w:hint="eastAsia" w:ascii="仿宋_GB2312" w:hAnsi="仿宋_GB2312" w:eastAsia="仿宋_GB2312" w:cs="仿宋_GB2312"/>
          <w:color w:val="auto"/>
          <w:kern w:val="0"/>
          <w:sz w:val="32"/>
          <w:szCs w:val="32"/>
          <w:highlight w:val="none"/>
        </w:rPr>
        <w:t>万元，增</w:t>
      </w:r>
      <w:r>
        <w:rPr>
          <w:rFonts w:hint="eastAsia" w:ascii="仿宋_GB2312" w:hAnsi="仿宋_GB2312" w:eastAsia="仿宋_GB2312" w:cs="仿宋_GB2312"/>
          <w:color w:val="auto"/>
          <w:kern w:val="0"/>
          <w:sz w:val="32"/>
          <w:szCs w:val="32"/>
          <w:highlight w:val="none"/>
          <w:lang w:val="en-US" w:eastAsia="zh-CN"/>
        </w:rPr>
        <w:t>长3.31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职工工资调整，工会经费预算增加。</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年，中国人民解放军新疆维吾尔自治区呼图壁县人民武装部政府采购预算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万元，其中：政府采购货物预算     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未安排主要原因是本单位属军队建制单位，所有采购均由上级单位承办，本单位无单独采购权限。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年，中国人民解放军新疆维吾尔自治区呼图壁县人民武装部</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kern w:val="0"/>
          <w:sz w:val="32"/>
          <w:szCs w:val="32"/>
        </w:rPr>
        <w:t>年底，</w:t>
      </w:r>
      <w:r>
        <w:rPr>
          <w:rFonts w:hint="eastAsia" w:ascii="仿宋_GB2312" w:hAnsi="仿宋_GB2312" w:eastAsia="仿宋_GB2312" w:cs="仿宋_GB2312"/>
          <w:color w:val="auto"/>
          <w:kern w:val="0"/>
          <w:sz w:val="32"/>
          <w:szCs w:val="32"/>
          <w:highlight w:val="none"/>
        </w:rPr>
        <w:t>中国人民解放军新疆维吾尔自治区呼图壁县人民武装部</w:t>
      </w:r>
      <w:r>
        <w:rPr>
          <w:rFonts w:hint="eastAsia" w:ascii="仿宋_GB2312" w:hAnsi="仿宋_GB2312" w:eastAsia="仿宋_GB2312" w:cs="仿宋_GB2312"/>
          <w:kern w:val="0"/>
          <w:sz w:val="32"/>
          <w:szCs w:val="32"/>
        </w:rPr>
        <w:t>占用使用国有资产总体情况为</w:t>
      </w:r>
    </w:p>
    <w:p>
      <w:pPr>
        <w:widowControl/>
        <w:spacing w:line="580" w:lineRule="exact"/>
        <w:ind w:firstLine="64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宋体" w:eastAsia="仿宋_GB2312" w:cs="宋体"/>
          <w:kern w:val="0"/>
          <w:sz w:val="32"/>
          <w:szCs w:val="32"/>
        </w:rPr>
        <w:t>房屋4028 平方米，价值 247.54万元。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val="en-US" w:eastAsia="zh-CN"/>
        </w:rPr>
        <w:t>单位</w:t>
      </w:r>
      <w:r>
        <w:rPr>
          <w:rFonts w:hint="eastAsia" w:ascii="仿宋_GB2312" w:hAnsi="仿宋_GB2312" w:eastAsia="仿宋_GB2312" w:cs="仿宋_GB2312"/>
          <w:kern w:val="0"/>
          <w:sz w:val="32"/>
          <w:szCs w:val="32"/>
        </w:rPr>
        <w:t>预算未安排购置车辆经费，安排购置50万元以上大型设备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整体预算绩效目标1个，涉及金额128.84万元；当年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金额100万元；当年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eastAsia="zh-CN"/>
        </w:rPr>
        <w:t>：</w:t>
      </w: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rPr>
          <w:rFonts w:hint="eastAsia" w:ascii="仿宋_GB2312" w:hAnsi="仿宋_GB2312" w:eastAsia="仿宋_GB2312" w:cs="仿宋_GB2312"/>
          <w:color w:val="auto"/>
          <w:kern w:val="0"/>
          <w:sz w:val="32"/>
          <w:szCs w:val="32"/>
          <w:highlight w:val="none"/>
        </w:rPr>
      </w:pPr>
    </w:p>
    <w:p>
      <w:pPr>
        <w:pStyle w:val="2"/>
        <w:ind w:left="0" w:leftChars="0" w:firstLine="0" w:firstLineChars="0"/>
        <w:rPr>
          <w:rFonts w:hint="eastAsia" w:ascii="仿宋_GB2312" w:hAnsi="仿宋_GB2312" w:eastAsia="仿宋_GB2312" w:cs="仿宋_GB2312"/>
          <w:color w:val="auto"/>
          <w:kern w:val="0"/>
          <w:sz w:val="32"/>
          <w:szCs w:val="32"/>
          <w:highlight w:val="none"/>
        </w:rPr>
      </w:pP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楷体_GB2312" w:hAnsi="楷体_GB2312" w:eastAsia="楷体_GB2312" w:cs="楷体_GB2312"/>
                <w:b/>
                <w:bCs w:val="0"/>
                <w:color w:val="auto"/>
                <w:kern w:val="0"/>
                <w:sz w:val="32"/>
                <w:szCs w:val="32"/>
                <w:highlight w:val="none"/>
              </w:rPr>
            </w:pPr>
          </w:p>
          <w:p>
            <w:pPr>
              <w:keepNext w:val="0"/>
              <w:keepLines w:val="0"/>
              <w:widowControl/>
              <w:suppressLineNumbers w:val="0"/>
              <w:jc w:val="center"/>
              <w:textAlignment w:val="center"/>
              <w:rPr>
                <w:rFonts w:hint="eastAsia" w:ascii="楷体_GB2312" w:hAnsi="楷体_GB2312" w:eastAsia="楷体_GB2312" w:cs="楷体_GB2312"/>
                <w:b/>
                <w:bCs w:val="0"/>
                <w:color w:val="auto"/>
                <w:kern w:val="0"/>
                <w:sz w:val="32"/>
                <w:szCs w:val="32"/>
                <w:highlight w:val="none"/>
              </w:rPr>
            </w:pPr>
          </w:p>
          <w:p>
            <w:pPr>
              <w:keepNext w:val="0"/>
              <w:keepLines w:val="0"/>
              <w:widowControl/>
              <w:suppressLineNumbers w:val="0"/>
              <w:jc w:val="center"/>
              <w:textAlignment w:val="center"/>
              <w:rPr>
                <w:rFonts w:hint="eastAsia" w:ascii="楷体_GB2312" w:hAnsi="楷体_GB2312" w:eastAsia="楷体_GB2312" w:cs="楷体_GB2312"/>
                <w:b/>
                <w:bCs w:val="0"/>
                <w:color w:val="auto"/>
                <w:kern w:val="0"/>
                <w:sz w:val="32"/>
                <w:szCs w:val="32"/>
                <w:highlight w:val="none"/>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中国人民解放军新疆维吾尔自治区呼图壁县人民武装部</w:t>
            </w: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仿宋_GB2312" w:hAnsi="宋体" w:eastAsia="仿宋_GB2312" w:cs="仿宋_GB2312"/>
                <w:b w:val="0"/>
                <w:bCs/>
                <w:color w:val="000000"/>
                <w:kern w:val="0"/>
                <w:sz w:val="24"/>
                <w:szCs w:val="24"/>
                <w:highlight w:val="none"/>
                <w:lang w:val="en-US" w:eastAsia="zh-CN" w:bidi="ar"/>
              </w:rPr>
              <w:t>中国人民解放军新疆维吾尔自治区呼图壁县人民武装部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吕刚峰</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13364903858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color w:val="000000"/>
                <w:sz w:val="18"/>
                <w:szCs w:val="18"/>
                <w:lang w:val="en-US" w:eastAsia="zh-CN"/>
              </w:rPr>
              <w:t>本年完成300名民兵训练，完成春秋两季征兵任务，做好本地区民兵、预备役工作，提高本地区民兵组织建设、政治教育、军事训练和武器装备管理水平。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128.84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开展民兵训练次数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default" w:ascii="宋体" w:hAnsi="宋体" w:eastAsia="宋体" w:cs="宋体"/>
                <w:i w:val="0"/>
                <w:iCs w:val="0"/>
                <w:color w:val="000000"/>
                <w:sz w:val="20"/>
                <w:szCs w:val="20"/>
                <w:u w:val="none"/>
                <w:lang w:val="en-US" w:eastAsia="zh-CN"/>
              </w:rPr>
              <w:t>&gt;=8次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组织实施国防动员活动次数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开展征兵工作次数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开展征兵宣传工作时间</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2024年1月-12月</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预征入伍青年人数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ind w:firstLine="600" w:firstLineChars="300"/>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各项任务达标率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计划标准</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4"/>
                <w:szCs w:val="24"/>
                <w:u w:val="none"/>
              </w:rPr>
            </w:pPr>
            <w:r>
              <w:rPr>
                <w:rFonts w:hint="eastAsia" w:ascii="宋体" w:hAnsi="宋体" w:cs="宋体"/>
                <w:i w:val="0"/>
                <w:iCs w:val="0"/>
                <w:color w:val="000000"/>
                <w:sz w:val="24"/>
                <w:szCs w:val="24"/>
                <w:u w:val="none"/>
                <w:lang w:val="en-US" w:eastAsia="zh-CN"/>
              </w:rPr>
              <w:t>15</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tbl>
      <w:tblPr>
        <w:tblStyle w:val="7"/>
        <w:tblpPr w:leftFromText="180" w:rightFromText="180" w:vertAnchor="text" w:horzAnchor="page" w:tblpX="1112" w:tblpY="200"/>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59"/>
        <w:gridCol w:w="859"/>
        <w:gridCol w:w="1395"/>
        <w:gridCol w:w="859"/>
        <w:gridCol w:w="860"/>
        <w:gridCol w:w="859"/>
        <w:gridCol w:w="859"/>
        <w:gridCol w:w="859"/>
        <w:gridCol w:w="18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中国人民解放军新疆维吾尔自治区呼图壁县人民武装部</w:t>
            </w:r>
          </w:p>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542"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呼图壁县武装部本级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3114"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2024年人民武装建设经费</w:t>
            </w:r>
          </w:p>
        </w:tc>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1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吕刚峰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60"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18"/>
                <w:szCs w:val="18"/>
                <w:u w:val="none"/>
                <w:lang w:val="en-US" w:eastAsia="zh-CN" w:bidi="ar"/>
              </w:rPr>
              <w:t>其他资金：</w:t>
            </w:r>
          </w:p>
        </w:tc>
        <w:tc>
          <w:tcPr>
            <w:tcW w:w="2710"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542" w:type="dxa"/>
            <w:gridSpan w:val="7"/>
            <w:tcBorders>
              <w:top w:val="single" w:color="000000" w:sz="4" w:space="0"/>
              <w:left w:val="nil"/>
              <w:bottom w:val="single" w:color="000000" w:sz="4" w:space="0"/>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2"/>
                <w:szCs w:val="22"/>
                <w:u w:val="none"/>
                <w:lang w:val="en-US" w:eastAsia="zh-CN" w:bidi="ar"/>
              </w:rPr>
              <w:t>驻训演习民兵伙食、误工补助；全县7个乡镇基层武装建设经费投入；帮扶1个基层武装部正规化建设；民兵服装采购。</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18"/>
                <w:szCs w:val="18"/>
                <w:u w:val="none"/>
                <w:lang w:val="en-US" w:eastAsia="zh-CN" w:bidi="ar"/>
              </w:rPr>
              <w:t>指标分值权重</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5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产出指标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武装建设经费拨付乡镇数量</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=7个</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资金使用合规率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时效指标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武装建设经费拨付乡镇及时率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各项工作任务完成及时率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=100%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成本指标</w:t>
            </w:r>
          </w:p>
        </w:tc>
        <w:tc>
          <w:tcPr>
            <w:tcW w:w="859"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&lt;=100%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预算支出标准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5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效益指标</w:t>
            </w:r>
          </w:p>
        </w:tc>
        <w:tc>
          <w:tcPr>
            <w:tcW w:w="859"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资金使用重大违纪违规</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无</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20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直接赋分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06" w:hRule="atLeast"/>
        </w:trPr>
        <w:tc>
          <w:tcPr>
            <w:tcW w:w="8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5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395"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基层武装部门及民兵满意度</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&gt;=90%</w:t>
            </w:r>
          </w:p>
        </w:tc>
        <w:tc>
          <w:tcPr>
            <w:tcW w:w="86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计划标准</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10</w:t>
            </w:r>
          </w:p>
        </w:tc>
        <w:tc>
          <w:tcPr>
            <w:tcW w:w="8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5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p>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bookmarkStart w:id="0" w:name="_GoBack"/>
      <w:bookmarkEnd w:id="0"/>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right"/>
        <w:textAlignment w:val="auto"/>
        <w:outlineLvl w:val="9"/>
        <w:rPr>
          <w:rFonts w:hint="eastAsia" w:ascii="仿宋_GB2312" w:hAnsi="Times New Roman" w:eastAsia="仿宋_GB2312" w:cs="Times New Roman"/>
          <w:color w:val="auto"/>
          <w:spacing w:val="-11"/>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Times New Roman" w:eastAsia="仿宋_GB2312" w:cs="Times New Roman"/>
          <w:color w:val="auto"/>
          <w:spacing w:val="-11"/>
          <w:sz w:val="32"/>
          <w:szCs w:val="32"/>
          <w:highlight w:val="none"/>
          <w:lang w:val="en-US" w:eastAsia="zh-CN"/>
        </w:rPr>
        <w:t>中国人民解放军新疆维吾尔自治区呼图壁县人民武装部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center"/>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lang w:val="en-US" w:eastAsia="zh-CN"/>
        </w:rPr>
        <w:t>2024</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25</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AC420"/>
    <w:multiLevelType w:val="singleLevel"/>
    <w:tmpl w:val="5A3AC420"/>
    <w:lvl w:ilvl="0" w:tentative="0">
      <w:start w:val="5"/>
      <w:numFmt w:val="chineseCounting"/>
      <w:suff w:val="nothing"/>
      <w:lvlText w:val="（%1）"/>
      <w:lvlJc w:val="left"/>
      <w:rPr>
        <w:rFonts w:hint="eastAsia"/>
      </w:rPr>
    </w:lvl>
  </w:abstractNum>
  <w:abstractNum w:abstractNumId="1">
    <w:nsid w:val="621DBD17"/>
    <w:multiLevelType w:val="singleLevel"/>
    <w:tmpl w:val="621DBD17"/>
    <w:lvl w:ilvl="0" w:tentative="0">
      <w:start w:val="4"/>
      <w:numFmt w:val="decimal"/>
      <w:suff w:val="nothing"/>
      <w:lvlText w:val="%1、"/>
      <w:lvlJc w:val="left"/>
      <w:pPr>
        <w:ind w:left="-1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NGFmYTkxM2VlNjg0MzhjNGQyMzFiOTA2MTJhMzkifQ=="/>
  </w:docVars>
  <w:rsids>
    <w:rsidRoot w:val="00172A27"/>
    <w:rsid w:val="00EE2224"/>
    <w:rsid w:val="02E17740"/>
    <w:rsid w:val="04267B2D"/>
    <w:rsid w:val="05397FD9"/>
    <w:rsid w:val="070E6657"/>
    <w:rsid w:val="08450B28"/>
    <w:rsid w:val="09A32634"/>
    <w:rsid w:val="0B247F12"/>
    <w:rsid w:val="0D6E5FD0"/>
    <w:rsid w:val="0E9208E7"/>
    <w:rsid w:val="10587512"/>
    <w:rsid w:val="10916BDA"/>
    <w:rsid w:val="1697741D"/>
    <w:rsid w:val="1732414C"/>
    <w:rsid w:val="178B67B8"/>
    <w:rsid w:val="1BEB54C3"/>
    <w:rsid w:val="1C3C6084"/>
    <w:rsid w:val="1C640750"/>
    <w:rsid w:val="1CEB6DC6"/>
    <w:rsid w:val="1D3E1AFE"/>
    <w:rsid w:val="1EB61656"/>
    <w:rsid w:val="20DD55C0"/>
    <w:rsid w:val="228A046E"/>
    <w:rsid w:val="22DB78DD"/>
    <w:rsid w:val="244D65B8"/>
    <w:rsid w:val="2492221D"/>
    <w:rsid w:val="25E91993"/>
    <w:rsid w:val="26B4291F"/>
    <w:rsid w:val="26E769FA"/>
    <w:rsid w:val="293B2E83"/>
    <w:rsid w:val="297441A0"/>
    <w:rsid w:val="2A012DF7"/>
    <w:rsid w:val="2AFC4894"/>
    <w:rsid w:val="2D480265"/>
    <w:rsid w:val="2D977453"/>
    <w:rsid w:val="2EF22236"/>
    <w:rsid w:val="2F245A3C"/>
    <w:rsid w:val="3B324F1E"/>
    <w:rsid w:val="3FDF4D23"/>
    <w:rsid w:val="43C26223"/>
    <w:rsid w:val="43D8307E"/>
    <w:rsid w:val="44F35C3F"/>
    <w:rsid w:val="46185EC3"/>
    <w:rsid w:val="46CE3131"/>
    <w:rsid w:val="494F7907"/>
    <w:rsid w:val="4C0055E5"/>
    <w:rsid w:val="4C3677AE"/>
    <w:rsid w:val="4C706B3A"/>
    <w:rsid w:val="4E764DBF"/>
    <w:rsid w:val="51C15CED"/>
    <w:rsid w:val="52285DEB"/>
    <w:rsid w:val="52AD62F0"/>
    <w:rsid w:val="536654F3"/>
    <w:rsid w:val="546308FE"/>
    <w:rsid w:val="5F2346ED"/>
    <w:rsid w:val="5F500208"/>
    <w:rsid w:val="61086613"/>
    <w:rsid w:val="626544F3"/>
    <w:rsid w:val="6408782B"/>
    <w:rsid w:val="64E43AD9"/>
    <w:rsid w:val="65322CBF"/>
    <w:rsid w:val="68B35B74"/>
    <w:rsid w:val="68CC52CB"/>
    <w:rsid w:val="68DE4FFE"/>
    <w:rsid w:val="694B58D7"/>
    <w:rsid w:val="69CE4E15"/>
    <w:rsid w:val="6B7F3246"/>
    <w:rsid w:val="6EF07839"/>
    <w:rsid w:val="6F63000B"/>
    <w:rsid w:val="72B56DCF"/>
    <w:rsid w:val="75B570E6"/>
    <w:rsid w:val="76B93080"/>
    <w:rsid w:val="780A1873"/>
    <w:rsid w:val="787D11B8"/>
    <w:rsid w:val="792C5912"/>
    <w:rsid w:val="7AE269D5"/>
    <w:rsid w:val="7E8B30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2024-07-30T11:05:24Z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F0E70FDCBDF54F8F893377FFB56192A1</vt:lpwstr>
  </property>
</Properties>
</file>