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kern w:val="0"/>
          <w:sz w:val="44"/>
          <w:szCs w:val="44"/>
          <w:lang w:eastAsia="zh-CN"/>
        </w:rPr>
      </w:pPr>
      <w:r>
        <w:rPr>
          <w:rFonts w:hint="eastAsia" w:ascii="方正小标宋_GBK" w:hAnsi="宋体" w:eastAsia="方正小标宋_GBK"/>
          <w:kern w:val="0"/>
          <w:sz w:val="44"/>
          <w:szCs w:val="44"/>
          <w:lang w:eastAsia="zh-CN"/>
        </w:rPr>
        <w:t>中共呼图壁县委员会老干部局</w:t>
      </w:r>
    </w:p>
    <w:p>
      <w:pPr>
        <w:widowControl/>
        <w:spacing w:before="100" w:beforeAutospacing="1" w:after="100" w:afterAutospacing="1"/>
        <w:jc w:val="center"/>
        <w:outlineLvl w:val="1"/>
        <w:rPr>
          <w:rFonts w:hint="eastAsia" w:ascii="黑体" w:hAnsi="黑体" w:eastAsia="黑体"/>
          <w:color w:val="auto"/>
          <w:kern w:val="0"/>
          <w:sz w:val="36"/>
          <w:szCs w:val="32"/>
          <w:highlight w:val="none"/>
        </w:rPr>
      </w:pPr>
      <w:r>
        <w:rPr>
          <w:rFonts w:hint="eastAsia" w:ascii="方正小标宋_GBK" w:hAnsi="宋体" w:eastAsia="方正小标宋_GBK"/>
          <w:kern w:val="0"/>
          <w:sz w:val="44"/>
          <w:szCs w:val="44"/>
          <w:lang w:val="en-US" w:eastAsia="zh-CN"/>
        </w:rPr>
        <w:t>2024年单位</w:t>
      </w:r>
      <w:r>
        <w:rPr>
          <w:rFonts w:hint="eastAsia" w:ascii="方正小标宋_GBK" w:hAnsi="宋体" w:eastAsia="方正小标宋_GBK"/>
          <w:kern w:val="0"/>
          <w:sz w:val="44"/>
          <w:szCs w:val="44"/>
        </w:rPr>
        <w:t>预算公开</w:t>
      </w: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kern w:val="0"/>
          <w:sz w:val="32"/>
          <w:szCs w:val="32"/>
          <w:lang w:eastAsia="zh-CN"/>
        </w:rPr>
        <w:t>中共呼图壁县委员会老干部局</w:t>
      </w:r>
      <w:r>
        <w:rPr>
          <w:rFonts w:hint="eastAsia" w:ascii="仿宋_GB2312" w:hAnsi="宋体" w:eastAsia="仿宋_GB2312"/>
          <w:b/>
          <w:kern w:val="0"/>
          <w:sz w:val="32"/>
          <w:szCs w:val="32"/>
          <w:lang w:val="en-US" w:eastAsia="zh-CN"/>
        </w:rPr>
        <w:t>单位</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2024年单位</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中共呼图壁县委员会老干部局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中共呼图壁县委员会老干部局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中共呼图壁县委员会老干部局</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2024年单位</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中共呼图壁县委员会老干部局2024年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中共呼图壁县委员会老干部局2024年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中共呼图壁县委员会老干部局2024年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中共呼图壁县委员会老干部局2024年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2024年中共呼图壁县委员会老干部局单位</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60" w:lineRule="exact"/>
        <w:ind w:firstLine="640" w:firstLineChars="200"/>
        <w:jc w:val="left"/>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(一)负责指导全县离退休干部政治建设、思想建设和党组织建设，组织引导离退休干部在贯彻以习近平同志为核心的党中央治疆方略、特别是社会稳定和长治久安总目标中发挥作用，为党和人民事业增添正能量。</w:t>
      </w:r>
    </w:p>
    <w:p>
      <w:pPr>
        <w:widowControl/>
        <w:spacing w:line="560" w:lineRule="exact"/>
        <w:ind w:firstLine="640" w:firstLineChars="200"/>
        <w:jc w:val="left"/>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(二)组织开展全县离退休干部工作调查研究，制定全县离退休干部的具体意见和措施。</w:t>
      </w:r>
    </w:p>
    <w:p>
      <w:pPr>
        <w:widowControl/>
        <w:spacing w:line="240" w:lineRule="auto"/>
        <w:ind w:firstLine="0" w:firstLineChars="0"/>
        <w:jc w:val="left"/>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 xml:space="preserve">   （三)负责全县离退休干部工作政策业务的指导和检查工作，并办理相关业务，督促有关部门落实离退休干部政治待遇和生活待遇。</w:t>
      </w:r>
    </w:p>
    <w:p>
      <w:pPr>
        <w:widowControl/>
        <w:spacing w:line="560" w:lineRule="exact"/>
        <w:ind w:firstLine="640" w:firstLineChars="200"/>
        <w:jc w:val="left"/>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(四)负责推动全县离退休干部工作精准化、信息化建设。</w:t>
      </w:r>
    </w:p>
    <w:p>
      <w:pPr>
        <w:widowControl/>
        <w:spacing w:line="560" w:lineRule="exact"/>
        <w:ind w:firstLine="640" w:firstLineChars="200"/>
        <w:jc w:val="left"/>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(五)组织协调开展离退休干部各项活动;严格管理、合理使用离退休干部各项专用经费。</w:t>
      </w:r>
    </w:p>
    <w:p>
      <w:pPr>
        <w:widowControl/>
        <w:spacing w:line="560" w:lineRule="exact"/>
        <w:ind w:firstLine="640" w:firstLineChars="200"/>
        <w:jc w:val="left"/>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(六)负责宣传党的离退休干部工作方针政策及典型经验做法。</w:t>
      </w:r>
    </w:p>
    <w:p>
      <w:pPr>
        <w:widowControl/>
        <w:spacing w:line="560" w:lineRule="exact"/>
        <w:ind w:firstLine="640" w:firstLineChars="200"/>
        <w:jc w:val="left"/>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(七)指导协调县关心下一代工作委员会办公室、老干部各学会、协会开展工作。</w:t>
      </w:r>
    </w:p>
    <w:p>
      <w:pPr>
        <w:widowControl/>
        <w:spacing w:line="560" w:lineRule="exact"/>
        <w:ind w:firstLine="640" w:firstLineChars="200"/>
        <w:jc w:val="left"/>
        <w:rPr>
          <w:rFonts w:hint="eastAsia" w:ascii="仿宋_GB2312" w:hAnsi="黑体" w:eastAsia="仿宋_GB2312" w:cs="宋体"/>
          <w:bCs/>
          <w:kern w:val="0"/>
          <w:sz w:val="32"/>
          <w:szCs w:val="32"/>
          <w:lang w:val="en-US" w:eastAsia="zh-CN"/>
        </w:rPr>
      </w:pPr>
      <w:r>
        <w:rPr>
          <w:rFonts w:hint="eastAsia" w:ascii="仿宋_GB2312" w:hAnsi="黑体" w:eastAsia="仿宋_GB2312" w:cs="宋体"/>
          <w:bCs/>
          <w:kern w:val="0"/>
          <w:sz w:val="32"/>
          <w:szCs w:val="32"/>
          <w:lang w:val="en-US" w:eastAsia="zh-CN"/>
        </w:rPr>
        <w:t>(八)完成县党委交办的其他工作。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 w:hAnsi="仿宋" w:eastAsia="仿宋" w:cs="仿宋"/>
          <w:sz w:val="32"/>
          <w:szCs w:val="32"/>
          <w:lang w:val="en-US" w:eastAsia="zh-CN"/>
        </w:rPr>
        <w:t>中共呼图壁县委员会老干部局</w:t>
      </w:r>
      <w:r>
        <w:rPr>
          <w:rFonts w:hint="eastAsia" w:ascii="仿宋_GB2312" w:hAnsi="黑体" w:eastAsia="仿宋_GB2312" w:cs="宋体"/>
          <w:bCs/>
          <w:kern w:val="0"/>
          <w:sz w:val="32"/>
          <w:szCs w:val="32"/>
        </w:rPr>
        <w:t>无下属预算单位，下设</w:t>
      </w:r>
      <w:r>
        <w:rPr>
          <w:rFonts w:hint="eastAsia" w:ascii="仿宋_GB2312" w:hAnsi="黑体" w:eastAsia="仿宋_GB2312" w:cs="宋体"/>
          <w:bCs/>
          <w:kern w:val="0"/>
          <w:sz w:val="32"/>
          <w:szCs w:val="32"/>
          <w:lang w:val="en-US" w:eastAsia="zh-CN"/>
        </w:rPr>
        <w:t>5</w:t>
      </w:r>
      <w:r>
        <w:rPr>
          <w:rFonts w:hint="eastAsia" w:ascii="仿宋_GB2312" w:hAnsi="黑体" w:eastAsia="仿宋_GB2312" w:cs="宋体"/>
          <w:bCs/>
          <w:kern w:val="0"/>
          <w:sz w:val="32"/>
          <w:szCs w:val="32"/>
        </w:rPr>
        <w:t>个处室，分别是：</w:t>
      </w:r>
      <w:r>
        <w:rPr>
          <w:rFonts w:hint="eastAsia" w:ascii="仿宋_GB2312" w:hAnsi="黑体" w:eastAsia="仿宋_GB2312" w:cs="宋体"/>
          <w:bCs/>
          <w:kern w:val="0"/>
          <w:sz w:val="32"/>
          <w:szCs w:val="32"/>
          <w:lang w:eastAsia="zh-CN"/>
        </w:rPr>
        <w:t>局长办公室、副局长办公室、</w:t>
      </w:r>
      <w:r>
        <w:rPr>
          <w:rFonts w:hint="eastAsia" w:ascii="仿宋" w:hAnsi="仿宋" w:eastAsia="仿宋" w:cs="仿宋"/>
          <w:sz w:val="32"/>
          <w:szCs w:val="32"/>
          <w:lang w:val="en-US" w:eastAsia="zh-CN"/>
        </w:rPr>
        <w:t>办公室、关工委办公室、财务室</w:t>
      </w:r>
      <w:r>
        <w:rPr>
          <w:rFonts w:hint="eastAsia" w:ascii="仿宋_GB2312" w:hAnsi="宋体" w:eastAsia="仿宋_GB2312" w:cs="宋体"/>
          <w:kern w:val="0"/>
          <w:sz w:val="32"/>
          <w:szCs w:val="32"/>
        </w:rPr>
        <w:t>。</w:t>
      </w:r>
    </w:p>
    <w:p>
      <w:pPr>
        <w:widowControl/>
        <w:spacing w:line="560" w:lineRule="exact"/>
        <w:ind w:firstLine="640"/>
        <w:jc w:val="left"/>
        <w:rPr>
          <w:rFonts w:ascii="仿宋_GB2312" w:hAnsi="宋体" w:eastAsia="仿宋_GB2312" w:cs="宋体"/>
          <w:kern w:val="0"/>
          <w:sz w:val="32"/>
          <w:szCs w:val="32"/>
        </w:rPr>
      </w:pPr>
      <w:r>
        <w:rPr>
          <w:rFonts w:hint="eastAsia" w:ascii="仿宋" w:hAnsi="仿宋" w:eastAsia="仿宋" w:cs="仿宋"/>
          <w:sz w:val="32"/>
          <w:szCs w:val="32"/>
          <w:lang w:val="en-US" w:eastAsia="zh-CN"/>
        </w:rPr>
        <w:t>中共呼图壁县委员会老干部局</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9人</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15</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人；退休</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人；离休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pStyle w:val="8"/>
        <w:rPr>
          <w:rFonts w:hint="eastAsia" w:ascii="黑体" w:hAnsi="黑体" w:eastAsia="黑体"/>
          <w:color w:val="auto"/>
          <w:kern w:val="0"/>
          <w:sz w:val="32"/>
          <w:szCs w:val="32"/>
          <w:highlight w:val="none"/>
        </w:rPr>
      </w:pPr>
    </w:p>
    <w:p>
      <w:pPr>
        <w:pStyle w:val="5"/>
        <w:rPr>
          <w:rFonts w:hint="eastAsia"/>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黑体" w:hAnsi="黑体" w:eastAsia="黑体"/>
          <w:color w:val="auto"/>
          <w:kern w:val="0"/>
          <w:sz w:val="32"/>
          <w:szCs w:val="32"/>
          <w:highlight w:val="none"/>
          <w:lang w:eastAsia="zh-CN"/>
        </w:rPr>
        <w:t>单位</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单位</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中共呼图壁县委员会老干部局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Layout w:type="fixed"/>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323.94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223.92</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lang w:val="en-US" w:eastAsia="zh-CN"/>
              </w:rPr>
            </w:pPr>
            <w:r>
              <w:rPr>
                <w:rFonts w:hint="eastAsia" w:ascii="仿宋_GB2312" w:hAnsi="仿宋_GB2312" w:eastAsia="仿宋_GB2312" w:cs="仿宋_GB2312"/>
                <w:sz w:val="18"/>
                <w:szCs w:val="18"/>
                <w:lang w:val="en-US" w:eastAsia="zh-CN"/>
              </w:rPr>
              <w:t>160.54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仿宋_GB2312" w:hAnsi="仿宋_GB2312" w:eastAsia="仿宋_GB2312" w:cs="仿宋_GB2312"/>
                <w:color w:val="auto"/>
                <w:kern w:val="0"/>
                <w:sz w:val="18"/>
                <w:szCs w:val="18"/>
                <w:highlight w:val="none"/>
              </w:rPr>
            </w:pPr>
            <w:r>
              <w:rPr>
                <w:rFonts w:hint="eastAsia" w:ascii="仿宋_GB2312" w:hAnsi="仿宋_GB2312" w:eastAsia="仿宋_GB2312" w:cs="仿宋_GB2312"/>
                <w:sz w:val="18"/>
                <w:szCs w:val="18"/>
              </w:rPr>
              <w:t>160.54</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55.07</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21.98</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163.40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righ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163.40</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22.97</w:t>
            </w: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323.94</w:t>
            </w:r>
          </w:p>
        </w:tc>
        <w:tc>
          <w:tcPr>
            <w:tcW w:w="2693"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b/>
                <w:bCs/>
                <w:color w:val="auto"/>
                <w:kern w:val="0"/>
                <w:sz w:val="18"/>
                <w:szCs w:val="18"/>
                <w:highlight w:val="none"/>
                <w:lang w:val="en-US" w:eastAsia="zh-CN"/>
              </w:rPr>
              <w:t>323.94</w:t>
            </w:r>
            <w:r>
              <w:rPr>
                <w:rFonts w:hint="eastAsia" w:ascii="仿宋_GB2312" w:hAnsi="宋体" w:eastAsia="仿宋_GB2312" w:cs="宋体"/>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仿宋_GB2312" w:eastAsia="仿宋_GB2312" w:cs="仿宋_GB2312"/>
          <w:b/>
          <w:bCs w:val="0"/>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lang w:eastAsia="zh-CN"/>
        </w:rPr>
        <w:t>单位</w:t>
      </w:r>
      <w:r>
        <w:rPr>
          <w:rFonts w:hint="eastAsia" w:ascii="仿宋_GB2312" w:hAnsi="仿宋_GB2312" w:eastAsia="仿宋_GB2312" w:cs="仿宋_GB2312"/>
          <w:b/>
          <w:bCs w:val="0"/>
          <w:color w:val="auto"/>
          <w:kern w:val="0"/>
          <w:sz w:val="32"/>
          <w:szCs w:val="32"/>
          <w:highlight w:val="none"/>
        </w:rPr>
        <w:t>收入总体情况表</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中共呼图壁县委员会老干部局</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719" w:type="dxa"/>
        <w:tblInd w:w="-450" w:type="dxa"/>
        <w:tblLayout w:type="fixed"/>
        <w:tblCellMar>
          <w:top w:w="0" w:type="dxa"/>
          <w:left w:w="108" w:type="dxa"/>
          <w:bottom w:w="0" w:type="dxa"/>
          <w:right w:w="108" w:type="dxa"/>
        </w:tblCellMar>
      </w:tblPr>
      <w:tblGrid>
        <w:gridCol w:w="594"/>
        <w:gridCol w:w="480"/>
        <w:gridCol w:w="480"/>
        <w:gridCol w:w="794"/>
        <w:gridCol w:w="826"/>
        <w:gridCol w:w="855"/>
        <w:gridCol w:w="855"/>
        <w:gridCol w:w="555"/>
        <w:gridCol w:w="405"/>
        <w:gridCol w:w="480"/>
        <w:gridCol w:w="395"/>
        <w:gridCol w:w="640"/>
        <w:gridCol w:w="450"/>
        <w:gridCol w:w="930"/>
        <w:gridCol w:w="510"/>
        <w:gridCol w:w="470"/>
      </w:tblGrid>
      <w:tr>
        <w:tblPrEx>
          <w:tblLayout w:type="fixed"/>
          <w:tblCellMar>
            <w:top w:w="0" w:type="dxa"/>
            <w:left w:w="108" w:type="dxa"/>
            <w:bottom w:w="0" w:type="dxa"/>
            <w:right w:w="108" w:type="dxa"/>
          </w:tblCellMar>
        </w:tblPrEx>
        <w:trPr>
          <w:trHeight w:val="697" w:hRule="atLeast"/>
        </w:trPr>
        <w:tc>
          <w:tcPr>
            <w:tcW w:w="1554"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794"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826"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185"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450"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930"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10"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470" w:type="dxa"/>
            <w:vMerge w:val="restart"/>
            <w:tcBorders>
              <w:top w:val="single" w:color="auto" w:sz="4" w:space="0"/>
              <w:left w:val="single" w:color="auto"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2394" w:hRule="atLeast"/>
        </w:trPr>
        <w:tc>
          <w:tcPr>
            <w:tcW w:w="594"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8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8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794" w:type="dxa"/>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26" w:type="dxa"/>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8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55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48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39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64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450" w:type="dxa"/>
            <w:vMerge w:val="continue"/>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30" w:type="dxa"/>
            <w:vMerge w:val="continue"/>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10" w:type="dxa"/>
            <w:vMerge w:val="continue"/>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70" w:type="dxa"/>
            <w:vMerge w:val="continue"/>
            <w:tcBorders>
              <w:left w:val="single" w:color="auto" w:sz="4" w:space="0"/>
              <w:bottom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20"/>
                <w:szCs w:val="20"/>
                <w:lang w:val="en-US" w:eastAsia="zh-CN" w:bidi="ar-SA"/>
              </w:rPr>
            </w:pPr>
          </w:p>
        </w:tc>
        <w:tc>
          <w:tcPr>
            <w:tcW w:w="480"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auto"/>
                <w:sz w:val="20"/>
                <w:szCs w:val="20"/>
                <w:highlight w:val="none"/>
              </w:rPr>
              <w:t>　</w:t>
            </w:r>
          </w:p>
        </w:tc>
        <w:tc>
          <w:tcPr>
            <w:tcW w:w="79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auto"/>
                <w:sz w:val="20"/>
                <w:szCs w:val="20"/>
                <w:highlight w:val="none"/>
                <w:lang w:eastAsia="zh-CN"/>
              </w:rPr>
              <w:t>一般公共服务支出</w:t>
            </w:r>
          </w:p>
        </w:tc>
        <w:tc>
          <w:tcPr>
            <w:tcW w:w="82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223.92</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122.02</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122.02</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93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101.90</w:t>
            </w:r>
          </w:p>
        </w:tc>
        <w:tc>
          <w:tcPr>
            <w:tcW w:w="51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47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auto"/>
                <w:sz w:val="20"/>
                <w:szCs w:val="20"/>
                <w:highlight w:val="none"/>
                <w:lang w:val="en-US" w:eastAsia="zh-CN"/>
              </w:rPr>
              <w:t>32</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auto"/>
                <w:sz w:val="20"/>
                <w:szCs w:val="20"/>
                <w:highlight w:val="none"/>
              </w:rPr>
              <w:t>　</w:t>
            </w:r>
          </w:p>
        </w:tc>
        <w:tc>
          <w:tcPr>
            <w:tcW w:w="794" w:type="dxa"/>
            <w:tcBorders>
              <w:top w:val="single" w:color="auto" w:sz="4" w:space="0"/>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auto"/>
                <w:sz w:val="20"/>
                <w:szCs w:val="20"/>
                <w:highlight w:val="none"/>
                <w:lang w:eastAsia="zh-CN"/>
              </w:rPr>
              <w:t>组织事务</w:t>
            </w:r>
          </w:p>
        </w:tc>
        <w:tc>
          <w:tcPr>
            <w:tcW w:w="826" w:type="dxa"/>
            <w:tcBorders>
              <w:top w:val="single" w:color="auto" w:sz="4" w:space="0"/>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223.92</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122.02</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122.02</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single" w:color="auto" w:sz="4" w:space="0"/>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101.90</w:t>
            </w:r>
          </w:p>
        </w:tc>
        <w:tc>
          <w:tcPr>
            <w:tcW w:w="51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90" w:hRule="atLeast"/>
        </w:trPr>
        <w:tc>
          <w:tcPr>
            <w:tcW w:w="59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auto"/>
                <w:sz w:val="20"/>
                <w:szCs w:val="20"/>
                <w:highlight w:val="none"/>
                <w:lang w:val="en-US" w:eastAsia="zh-CN"/>
              </w:rPr>
              <w:t>201</w:t>
            </w: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auto"/>
                <w:sz w:val="20"/>
                <w:szCs w:val="20"/>
                <w:highlight w:val="none"/>
                <w:lang w:val="en-US" w:eastAsia="zh-CN"/>
              </w:rPr>
              <w:t>32</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auto"/>
                <w:sz w:val="20"/>
                <w:szCs w:val="20"/>
                <w:highlight w:val="none"/>
                <w:lang w:val="en-US" w:eastAsia="zh-CN"/>
              </w:rPr>
              <w:t>01</w:t>
            </w:r>
            <w:r>
              <w:rPr>
                <w:rFonts w:hint="eastAsia" w:ascii="仿宋_GB2312" w:eastAsia="仿宋_GB2312"/>
                <w:color w:val="auto"/>
                <w:sz w:val="20"/>
                <w:szCs w:val="20"/>
                <w:highlight w:val="none"/>
              </w:rPr>
              <w:t>　</w:t>
            </w: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auto"/>
                <w:sz w:val="20"/>
                <w:szCs w:val="20"/>
                <w:highlight w:val="none"/>
              </w:rPr>
              <w:t>行政运行</w:t>
            </w:r>
          </w:p>
        </w:tc>
        <w:tc>
          <w:tcPr>
            <w:tcW w:w="826"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210.92</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109.02</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109.02</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101.90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201</w:t>
            </w:r>
          </w:p>
        </w:tc>
        <w:tc>
          <w:tcPr>
            <w:tcW w:w="4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32</w:t>
            </w:r>
          </w:p>
        </w:tc>
        <w:tc>
          <w:tcPr>
            <w:tcW w:w="4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99</w:t>
            </w:r>
          </w:p>
        </w:tc>
        <w:tc>
          <w:tcPr>
            <w:tcW w:w="79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20"/>
                <w:szCs w:val="20"/>
                <w:highlight w:val="none"/>
                <w:lang w:eastAsia="zh-CN"/>
              </w:rPr>
            </w:pPr>
            <w:r>
              <w:rPr>
                <w:rFonts w:hint="eastAsia" w:ascii="仿宋_GB2312" w:hAnsi="宋体" w:eastAsia="仿宋_GB2312" w:cs="宋体"/>
                <w:color w:val="000000"/>
                <w:sz w:val="20"/>
                <w:szCs w:val="20"/>
                <w:highlight w:val="none"/>
                <w:lang w:eastAsia="zh-CN"/>
              </w:rPr>
              <w:t>其他组织事务支出</w:t>
            </w:r>
          </w:p>
        </w:tc>
        <w:tc>
          <w:tcPr>
            <w:tcW w:w="82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13.00</w:t>
            </w: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13.00</w:t>
            </w: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13.00</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4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highlight w:val="none"/>
                <w:lang w:val="en-US" w:eastAsia="zh-CN"/>
              </w:rPr>
              <w:t>208</w:t>
            </w:r>
            <w:r>
              <w:rPr>
                <w:rFonts w:hint="eastAsia" w:ascii="仿宋_GB2312" w:eastAsia="仿宋_GB2312"/>
                <w:color w:val="000000"/>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highlight w:val="none"/>
              </w:rPr>
              <w:t>　</w:t>
            </w: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highlight w:val="none"/>
                <w:lang w:eastAsia="zh-CN"/>
              </w:rPr>
              <w:t>社会保障和就业支出</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55.07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19.07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19.07</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36.00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highlight w:val="none"/>
                <w:lang w:val="en-US" w:eastAsia="zh-CN"/>
              </w:rPr>
              <w:t>208</w:t>
            </w:r>
            <w:r>
              <w:rPr>
                <w:rFonts w:hint="eastAsia" w:ascii="仿宋_GB2312" w:eastAsia="仿宋_GB2312"/>
                <w:color w:val="000000"/>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highlight w:val="none"/>
                <w:lang w:val="en-US" w:eastAsia="zh-CN"/>
              </w:rPr>
              <w:t>05</w:t>
            </w:r>
            <w:r>
              <w:rPr>
                <w:rFonts w:hint="eastAsia" w:ascii="仿宋_GB2312" w:eastAsia="仿宋_GB2312"/>
                <w:color w:val="000000"/>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highlight w:val="none"/>
                <w:lang w:eastAsia="zh-CN"/>
              </w:rPr>
              <w:t>行政事业单位养老支出</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55.07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19.07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19.07</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36.00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208</w:t>
            </w:r>
          </w:p>
        </w:tc>
        <w:tc>
          <w:tcPr>
            <w:tcW w:w="4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05</w:t>
            </w:r>
          </w:p>
        </w:tc>
        <w:tc>
          <w:tcPr>
            <w:tcW w:w="480"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01</w:t>
            </w:r>
          </w:p>
        </w:tc>
        <w:tc>
          <w:tcPr>
            <w:tcW w:w="79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20"/>
                <w:szCs w:val="20"/>
                <w:highlight w:val="none"/>
              </w:rPr>
            </w:pPr>
            <w:r>
              <w:rPr>
                <w:rFonts w:hint="eastAsia" w:ascii="仿宋_GB2312" w:hAnsi="宋体" w:eastAsia="仿宋_GB2312" w:cs="宋体"/>
                <w:color w:val="000000"/>
                <w:sz w:val="20"/>
                <w:szCs w:val="20"/>
                <w:highlight w:val="none"/>
              </w:rPr>
              <w:t>行政单位离退休</w:t>
            </w:r>
          </w:p>
        </w:tc>
        <w:tc>
          <w:tcPr>
            <w:tcW w:w="82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13.85</w:t>
            </w: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5.85</w:t>
            </w:r>
          </w:p>
        </w:tc>
        <w:tc>
          <w:tcPr>
            <w:tcW w:w="855"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5.85</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4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8.00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highlight w:val="none"/>
                <w:lang w:val="en-US" w:eastAsia="zh-CN"/>
              </w:rPr>
              <w:t>208</w:t>
            </w:r>
            <w:r>
              <w:rPr>
                <w:rFonts w:hint="eastAsia" w:ascii="仿宋_GB2312" w:eastAsia="仿宋_GB2312"/>
                <w:color w:val="000000"/>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highlight w:val="none"/>
                <w:lang w:val="en-US" w:eastAsia="zh-CN"/>
              </w:rPr>
              <w:t>05</w:t>
            </w:r>
            <w:r>
              <w:rPr>
                <w:rFonts w:hint="eastAsia" w:ascii="仿宋_GB2312" w:eastAsia="仿宋_GB2312"/>
                <w:color w:val="000000"/>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highlight w:val="none"/>
                <w:lang w:val="en-US" w:eastAsia="zh-CN"/>
              </w:rPr>
              <w:t>05</w:t>
            </w:r>
            <w:r>
              <w:rPr>
                <w:rFonts w:hint="eastAsia" w:ascii="仿宋_GB2312" w:eastAsia="仿宋_GB2312"/>
                <w:color w:val="000000"/>
                <w:sz w:val="20"/>
                <w:szCs w:val="20"/>
                <w:highlight w:val="none"/>
              </w:rPr>
              <w:t>　</w:t>
            </w: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highlight w:val="none"/>
              </w:rPr>
              <w:t>机关事业单位基本养老保险缴费支出</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26.23</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13.23</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kern w:val="2"/>
                <w:sz w:val="20"/>
                <w:szCs w:val="20"/>
                <w:highlight w:val="none"/>
                <w:lang w:val="en-US" w:eastAsia="zh-CN" w:bidi="ar-SA"/>
              </w:rPr>
            </w:pPr>
            <w:r>
              <w:rPr>
                <w:rFonts w:hint="eastAsia" w:ascii="仿宋_GB2312" w:eastAsia="仿宋_GB2312"/>
                <w:color w:val="auto"/>
                <w:sz w:val="20"/>
                <w:szCs w:val="20"/>
                <w:highlight w:val="none"/>
                <w:lang w:val="en-US" w:eastAsia="zh-CN"/>
              </w:rPr>
              <w:t>13.23</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13.00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133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20"/>
                <w:szCs w:val="20"/>
                <w:lang w:val="en-US" w:eastAsia="zh-CN"/>
              </w:rPr>
            </w:pPr>
            <w:r>
              <w:rPr>
                <w:rFonts w:hint="eastAsia" w:ascii="仿宋_GB2312" w:eastAsia="仿宋_GB2312"/>
                <w:color w:val="000000"/>
                <w:sz w:val="20"/>
                <w:szCs w:val="20"/>
                <w:lang w:val="en-US" w:eastAsia="zh-CN"/>
              </w:rPr>
              <w:t>208</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kern w:val="2"/>
                <w:sz w:val="20"/>
                <w:szCs w:val="20"/>
                <w:lang w:val="en-US" w:eastAsia="zh-CN" w:bidi="ar-SA"/>
              </w:rPr>
              <w:t>05</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kern w:val="2"/>
                <w:sz w:val="20"/>
                <w:szCs w:val="20"/>
                <w:lang w:val="en-US" w:eastAsia="zh-CN" w:bidi="ar-SA"/>
              </w:rPr>
              <w:t>06</w:t>
            </w:r>
          </w:p>
        </w:tc>
        <w:tc>
          <w:tcPr>
            <w:tcW w:w="794"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20"/>
                <w:szCs w:val="20"/>
                <w:lang w:eastAsia="zh-CN"/>
              </w:rPr>
            </w:pPr>
            <w:r>
              <w:rPr>
                <w:rFonts w:hint="eastAsia" w:ascii="仿宋_GB2312" w:hAnsi="宋体" w:eastAsia="仿宋_GB2312" w:cs="宋体"/>
                <w:color w:val="000000"/>
                <w:sz w:val="20"/>
                <w:szCs w:val="20"/>
                <w:lang w:eastAsia="zh-CN"/>
              </w:rPr>
              <w:t>机关事业单位职业年金缴费支出</w:t>
            </w:r>
          </w:p>
        </w:tc>
        <w:tc>
          <w:tcPr>
            <w:tcW w:w="826" w:type="dxa"/>
            <w:tcBorders>
              <w:top w:val="nil"/>
              <w:left w:val="nil"/>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15.00</w:t>
            </w:r>
          </w:p>
        </w:tc>
        <w:tc>
          <w:tcPr>
            <w:tcW w:w="8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85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lang w:val="en-US" w:eastAsia="zh-CN"/>
              </w:rPr>
            </w:pP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8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395"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640" w:type="dxa"/>
            <w:tcBorders>
              <w:top w:val="nil"/>
              <w:left w:val="nil"/>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15.00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210</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eastAsia="zh-CN"/>
              </w:rPr>
              <w:t>卫生健康支出</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21.98</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8.48</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8.48</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13.50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857"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210</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eastAsia="zh-CN"/>
              </w:rPr>
              <w:t>行政事业单位医疗</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21.98</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8.48</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8.48</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13.50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210</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01</w:t>
            </w: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行政单位医疗</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16.61</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6.61</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6.61</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10.00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210</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03</w:t>
            </w: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公务员医疗补助</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4.82</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1.82</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1.82</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3.00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210</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11</w:t>
            </w:r>
          </w:p>
        </w:tc>
        <w:tc>
          <w:tcPr>
            <w:tcW w:w="480"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000000"/>
                <w:kern w:val="2"/>
                <w:sz w:val="20"/>
                <w:szCs w:val="20"/>
                <w:lang w:val="en-US" w:eastAsia="zh-CN" w:bidi="ar-SA"/>
              </w:rPr>
            </w:pPr>
            <w:r>
              <w:rPr>
                <w:rFonts w:hint="eastAsia" w:ascii="仿宋_GB2312" w:hAnsi="宋体" w:eastAsia="仿宋_GB2312" w:cs="宋体"/>
                <w:color w:val="000000"/>
                <w:sz w:val="20"/>
                <w:szCs w:val="20"/>
                <w:lang w:val="en-US" w:eastAsia="zh-CN"/>
              </w:rPr>
              <w:t>99</w:t>
            </w:r>
          </w:p>
        </w:tc>
        <w:tc>
          <w:tcPr>
            <w:tcW w:w="794"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eastAsia="zh-CN"/>
              </w:rPr>
              <w:t>其他行政事业单位医疗支出</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0.55</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0.05</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0.05</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0.50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221</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住房</w:t>
            </w:r>
            <w:r>
              <w:rPr>
                <w:rFonts w:hint="eastAsia" w:ascii="仿宋_GB2312" w:eastAsia="仿宋_GB2312"/>
                <w:color w:val="000000"/>
                <w:sz w:val="20"/>
                <w:szCs w:val="20"/>
                <w:lang w:eastAsia="zh-CN"/>
              </w:rPr>
              <w:t>保障支出</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22.97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10.97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10.97</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12.00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221</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eastAsia="zh-CN"/>
              </w:rPr>
              <w:t>住房改革支出</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22.97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10.97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10.97</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12.00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221</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02</w:t>
            </w:r>
          </w:p>
        </w:tc>
        <w:tc>
          <w:tcPr>
            <w:tcW w:w="48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lang w:val="en-US" w:eastAsia="zh-CN"/>
              </w:rPr>
              <w:t>01</w:t>
            </w: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eastAsia="仿宋_GB2312"/>
                <w:color w:val="000000"/>
                <w:sz w:val="20"/>
                <w:szCs w:val="20"/>
              </w:rPr>
              <w:t>住房公积金</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22.97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10.97</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10.97</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12.00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94" w:type="dxa"/>
            <w:tcBorders>
              <w:top w:val="nil"/>
              <w:left w:val="single" w:color="auto" w:sz="4" w:space="0"/>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794"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826"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323.94</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160.54</w:t>
            </w:r>
            <w:r>
              <w:rPr>
                <w:rFonts w:hint="eastAsia" w:ascii="仿宋_GB2312" w:eastAsia="仿宋_GB2312"/>
                <w:color w:val="auto"/>
                <w:sz w:val="20"/>
                <w:szCs w:val="20"/>
                <w:highlight w:val="none"/>
              </w:rPr>
              <w:t>　</w:t>
            </w:r>
          </w:p>
        </w:tc>
        <w:tc>
          <w:tcPr>
            <w:tcW w:w="8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160.54</w:t>
            </w:r>
            <w:r>
              <w:rPr>
                <w:rFonts w:hint="eastAsia" w:ascii="仿宋_GB2312" w:eastAsia="仿宋_GB2312"/>
                <w:color w:val="auto"/>
                <w:sz w:val="20"/>
                <w:szCs w:val="20"/>
                <w:highlight w:val="none"/>
              </w:rPr>
              <w:t>　</w:t>
            </w:r>
          </w:p>
        </w:tc>
        <w:tc>
          <w:tcPr>
            <w:tcW w:w="55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p>
        </w:tc>
        <w:tc>
          <w:tcPr>
            <w:tcW w:w="40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8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395"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640" w:type="dxa"/>
            <w:tcBorders>
              <w:top w:val="nil"/>
              <w:left w:val="nil"/>
              <w:bottom w:val="single" w:color="auto" w:sz="4" w:space="0"/>
              <w:right w:val="single" w:color="auto" w:sz="4" w:space="0"/>
            </w:tcBorders>
            <w:noWrap w:val="0"/>
            <w:vAlign w:val="center"/>
          </w:tcPr>
          <w:p>
            <w:pPr>
              <w:jc w:val="right"/>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　</w:t>
            </w:r>
          </w:p>
        </w:tc>
        <w:tc>
          <w:tcPr>
            <w:tcW w:w="45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930" w:type="dxa"/>
            <w:tcBorders>
              <w:top w:val="nil"/>
              <w:left w:val="single" w:color="auto" w:sz="4" w:space="0"/>
              <w:bottom w:val="single" w:color="auto" w:sz="4" w:space="0"/>
              <w:right w:val="single" w:color="auto" w:sz="4" w:space="0"/>
            </w:tcBorders>
            <w:noWrap w:val="0"/>
            <w:vAlign w:val="center"/>
          </w:tcPr>
          <w:p>
            <w:pPr>
              <w:jc w:val="right"/>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163.40</w:t>
            </w:r>
          </w:p>
        </w:tc>
        <w:tc>
          <w:tcPr>
            <w:tcW w:w="51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c>
          <w:tcPr>
            <w:tcW w:w="470" w:type="dxa"/>
            <w:tcBorders>
              <w:top w:val="nil"/>
              <w:left w:val="single" w:color="auto" w:sz="4" w:space="0"/>
              <w:bottom w:val="single" w:color="auto" w:sz="4" w:space="0"/>
              <w:right w:val="single" w:color="auto" w:sz="4" w:space="0"/>
            </w:tcBorders>
            <w:noWrap w:val="0"/>
            <w:vAlign w:val="center"/>
          </w:tcPr>
          <w:p>
            <w:pPr>
              <w:jc w:val="right"/>
              <w:rPr>
                <w:rFonts w:hint="eastAsia" w:ascii="仿宋_GB2312" w:eastAsia="仿宋_GB2312"/>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单位</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中共呼图壁县委员会老干部局</w:t>
      </w:r>
      <w:r>
        <w:rPr>
          <w:rFonts w:hint="eastAsia" w:ascii="仿宋_GB2312" w:hAnsi="宋体" w:eastAsia="仿宋_GB2312"/>
          <w:kern w:val="0"/>
          <w:sz w:val="24"/>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420" w:type="dxa"/>
        <w:tblInd w:w="-240" w:type="dxa"/>
        <w:tblLayout w:type="fixed"/>
        <w:tblCellMar>
          <w:top w:w="0" w:type="dxa"/>
          <w:left w:w="108" w:type="dxa"/>
          <w:bottom w:w="0" w:type="dxa"/>
          <w:right w:w="108" w:type="dxa"/>
        </w:tblCellMar>
      </w:tblPr>
      <w:tblGrid>
        <w:gridCol w:w="516"/>
        <w:gridCol w:w="417"/>
        <w:gridCol w:w="417"/>
        <w:gridCol w:w="2545"/>
        <w:gridCol w:w="1826"/>
        <w:gridCol w:w="1827"/>
        <w:gridCol w:w="1872"/>
      </w:tblGrid>
      <w:tr>
        <w:tblPrEx>
          <w:tblLayout w:type="fixed"/>
          <w:tblCellMar>
            <w:top w:w="0" w:type="dxa"/>
            <w:left w:w="108" w:type="dxa"/>
            <w:bottom w:w="0" w:type="dxa"/>
            <w:right w:w="108" w:type="dxa"/>
          </w:tblCellMar>
        </w:tblPrEx>
        <w:trPr>
          <w:trHeight w:val="328" w:hRule="atLeast"/>
        </w:trPr>
        <w:tc>
          <w:tcPr>
            <w:tcW w:w="389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25"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50"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4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2"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4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2"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一般公共服务支出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b w:val="0"/>
                <w:bCs w:val="0"/>
                <w:color w:val="auto"/>
                <w:kern w:val="0"/>
                <w:sz w:val="22"/>
                <w:szCs w:val="22"/>
                <w:highlight w:val="none"/>
                <w:lang w:val="en-US"/>
              </w:rPr>
            </w:pPr>
            <w:r>
              <w:rPr>
                <w:rFonts w:hint="eastAsia" w:ascii="宋体" w:hAnsi="宋体" w:cs="宋体"/>
                <w:b w:val="0"/>
                <w:bCs w:val="0"/>
                <w:color w:val="auto"/>
                <w:kern w:val="0"/>
                <w:sz w:val="22"/>
                <w:szCs w:val="22"/>
                <w:highlight w:val="none"/>
                <w:lang w:val="en-US" w:eastAsia="zh-CN"/>
              </w:rPr>
              <w:t>223.92</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210.92</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13.00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组织事务</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223.92</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210.92</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13.00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01</w:t>
            </w: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行政运行</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210.92</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210.92</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32</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99</w:t>
            </w: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sz w:val="20"/>
                <w:szCs w:val="20"/>
                <w:highlight w:val="none"/>
                <w:lang w:eastAsia="zh-CN"/>
              </w:rPr>
              <w:t>其他组织事务支出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13.00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社会保障和就业支出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55.07</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54.57</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0.50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行政事业单位养老支出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55.07</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54.57</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0.50</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01</w:t>
            </w: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sz w:val="20"/>
                <w:szCs w:val="20"/>
                <w:highlight w:val="none"/>
                <w:lang w:eastAsia="zh-CN"/>
              </w:rPr>
              <w:t>行政单位离退休</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13.85</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13.35</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0.05</w:t>
            </w: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05</w:t>
            </w: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机关事业单位基本养老保险缴费支出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26.23</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26.23</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05</w:t>
            </w:r>
          </w:p>
        </w:tc>
        <w:tc>
          <w:tcPr>
            <w:tcW w:w="417"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kern w:val="2"/>
                <w:sz w:val="20"/>
                <w:szCs w:val="20"/>
                <w:highlight w:val="none"/>
                <w:lang w:val="en-US" w:eastAsia="zh-CN" w:bidi="ar-SA"/>
              </w:rPr>
              <w:t>06</w:t>
            </w: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sz w:val="20"/>
                <w:szCs w:val="20"/>
                <w:highlight w:val="none"/>
                <w:lang w:eastAsia="zh-CN"/>
              </w:rPr>
            </w:pPr>
            <w:r>
              <w:rPr>
                <w:rFonts w:hint="eastAsia" w:ascii="仿宋_GB2312" w:hAnsi="宋体" w:eastAsia="仿宋_GB2312" w:cs="宋体"/>
                <w:color w:val="auto"/>
                <w:sz w:val="20"/>
                <w:szCs w:val="20"/>
                <w:highlight w:val="none"/>
                <w:lang w:eastAsia="zh-CN"/>
              </w:rPr>
              <w:t>机关事业单位职业年金缴费支出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15.00</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15.00</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b w:val="0"/>
                <w:bCs w:val="0"/>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卫生健康支出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21.98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21.98</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行政事业单位医疗</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21.98</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21.98</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01</w:t>
            </w: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行政单位医疗</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16.61</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16.61</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03</w:t>
            </w: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公务员医疗补助</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4.82</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r>
              <w:rPr>
                <w:rFonts w:hint="eastAsia" w:ascii="宋体" w:hAnsi="宋体" w:cs="宋体"/>
                <w:b w:val="0"/>
                <w:bCs w:val="0"/>
                <w:color w:val="auto"/>
                <w:kern w:val="0"/>
                <w:sz w:val="22"/>
                <w:szCs w:val="22"/>
                <w:highlight w:val="none"/>
                <w:lang w:val="en-US" w:eastAsia="zh-CN"/>
              </w:rPr>
              <w:t>4.82</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99</w:t>
            </w: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其他行政事业单位医疗支出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0.55</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0.55</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val="0"/>
                <w:bCs w:val="0"/>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住房保障支出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22.97</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22.97</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住房改革支出</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22.97</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22.97</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val="en-US" w:eastAsia="zh-CN"/>
              </w:rPr>
              <w:t>01</w:t>
            </w:r>
          </w:p>
        </w:tc>
        <w:tc>
          <w:tcPr>
            <w:tcW w:w="254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hAnsi="宋体" w:eastAsia="仿宋_GB2312" w:cs="宋体"/>
                <w:color w:val="auto"/>
                <w:sz w:val="20"/>
                <w:szCs w:val="20"/>
                <w:highlight w:val="none"/>
                <w:lang w:eastAsia="zh-CN"/>
              </w:rPr>
              <w:t>住房公积金</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22.97</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b w:val="0"/>
                <w:bCs w:val="0"/>
                <w:color w:val="auto"/>
                <w:kern w:val="0"/>
                <w:sz w:val="22"/>
                <w:szCs w:val="22"/>
                <w:highlight w:val="none"/>
                <w:lang w:val="en-US" w:eastAsia="zh-CN" w:bidi="ar-SA"/>
              </w:rPr>
            </w:pPr>
            <w:r>
              <w:rPr>
                <w:rFonts w:hint="eastAsia" w:ascii="宋体" w:hAnsi="宋体" w:cs="宋体"/>
                <w:b w:val="0"/>
                <w:bCs w:val="0"/>
                <w:color w:val="auto"/>
                <w:kern w:val="0"/>
                <w:sz w:val="22"/>
                <w:szCs w:val="22"/>
                <w:highlight w:val="none"/>
                <w:lang w:val="en-US" w:eastAsia="zh-CN"/>
              </w:rPr>
              <w:t>22.97</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16"/>
                <w:szCs w:val="16"/>
                <w:highlight w:val="none"/>
              </w:rPr>
            </w:pPr>
          </w:p>
        </w:tc>
        <w:tc>
          <w:tcPr>
            <w:tcW w:w="25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41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2545"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826"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827" w:type="dxa"/>
            <w:tcBorders>
              <w:top w:val="nil"/>
              <w:left w:val="nil"/>
              <w:bottom w:val="single" w:color="auto" w:sz="4" w:space="0"/>
              <w:right w:val="single" w:color="auto" w:sz="4" w:space="0"/>
            </w:tcBorders>
            <w:noWrap w:val="0"/>
            <w:vAlign w:val="center"/>
          </w:tcPr>
          <w:p>
            <w:pPr>
              <w:jc w:val="center"/>
              <w:rPr>
                <w:color w:val="auto"/>
                <w:highlight w:val="none"/>
              </w:rPr>
            </w:pPr>
          </w:p>
        </w:tc>
        <w:tc>
          <w:tcPr>
            <w:tcW w:w="1872" w:type="dxa"/>
            <w:tcBorders>
              <w:top w:val="nil"/>
              <w:left w:val="nil"/>
              <w:bottom w:val="single" w:color="auto" w:sz="4" w:space="0"/>
              <w:right w:val="single" w:color="auto" w:sz="4" w:space="0"/>
            </w:tcBorders>
            <w:noWrap w:val="0"/>
            <w:vAlign w:val="center"/>
          </w:tcPr>
          <w:p>
            <w:pPr>
              <w:jc w:val="center"/>
              <w:rPr>
                <w:color w:val="auto"/>
                <w:highlight w:val="none"/>
              </w:rPr>
            </w:pPr>
          </w:p>
        </w:tc>
      </w:tr>
      <w:tr>
        <w:tblPrEx>
          <w:tblLayout w:type="fixed"/>
          <w:tblCellMar>
            <w:top w:w="0" w:type="dxa"/>
            <w:left w:w="108" w:type="dxa"/>
            <w:bottom w:w="0" w:type="dxa"/>
            <w:right w:w="108" w:type="dxa"/>
          </w:tblCellMar>
        </w:tblPrEx>
        <w:trPr>
          <w:trHeight w:val="405" w:hRule="atLeast"/>
        </w:trPr>
        <w:tc>
          <w:tcPr>
            <w:tcW w:w="516"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2545"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323.94</w:t>
            </w:r>
          </w:p>
        </w:tc>
        <w:tc>
          <w:tcPr>
            <w:tcW w:w="1827"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310.44</w:t>
            </w:r>
          </w:p>
        </w:tc>
        <w:tc>
          <w:tcPr>
            <w:tcW w:w="187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4"/>
                <w:highlight w:val="none"/>
                <w:lang w:val="en-US" w:eastAsia="zh-CN"/>
              </w:rPr>
            </w:pPr>
            <w:r>
              <w:rPr>
                <w:rFonts w:hint="eastAsia" w:ascii="宋体" w:hAnsi="宋体" w:cs="宋体"/>
                <w:color w:val="auto"/>
                <w:kern w:val="0"/>
                <w:sz w:val="24"/>
                <w:highlight w:val="none"/>
                <w:lang w:val="en-US" w:eastAsia="zh-CN"/>
              </w:rPr>
              <w:t>13.50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kern w:val="0"/>
          <w:sz w:val="24"/>
          <w:lang w:eastAsia="zh-CN"/>
        </w:rPr>
        <w:t>中共呼图壁县委员会老干部局</w:t>
      </w:r>
      <w:r>
        <w:rPr>
          <w:rFonts w:hint="eastAsia" w:ascii="仿宋_GB2312" w:hAnsi="宋体" w:eastAsia="仿宋_GB2312"/>
          <w:kern w:val="0"/>
          <w:sz w:val="24"/>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szCs w:val="24"/>
          <w:highlight w:val="none"/>
          <w:lang w:val="en-US" w:eastAsia="zh-CN"/>
        </w:rPr>
        <w:t xml:space="preserve">       </w:t>
      </w:r>
      <w:r>
        <w:rPr>
          <w:rFonts w:hint="eastAsia" w:ascii="仿宋_GB2312" w:hAnsi="宋体" w:eastAsia="仿宋_GB2312"/>
          <w:color w:val="auto"/>
          <w:kern w:val="0"/>
          <w:sz w:val="24"/>
          <w:szCs w:val="24"/>
          <w:highlight w:val="none"/>
        </w:rPr>
        <w:t xml:space="preserve"> 单位：万元</w:t>
      </w:r>
    </w:p>
    <w:tbl>
      <w:tblPr>
        <w:tblStyle w:val="9"/>
        <w:tblW w:w="9449" w:type="dxa"/>
        <w:tblInd w:w="-240" w:type="dxa"/>
        <w:tblLayout w:type="fixed"/>
        <w:tblCellMar>
          <w:top w:w="0" w:type="dxa"/>
          <w:left w:w="108" w:type="dxa"/>
          <w:bottom w:w="0" w:type="dxa"/>
          <w:right w:w="108" w:type="dxa"/>
        </w:tblCellMar>
      </w:tblPr>
      <w:tblGrid>
        <w:gridCol w:w="1929"/>
        <w:gridCol w:w="914"/>
        <w:gridCol w:w="2570"/>
        <w:gridCol w:w="900"/>
        <w:gridCol w:w="876"/>
        <w:gridCol w:w="1130"/>
        <w:gridCol w:w="1130"/>
      </w:tblGrid>
      <w:tr>
        <w:tblPrEx>
          <w:tblLayout w:type="fixed"/>
          <w:tblCellMar>
            <w:top w:w="0" w:type="dxa"/>
            <w:left w:w="108" w:type="dxa"/>
            <w:bottom w:w="0" w:type="dxa"/>
            <w:right w:w="108" w:type="dxa"/>
          </w:tblCellMar>
        </w:tblPrEx>
        <w:trPr>
          <w:trHeight w:val="285" w:hRule="atLeast"/>
        </w:trPr>
        <w:tc>
          <w:tcPr>
            <w:tcW w:w="2843"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606"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Layout w:type="fixed"/>
          <w:tblCellMar>
            <w:top w:w="0" w:type="dxa"/>
            <w:left w:w="108" w:type="dxa"/>
            <w:bottom w:w="0" w:type="dxa"/>
            <w:right w:w="108" w:type="dxa"/>
          </w:tblCellMar>
        </w:tblPrEx>
        <w:trPr>
          <w:trHeight w:val="500" w:hRule="atLeast"/>
        </w:trPr>
        <w:tc>
          <w:tcPr>
            <w:tcW w:w="1929"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7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76"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0"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160.54</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122.02</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122.02</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160.54</w:t>
            </w: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7"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19.07</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19.07</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210卫生健康支出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8.48</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8.48</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10.97</w:t>
            </w: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10.97</w:t>
            </w: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c>
          <w:tcPr>
            <w:tcW w:w="1130" w:type="dxa"/>
            <w:tcBorders>
              <w:top w:val="nil"/>
              <w:left w:val="nil"/>
              <w:bottom w:val="single" w:color="auto" w:sz="4" w:space="0"/>
              <w:right w:val="single" w:color="auto" w:sz="4" w:space="0"/>
            </w:tcBorders>
            <w:noWrap w:val="0"/>
            <w:vAlign w:val="center"/>
          </w:tcPr>
          <w:p>
            <w:pPr>
              <w:widowControl/>
              <w:spacing w:line="280" w:lineRule="exact"/>
              <w:jc w:val="right"/>
              <w:rPr>
                <w:rFonts w:hint="eastAsia" w:ascii="宋体" w:hAnsi="宋体"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1929"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160.54</w:t>
            </w:r>
            <w:r>
              <w:rPr>
                <w:rFonts w:hint="eastAsia" w:ascii="仿宋_GB2312" w:hAnsi="宋体" w:eastAsia="仿宋_GB2312" w:cs="宋体"/>
                <w:b/>
                <w:bCs/>
                <w:color w:val="auto"/>
                <w:kern w:val="0"/>
                <w:sz w:val="20"/>
                <w:szCs w:val="20"/>
                <w:highlight w:val="none"/>
              </w:rPr>
              <w:t>　</w:t>
            </w:r>
          </w:p>
        </w:tc>
        <w:tc>
          <w:tcPr>
            <w:tcW w:w="2570"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160.54</w:t>
            </w:r>
            <w:r>
              <w:rPr>
                <w:rFonts w:hint="eastAsia" w:ascii="宋体" w:hAnsi="宋体" w:cs="宋体"/>
                <w:color w:val="auto"/>
                <w:kern w:val="0"/>
                <w:sz w:val="22"/>
                <w:szCs w:val="22"/>
                <w:highlight w:val="none"/>
              </w:rPr>
              <w:t>　</w:t>
            </w:r>
          </w:p>
        </w:tc>
        <w:tc>
          <w:tcPr>
            <w:tcW w:w="876" w:type="dxa"/>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22"/>
                <w:szCs w:val="22"/>
                <w:highlight w:val="none"/>
                <w:lang w:val="en-US" w:eastAsia="zh-CN"/>
              </w:rPr>
              <w:t>160.54</w:t>
            </w:r>
            <w:r>
              <w:rPr>
                <w:rFonts w:hint="eastAsia" w:ascii="宋体" w:hAnsi="宋体" w:cs="宋体"/>
                <w:color w:val="auto"/>
                <w:kern w:val="0"/>
                <w:sz w:val="22"/>
                <w:szCs w:val="22"/>
                <w:highlight w:val="none"/>
              </w:rPr>
              <w:t>　</w:t>
            </w:r>
          </w:p>
        </w:tc>
        <w:tc>
          <w:tcPr>
            <w:tcW w:w="2260" w:type="dxa"/>
            <w:gridSpan w:val="2"/>
            <w:tcBorders>
              <w:top w:val="nil"/>
              <w:left w:val="nil"/>
              <w:bottom w:val="single" w:color="auto" w:sz="4" w:space="0"/>
              <w:right w:val="single" w:color="auto" w:sz="4" w:space="0"/>
            </w:tcBorders>
            <w:noWrap w:val="0"/>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516"/>
        <w:gridCol w:w="499"/>
        <w:gridCol w:w="502"/>
        <w:gridCol w:w="2495"/>
        <w:gridCol w:w="657"/>
        <w:gridCol w:w="1018"/>
        <w:gridCol w:w="215"/>
        <w:gridCol w:w="1618"/>
        <w:gridCol w:w="1694"/>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669"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中共呼图壁县委员会老干部局</w:t>
            </w:r>
            <w:r>
              <w:rPr>
                <w:rFonts w:hint="eastAsia" w:ascii="仿宋_GB2312" w:hAnsi="宋体" w:eastAsia="仿宋_GB2312"/>
                <w:kern w:val="0"/>
                <w:sz w:val="24"/>
              </w:rPr>
              <w:t xml:space="preserve"> </w:t>
            </w:r>
            <w:r>
              <w:rPr>
                <w:rFonts w:hint="eastAsia" w:ascii="仿宋_GB2312" w:hAnsi="宋体" w:eastAsia="仿宋_GB2312"/>
                <w:color w:val="auto"/>
                <w:kern w:val="0"/>
                <w:sz w:val="24"/>
                <w:szCs w:val="24"/>
                <w:highlight w:val="none"/>
              </w:rPr>
              <w:t xml:space="preserve"> </w:t>
            </w:r>
          </w:p>
        </w:tc>
        <w:tc>
          <w:tcPr>
            <w:tcW w:w="1233"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2" w:type="dxa"/>
            <w:gridSpan w:val="2"/>
            <w:tcBorders>
              <w:top w:val="nil"/>
              <w:left w:val="nil"/>
              <w:bottom w:val="nil"/>
              <w:right w:val="nil"/>
            </w:tcBorders>
            <w:noWrap w:val="0"/>
            <w:vAlign w:val="center"/>
          </w:tcPr>
          <w:p>
            <w:pPr>
              <w:widowControl/>
              <w:ind w:firstLine="960" w:firstLineChars="400"/>
              <w:jc w:val="both"/>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12"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0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17"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9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7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3"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9"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9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3"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000000"/>
                <w:kern w:val="0"/>
                <w:sz w:val="20"/>
                <w:szCs w:val="20"/>
                <w:lang w:val="en-US" w:eastAsia="zh-CN" w:bidi="ar-SA"/>
              </w:rPr>
            </w:pPr>
            <w:r>
              <w:rPr>
                <w:rFonts w:hint="eastAsia" w:ascii="仿宋_GB2312" w:eastAsia="仿宋_GB2312"/>
                <w:color w:val="auto"/>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000000"/>
                <w:kern w:val="0"/>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000000"/>
                <w:kern w:val="0"/>
                <w:sz w:val="20"/>
                <w:szCs w:val="20"/>
                <w:lang w:val="en-US" w:eastAsia="zh-CN" w:bidi="ar-SA"/>
              </w:rPr>
            </w:pPr>
          </w:p>
        </w:tc>
        <w:tc>
          <w:tcPr>
            <w:tcW w:w="24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color w:val="000000"/>
                <w:kern w:val="0"/>
                <w:sz w:val="20"/>
                <w:szCs w:val="20"/>
                <w:lang w:val="en-US" w:eastAsia="zh-CN" w:bidi="ar-SA"/>
              </w:rPr>
            </w:pPr>
            <w:r>
              <w:rPr>
                <w:rFonts w:hint="eastAsia" w:ascii="仿宋_GB2312" w:hAnsi="宋体" w:eastAsia="仿宋_GB2312" w:cs="宋体"/>
                <w:color w:val="auto"/>
                <w:sz w:val="20"/>
                <w:szCs w:val="20"/>
                <w:highlight w:val="none"/>
                <w:lang w:eastAsia="zh-CN"/>
              </w:rPr>
              <w:t>一般公共服务支出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122.02</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109.02</w:t>
            </w:r>
          </w:p>
        </w:tc>
        <w:tc>
          <w:tcPr>
            <w:tcW w:w="1694"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rPr>
            </w:pPr>
            <w:r>
              <w:rPr>
                <w:rFonts w:hint="eastAsia" w:ascii="仿宋_GB2312" w:hAnsi="宋体" w:eastAsia="仿宋_GB2312" w:cs="宋体"/>
                <w:b w:val="0"/>
                <w:bCs/>
                <w:color w:val="auto"/>
                <w:kern w:val="0"/>
                <w:sz w:val="20"/>
                <w:szCs w:val="20"/>
                <w:highlight w:val="none"/>
                <w:lang w:val="en-US" w:eastAsia="zh-CN"/>
              </w:rPr>
              <w:t>13.00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auto"/>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auto"/>
                <w:sz w:val="20"/>
                <w:szCs w:val="20"/>
                <w:highlight w:val="none"/>
                <w:lang w:val="en-US" w:eastAsia="zh-CN"/>
              </w:rPr>
              <w:t>32</w:t>
            </w: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hAnsi="宋体" w:eastAsia="仿宋_GB2312" w:cs="宋体"/>
                <w:color w:val="auto"/>
                <w:sz w:val="20"/>
                <w:szCs w:val="20"/>
                <w:highlight w:val="none"/>
                <w:lang w:eastAsia="zh-CN"/>
              </w:rPr>
              <w:t>组织事务</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bidi="ar-SA"/>
              </w:rPr>
            </w:pPr>
            <w:r>
              <w:rPr>
                <w:rFonts w:hint="eastAsia" w:ascii="仿宋_GB2312" w:hAnsi="宋体" w:eastAsia="仿宋_GB2312" w:cs="宋体"/>
                <w:b w:val="0"/>
                <w:bCs/>
                <w:color w:val="auto"/>
                <w:kern w:val="0"/>
                <w:sz w:val="20"/>
                <w:szCs w:val="20"/>
                <w:highlight w:val="none"/>
                <w:lang w:val="en-US" w:eastAsia="zh-CN"/>
              </w:rPr>
              <w:t>122.02</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bidi="ar-SA"/>
              </w:rPr>
            </w:pPr>
            <w:r>
              <w:rPr>
                <w:rFonts w:hint="eastAsia" w:ascii="仿宋_GB2312" w:hAnsi="宋体" w:eastAsia="仿宋_GB2312" w:cs="宋体"/>
                <w:b w:val="0"/>
                <w:bCs/>
                <w:color w:val="auto"/>
                <w:kern w:val="0"/>
                <w:sz w:val="20"/>
                <w:szCs w:val="20"/>
                <w:highlight w:val="none"/>
                <w:lang w:val="en-US" w:eastAsia="zh-CN"/>
              </w:rPr>
              <w:t>109.02</w:t>
            </w:r>
          </w:p>
        </w:tc>
        <w:tc>
          <w:tcPr>
            <w:tcW w:w="1694"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bidi="ar-SA"/>
              </w:rPr>
            </w:pPr>
            <w:r>
              <w:rPr>
                <w:rFonts w:hint="eastAsia" w:ascii="仿宋_GB2312" w:hAnsi="宋体" w:eastAsia="仿宋_GB2312" w:cs="宋体"/>
                <w:b w:val="0"/>
                <w:bCs/>
                <w:color w:val="auto"/>
                <w:kern w:val="0"/>
                <w:sz w:val="20"/>
                <w:szCs w:val="20"/>
                <w:highlight w:val="none"/>
                <w:lang w:val="en-US" w:eastAsia="zh-CN"/>
              </w:rPr>
              <w:t>13.00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auto"/>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auto"/>
                <w:sz w:val="20"/>
                <w:szCs w:val="20"/>
                <w:highlight w:val="none"/>
                <w:lang w:val="en-US" w:eastAsia="zh-CN"/>
              </w:rPr>
              <w:t>32</w:t>
            </w: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auto"/>
                <w:sz w:val="20"/>
                <w:szCs w:val="20"/>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hAnsi="宋体" w:eastAsia="仿宋_GB2312" w:cs="宋体"/>
                <w:color w:val="auto"/>
                <w:sz w:val="20"/>
                <w:szCs w:val="20"/>
                <w:highlight w:val="none"/>
              </w:rPr>
              <w:t>行政运行</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bidi="ar-SA"/>
              </w:rPr>
            </w:pPr>
            <w:r>
              <w:rPr>
                <w:rFonts w:hint="eastAsia" w:ascii="仿宋_GB2312" w:hAnsi="宋体" w:eastAsia="仿宋_GB2312" w:cs="宋体"/>
                <w:b w:val="0"/>
                <w:bCs/>
                <w:color w:val="auto"/>
                <w:kern w:val="0"/>
                <w:sz w:val="20"/>
                <w:szCs w:val="20"/>
                <w:highlight w:val="none"/>
                <w:lang w:val="en-US" w:eastAsia="zh-CN"/>
              </w:rPr>
              <w:t>122.02</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bidi="ar-SA"/>
              </w:rPr>
            </w:pPr>
            <w:r>
              <w:rPr>
                <w:rFonts w:hint="eastAsia" w:ascii="仿宋_GB2312" w:hAnsi="宋体" w:eastAsia="仿宋_GB2312" w:cs="宋体"/>
                <w:b w:val="0"/>
                <w:bCs/>
                <w:color w:val="auto"/>
                <w:kern w:val="0"/>
                <w:sz w:val="20"/>
                <w:szCs w:val="20"/>
                <w:highlight w:val="none"/>
                <w:lang w:val="en-US" w:eastAsia="zh-CN"/>
              </w:rPr>
              <w:t>109.02</w:t>
            </w:r>
          </w:p>
        </w:tc>
        <w:tc>
          <w:tcPr>
            <w:tcW w:w="1694"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b w:val="0"/>
                <w:bCs/>
                <w:color w:val="auto"/>
                <w:kern w:val="0"/>
                <w:sz w:val="20"/>
                <w:szCs w:val="20"/>
                <w:highlight w:val="none"/>
                <w:lang w:val="en-US" w:eastAsia="zh-CN" w:bidi="ar-SA"/>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201</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32</w:t>
            </w:r>
          </w:p>
        </w:tc>
        <w:tc>
          <w:tcPr>
            <w:tcW w:w="50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99</w:t>
            </w:r>
          </w:p>
        </w:tc>
        <w:tc>
          <w:tcPr>
            <w:tcW w:w="24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20"/>
                <w:szCs w:val="20"/>
                <w:highlight w:val="none"/>
                <w:lang w:eastAsia="zh-CN"/>
              </w:rPr>
            </w:pPr>
            <w:r>
              <w:rPr>
                <w:rFonts w:hint="eastAsia" w:ascii="仿宋_GB2312" w:hAnsi="宋体" w:eastAsia="仿宋_GB2312" w:cs="宋体"/>
                <w:color w:val="000000"/>
                <w:sz w:val="20"/>
                <w:szCs w:val="20"/>
                <w:highlight w:val="none"/>
                <w:lang w:eastAsia="zh-CN"/>
              </w:rPr>
              <w:t>其他组织事务支出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13.00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hAnsi="宋体" w:eastAsia="仿宋_GB2312" w:cs="宋体"/>
                <w:color w:val="000000"/>
                <w:sz w:val="20"/>
                <w:szCs w:val="20"/>
                <w:highlight w:val="none"/>
                <w:lang w:eastAsia="zh-CN"/>
              </w:rPr>
              <w:t>社会保障和就业支出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19.07</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18.57</w:t>
            </w:r>
          </w:p>
        </w:tc>
        <w:tc>
          <w:tcPr>
            <w:tcW w:w="169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0.50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hAnsi="宋体" w:eastAsia="仿宋_GB2312" w:cs="宋体"/>
                <w:color w:val="000000"/>
                <w:sz w:val="20"/>
                <w:szCs w:val="20"/>
                <w:highlight w:val="none"/>
                <w:lang w:eastAsia="zh-CN"/>
              </w:rPr>
              <w:t>行政事业单位养老支出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bidi="ar-SA"/>
              </w:rPr>
            </w:pPr>
            <w:r>
              <w:rPr>
                <w:rFonts w:hint="eastAsia" w:ascii="宋体" w:hAnsi="宋体" w:cs="宋体"/>
                <w:b w:val="0"/>
                <w:bCs/>
                <w:color w:val="auto"/>
                <w:kern w:val="0"/>
                <w:sz w:val="20"/>
                <w:szCs w:val="20"/>
                <w:highlight w:val="none"/>
                <w:lang w:val="en-US" w:eastAsia="zh-CN"/>
              </w:rPr>
              <w:t>19.07</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bidi="ar-SA"/>
              </w:rPr>
            </w:pPr>
            <w:r>
              <w:rPr>
                <w:rFonts w:hint="eastAsia" w:ascii="宋体" w:hAnsi="宋体" w:cs="宋体"/>
                <w:b w:val="0"/>
                <w:bCs/>
                <w:color w:val="auto"/>
                <w:kern w:val="0"/>
                <w:sz w:val="20"/>
                <w:szCs w:val="20"/>
                <w:highlight w:val="none"/>
                <w:lang w:val="en-US" w:eastAsia="zh-CN"/>
              </w:rPr>
              <w:t>18.57</w:t>
            </w:r>
          </w:p>
        </w:tc>
        <w:tc>
          <w:tcPr>
            <w:tcW w:w="169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bidi="ar-SA"/>
              </w:rPr>
            </w:pPr>
            <w:r>
              <w:rPr>
                <w:rFonts w:hint="eastAsia" w:ascii="宋体" w:hAnsi="宋体" w:cs="宋体"/>
                <w:b w:val="0"/>
                <w:bCs/>
                <w:color w:val="auto"/>
                <w:kern w:val="0"/>
                <w:sz w:val="20"/>
                <w:szCs w:val="20"/>
                <w:highlight w:val="none"/>
                <w:lang w:val="en-US" w:eastAsia="zh-CN"/>
              </w:rPr>
              <w:t>0.50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000000"/>
                <w:sz w:val="20"/>
                <w:szCs w:val="20"/>
                <w:highlight w:val="none"/>
                <w:lang w:val="en-US" w:eastAsia="zh-CN"/>
              </w:rPr>
            </w:pPr>
            <w:r>
              <w:rPr>
                <w:rFonts w:hint="eastAsia" w:ascii="仿宋_GB2312" w:eastAsia="仿宋_GB2312"/>
                <w:color w:val="000000"/>
                <w:sz w:val="20"/>
                <w:szCs w:val="20"/>
                <w:highlight w:val="none"/>
                <w:lang w:val="en-US" w:eastAsia="zh-CN"/>
              </w:rPr>
              <w:t>01</w:t>
            </w:r>
          </w:p>
        </w:tc>
        <w:tc>
          <w:tcPr>
            <w:tcW w:w="2495" w:type="dxa"/>
            <w:tcBorders>
              <w:top w:val="nil"/>
              <w:left w:val="nil"/>
              <w:bottom w:val="single" w:color="auto" w:sz="4" w:space="0"/>
              <w:right w:val="single" w:color="auto" w:sz="4" w:space="0"/>
            </w:tcBorders>
            <w:noWrap w:val="0"/>
            <w:vAlign w:val="center"/>
          </w:tcPr>
          <w:p>
            <w:pPr>
              <w:jc w:val="center"/>
              <w:rPr>
                <w:rFonts w:hint="eastAsia" w:ascii="仿宋_GB2312" w:hAnsi="宋体" w:eastAsia="仿宋_GB2312" w:cs="宋体"/>
                <w:color w:val="000000"/>
                <w:sz w:val="20"/>
                <w:szCs w:val="20"/>
                <w:highlight w:val="none"/>
              </w:rPr>
            </w:pPr>
            <w:r>
              <w:rPr>
                <w:rFonts w:hint="eastAsia" w:ascii="仿宋_GB2312" w:hAnsi="宋体" w:eastAsia="仿宋_GB2312" w:cs="宋体"/>
                <w:color w:val="000000"/>
                <w:sz w:val="20"/>
                <w:szCs w:val="20"/>
                <w:highlight w:val="none"/>
              </w:rPr>
              <w:t>行政单位离退休</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color w:val="auto"/>
                <w:kern w:val="0"/>
                <w:sz w:val="20"/>
                <w:szCs w:val="20"/>
                <w:highlight w:val="none"/>
                <w:lang w:val="en-US" w:eastAsia="zh-CN" w:bidi="ar-SA"/>
              </w:rPr>
            </w:pPr>
            <w:r>
              <w:rPr>
                <w:rFonts w:hint="eastAsia" w:ascii="宋体" w:hAnsi="宋体" w:cs="宋体"/>
                <w:b w:val="0"/>
                <w:bCs/>
                <w:color w:val="auto"/>
                <w:kern w:val="0"/>
                <w:sz w:val="20"/>
                <w:szCs w:val="20"/>
                <w:highlight w:val="none"/>
                <w:lang w:val="en-US" w:eastAsia="zh-CN"/>
              </w:rPr>
              <w:t>5.85</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color w:val="auto"/>
                <w:kern w:val="0"/>
                <w:sz w:val="20"/>
                <w:szCs w:val="20"/>
                <w:highlight w:val="none"/>
                <w:lang w:val="en-US" w:eastAsia="zh-CN" w:bidi="ar-SA"/>
              </w:rPr>
            </w:pPr>
            <w:r>
              <w:rPr>
                <w:rFonts w:hint="eastAsia" w:ascii="宋体" w:hAnsi="宋体" w:cs="宋体"/>
                <w:b w:val="0"/>
                <w:bCs/>
                <w:color w:val="auto"/>
                <w:kern w:val="0"/>
                <w:sz w:val="20"/>
                <w:szCs w:val="20"/>
                <w:highlight w:val="none"/>
                <w:lang w:val="en-US" w:eastAsia="zh-CN"/>
              </w:rPr>
              <w:t>5.35</w:t>
            </w:r>
          </w:p>
        </w:tc>
        <w:tc>
          <w:tcPr>
            <w:tcW w:w="1694" w:type="dxa"/>
            <w:tcBorders>
              <w:top w:val="nil"/>
              <w:left w:val="nil"/>
              <w:bottom w:val="single" w:color="auto" w:sz="4" w:space="0"/>
              <w:right w:val="single" w:color="auto" w:sz="4" w:space="0"/>
            </w:tcBorders>
            <w:noWrap w:val="0"/>
            <w:vAlign w:val="center"/>
          </w:tcPr>
          <w:p>
            <w:pPr>
              <w:widowControl/>
              <w:jc w:val="center"/>
              <w:rPr>
                <w:rFonts w:hint="eastAsia" w:ascii="宋体" w:hAnsi="宋体" w:eastAsia="宋体" w:cs="宋体"/>
                <w:b w:val="0"/>
                <w:bCs/>
                <w:color w:val="auto"/>
                <w:kern w:val="0"/>
                <w:sz w:val="20"/>
                <w:szCs w:val="20"/>
                <w:highlight w:val="none"/>
                <w:lang w:val="en-US" w:eastAsia="zh-CN" w:bidi="ar-SA"/>
              </w:rPr>
            </w:pPr>
            <w:r>
              <w:rPr>
                <w:rFonts w:hint="eastAsia" w:ascii="宋体" w:hAnsi="宋体" w:cs="宋体"/>
                <w:b w:val="0"/>
                <w:bCs/>
                <w:color w:val="auto"/>
                <w:kern w:val="0"/>
                <w:sz w:val="20"/>
                <w:szCs w:val="20"/>
                <w:highlight w:val="none"/>
                <w:lang w:val="en-US" w:eastAsia="zh-CN"/>
              </w:rPr>
              <w:t>0.50</w:t>
            </w: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highlight w:val="none"/>
                <w:lang w:val="en-US" w:eastAsia="zh-CN"/>
              </w:rPr>
              <w:t>208</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highlight w:val="none"/>
                <w:lang w:val="en-US" w:eastAsia="zh-CN"/>
              </w:rPr>
              <w:t>05</w:t>
            </w: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hAnsi="宋体" w:eastAsia="仿宋_GB2312" w:cs="宋体"/>
                <w:color w:val="000000"/>
                <w:sz w:val="20"/>
                <w:szCs w:val="20"/>
                <w:highlight w:val="none"/>
              </w:rPr>
              <w:t>机关事业单位基本养老保险缴费支出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13.23</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13.23</w:t>
            </w:r>
          </w:p>
        </w:tc>
        <w:tc>
          <w:tcPr>
            <w:tcW w:w="169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hAnsi="宋体" w:eastAsia="仿宋_GB2312" w:cs="宋体"/>
                <w:color w:val="000000"/>
                <w:sz w:val="20"/>
                <w:szCs w:val="20"/>
                <w:lang w:eastAsia="zh-CN"/>
              </w:rPr>
              <w:t>卫生健康支出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8.48</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8.48</w:t>
            </w:r>
          </w:p>
        </w:tc>
        <w:tc>
          <w:tcPr>
            <w:tcW w:w="169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eastAsia="zh-CN"/>
              </w:rPr>
              <w:t>行政事业单位医疗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8.48</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8.48</w:t>
            </w:r>
          </w:p>
        </w:tc>
        <w:tc>
          <w:tcPr>
            <w:tcW w:w="169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01</w:t>
            </w: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rPr>
              <w:t>行政单位医疗</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6.61</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6.61</w:t>
            </w:r>
          </w:p>
        </w:tc>
        <w:tc>
          <w:tcPr>
            <w:tcW w:w="169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03</w:t>
            </w: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rPr>
              <w:t>公务员医疗补助</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1.82</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1.82</w:t>
            </w:r>
          </w:p>
        </w:tc>
        <w:tc>
          <w:tcPr>
            <w:tcW w:w="169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210</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hAnsi="宋体" w:eastAsia="仿宋_GB2312" w:cs="宋体"/>
                <w:color w:val="000000"/>
                <w:sz w:val="20"/>
                <w:szCs w:val="20"/>
                <w:lang w:val="en-US" w:eastAsia="zh-CN"/>
              </w:rPr>
              <w:t>11</w:t>
            </w: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hAnsi="宋体" w:eastAsia="仿宋_GB2312" w:cs="宋体"/>
                <w:color w:val="000000"/>
                <w:sz w:val="20"/>
                <w:szCs w:val="20"/>
                <w:lang w:val="en-US" w:eastAsia="zh-CN"/>
              </w:rPr>
              <w:t>99</w:t>
            </w: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eastAsia="zh-CN"/>
              </w:rPr>
              <w:t>其他行政事业单位医疗支出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0.05</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0.05</w:t>
            </w:r>
          </w:p>
        </w:tc>
        <w:tc>
          <w:tcPr>
            <w:tcW w:w="169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rPr>
              <w:t>住房</w:t>
            </w:r>
            <w:r>
              <w:rPr>
                <w:rFonts w:hint="eastAsia" w:ascii="仿宋_GB2312" w:eastAsia="仿宋_GB2312"/>
                <w:color w:val="000000"/>
                <w:sz w:val="20"/>
                <w:szCs w:val="20"/>
                <w:lang w:eastAsia="zh-CN"/>
              </w:rPr>
              <w:t>保障支出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10.97</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10.97</w:t>
            </w:r>
          </w:p>
        </w:tc>
        <w:tc>
          <w:tcPr>
            <w:tcW w:w="169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02</w:t>
            </w: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eastAsia="zh-CN"/>
              </w:rPr>
              <w:t>住房改革支出</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10.97</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10.97</w:t>
            </w:r>
          </w:p>
        </w:tc>
        <w:tc>
          <w:tcPr>
            <w:tcW w:w="169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221</w:t>
            </w:r>
          </w:p>
        </w:tc>
        <w:tc>
          <w:tcPr>
            <w:tcW w:w="499"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02</w:t>
            </w:r>
          </w:p>
        </w:tc>
        <w:tc>
          <w:tcPr>
            <w:tcW w:w="502"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lang w:val="en-US" w:eastAsia="zh-CN"/>
              </w:rPr>
              <w:t>01</w:t>
            </w:r>
          </w:p>
        </w:tc>
        <w:tc>
          <w:tcPr>
            <w:tcW w:w="2495" w:type="dxa"/>
            <w:tcBorders>
              <w:top w:val="nil"/>
              <w:left w:val="nil"/>
              <w:bottom w:val="single" w:color="auto" w:sz="4" w:space="0"/>
              <w:right w:val="single" w:color="auto" w:sz="4" w:space="0"/>
            </w:tcBorders>
            <w:noWrap w:val="0"/>
            <w:vAlign w:val="center"/>
          </w:tcPr>
          <w:p>
            <w:pPr>
              <w:jc w:val="center"/>
              <w:rPr>
                <w:rFonts w:ascii="宋体" w:hAnsi="宋体" w:eastAsia="宋体" w:cs="宋体"/>
                <w:color w:val="000000"/>
                <w:kern w:val="0"/>
                <w:sz w:val="20"/>
                <w:szCs w:val="20"/>
                <w:lang w:val="en-US" w:eastAsia="zh-CN" w:bidi="ar-SA"/>
              </w:rPr>
            </w:pPr>
            <w:r>
              <w:rPr>
                <w:rFonts w:hint="eastAsia" w:ascii="仿宋_GB2312" w:eastAsia="仿宋_GB2312"/>
                <w:color w:val="000000"/>
                <w:sz w:val="20"/>
                <w:szCs w:val="20"/>
              </w:rPr>
              <w:t>住房公积金</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bidi="ar-SA"/>
              </w:rPr>
            </w:pPr>
            <w:r>
              <w:rPr>
                <w:rFonts w:hint="eastAsia" w:ascii="宋体" w:hAnsi="宋体" w:cs="宋体"/>
                <w:b w:val="0"/>
                <w:bCs/>
                <w:color w:val="auto"/>
                <w:kern w:val="0"/>
                <w:sz w:val="20"/>
                <w:szCs w:val="20"/>
                <w:highlight w:val="none"/>
                <w:lang w:val="en-US" w:eastAsia="zh-CN"/>
              </w:rPr>
              <w:t>10.97</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bidi="ar-SA"/>
              </w:rPr>
            </w:pPr>
            <w:r>
              <w:rPr>
                <w:rFonts w:hint="eastAsia" w:ascii="宋体" w:hAnsi="宋体" w:cs="宋体"/>
                <w:b w:val="0"/>
                <w:bCs/>
                <w:color w:val="auto"/>
                <w:kern w:val="0"/>
                <w:sz w:val="20"/>
                <w:szCs w:val="20"/>
                <w:highlight w:val="none"/>
                <w:lang w:val="en-US" w:eastAsia="zh-CN"/>
              </w:rPr>
              <w:t>10.97</w:t>
            </w:r>
          </w:p>
        </w:tc>
        <w:tc>
          <w:tcPr>
            <w:tcW w:w="169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c>
          <w:tcPr>
            <w:tcW w:w="1694" w:type="dxa"/>
            <w:tcBorders>
              <w:top w:val="nil"/>
              <w:left w:val="nil"/>
              <w:bottom w:val="single" w:color="auto" w:sz="4" w:space="0"/>
              <w:right w:val="single" w:color="auto" w:sz="4" w:space="0"/>
            </w:tcBorders>
            <w:noWrap w:val="0"/>
            <w:vAlign w:val="center"/>
          </w:tcPr>
          <w:p>
            <w:pPr>
              <w:widowControl/>
              <w:jc w:val="center"/>
              <w:rPr>
                <w:rFonts w:ascii="宋体" w:hAnsi="宋体" w:cs="宋体"/>
                <w:b w:val="0"/>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6"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499"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495"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75"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160.54</w:t>
            </w:r>
          </w:p>
        </w:tc>
        <w:tc>
          <w:tcPr>
            <w:tcW w:w="1833"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147.04</w:t>
            </w:r>
          </w:p>
        </w:tc>
        <w:tc>
          <w:tcPr>
            <w:tcW w:w="1694"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color w:val="auto"/>
                <w:kern w:val="0"/>
                <w:sz w:val="20"/>
                <w:szCs w:val="20"/>
                <w:highlight w:val="none"/>
                <w:lang w:val="en-US" w:eastAsia="zh-CN"/>
              </w:rPr>
            </w:pPr>
            <w:r>
              <w:rPr>
                <w:rFonts w:hint="eastAsia" w:ascii="宋体" w:hAnsi="宋体" w:cs="宋体"/>
                <w:b w:val="0"/>
                <w:bCs/>
                <w:color w:val="auto"/>
                <w:kern w:val="0"/>
                <w:sz w:val="20"/>
                <w:szCs w:val="20"/>
                <w:highlight w:val="none"/>
                <w:lang w:val="en-US" w:eastAsia="zh-CN"/>
              </w:rPr>
              <w:t>13.50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5220"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中共呼图壁县委员会老干部局</w:t>
            </w: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132.92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132.92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基本工资</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32.98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32.98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津贴补贴</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32.22</w:t>
            </w:r>
          </w:p>
        </w:tc>
        <w:tc>
          <w:tcPr>
            <w:tcW w:w="1701" w:type="dxa"/>
            <w:gridSpan w:val="2"/>
            <w:tcBorders>
              <w:top w:val="nil"/>
              <w:left w:val="nil"/>
              <w:bottom w:val="single" w:color="auto" w:sz="4" w:space="0"/>
              <w:right w:val="single" w:color="auto" w:sz="4" w:space="0"/>
            </w:tcBorders>
            <w:noWrap w:val="0"/>
            <w:vAlign w:val="center"/>
          </w:tcPr>
          <w:p>
            <w:pPr>
              <w:widowControl/>
              <w:ind w:right="147" w:rightChars="70"/>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32.22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03</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奖金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26.19</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26.19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08</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机关事业单位基本养老保险缴费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13.23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13.23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10</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城镇职工基本医疗保险缴费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6.61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11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公务员医疗补助缴费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12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其他社会保障缴费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0.38</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13</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住房公积金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10.97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10.97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其他工资福利支出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8.52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8.52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商品和服务支出</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办公费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05</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水费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06</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0.53</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07</w:t>
            </w:r>
          </w:p>
        </w:tc>
        <w:tc>
          <w:tcPr>
            <w:tcW w:w="2891"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邮电费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0.27</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0.27</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28</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工会经费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1.60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302</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31</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公务用车运行维护费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1.20</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9.32</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9.32</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02</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退休费</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4.94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4.94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05</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生活补助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3.96</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3.96</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09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奖励金</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0.41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303</w:t>
            </w:r>
          </w:p>
        </w:tc>
        <w:tc>
          <w:tcPr>
            <w:tcW w:w="577" w:type="dxa"/>
            <w:tcBorders>
              <w:top w:val="nil"/>
              <w:left w:val="nil"/>
              <w:bottom w:val="single" w:color="auto" w:sz="4" w:space="0"/>
              <w:right w:val="single" w:color="auto" w:sz="4" w:space="0"/>
            </w:tcBorders>
            <w:noWrap w:val="0"/>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val="en-US" w:eastAsia="zh-CN"/>
              </w:rPr>
              <w:t>99</w:t>
            </w:r>
          </w:p>
        </w:tc>
        <w:tc>
          <w:tcPr>
            <w:tcW w:w="2891" w:type="dxa"/>
            <w:tcBorders>
              <w:top w:val="nil"/>
              <w:left w:val="nil"/>
              <w:bottom w:val="single" w:color="auto" w:sz="4" w:space="0"/>
              <w:right w:val="single" w:color="auto" w:sz="4" w:space="0"/>
            </w:tcBorders>
            <w:noWrap w:val="0"/>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s="Times New Roman"/>
                <w:color w:val="000000"/>
                <w:sz w:val="20"/>
                <w:szCs w:val="20"/>
                <w:lang w:eastAsia="zh-CN"/>
              </w:rPr>
              <w:t>其他对个人和家庭的补助</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147.04</w:t>
            </w:r>
          </w:p>
        </w:tc>
        <w:tc>
          <w:tcPr>
            <w:tcW w:w="1701" w:type="dxa"/>
            <w:gridSpan w:val="2"/>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142.24</w:t>
            </w:r>
          </w:p>
        </w:tc>
        <w:tc>
          <w:tcPr>
            <w:tcW w:w="1701"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40" w:type="dxa"/>
        <w:tblInd w:w="-360" w:type="dxa"/>
        <w:tblLayout w:type="fixed"/>
        <w:tblCellMar>
          <w:top w:w="0" w:type="dxa"/>
          <w:left w:w="108" w:type="dxa"/>
          <w:bottom w:w="0" w:type="dxa"/>
          <w:right w:w="108" w:type="dxa"/>
        </w:tblCellMar>
      </w:tblPr>
      <w:tblGrid>
        <w:gridCol w:w="10"/>
        <w:gridCol w:w="506"/>
        <w:gridCol w:w="417"/>
        <w:gridCol w:w="417"/>
        <w:gridCol w:w="1010"/>
        <w:gridCol w:w="1031"/>
        <w:gridCol w:w="719"/>
        <w:gridCol w:w="539"/>
        <w:gridCol w:w="716"/>
        <w:gridCol w:w="616"/>
        <w:gridCol w:w="606"/>
        <w:gridCol w:w="404"/>
        <w:gridCol w:w="214"/>
        <w:gridCol w:w="419"/>
        <w:gridCol w:w="618"/>
        <w:gridCol w:w="420"/>
        <w:gridCol w:w="420"/>
        <w:gridCol w:w="385"/>
        <w:gridCol w:w="73"/>
      </w:tblGrid>
      <w:tr>
        <w:tblPrEx>
          <w:tblLayout w:type="fixed"/>
          <w:tblCellMar>
            <w:top w:w="0" w:type="dxa"/>
            <w:left w:w="108" w:type="dxa"/>
            <w:bottom w:w="0" w:type="dxa"/>
            <w:right w:w="108" w:type="dxa"/>
          </w:tblCellMar>
        </w:tblPrEx>
        <w:trPr>
          <w:gridBefore w:val="1"/>
          <w:gridAfter w:val="1"/>
          <w:wBefore w:w="10" w:type="dxa"/>
          <w:wAfter w:w="73" w:type="dxa"/>
          <w:trHeight w:val="375" w:hRule="atLeast"/>
        </w:trPr>
        <w:tc>
          <w:tcPr>
            <w:tcW w:w="9457"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gridBefore w:val="1"/>
          <w:gridAfter w:val="1"/>
          <w:wBefore w:w="10" w:type="dxa"/>
          <w:wAfter w:w="73" w:type="dxa"/>
          <w:trHeight w:val="405" w:hRule="atLeast"/>
        </w:trPr>
        <w:tc>
          <w:tcPr>
            <w:tcW w:w="5355" w:type="dxa"/>
            <w:gridSpan w:val="8"/>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kern w:val="0"/>
                <w:sz w:val="24"/>
                <w:lang w:eastAsia="zh-CN"/>
              </w:rPr>
              <w:t>中共呼图壁县委员会老干部局</w:t>
            </w:r>
          </w:p>
        </w:tc>
        <w:tc>
          <w:tcPr>
            <w:tcW w:w="1626"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6"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50"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010"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031"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7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53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61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0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61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19"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5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rPr>
        <w:tc>
          <w:tcPr>
            <w:tcW w:w="516"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7"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010"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031"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3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0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19"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center"/>
          </w:tcPr>
          <w:p>
            <w:pPr>
              <w:jc w:val="center"/>
              <w:rPr>
                <w:rFonts w:hint="default" w:ascii="仿宋" w:hAnsi="仿宋" w:eastAsia="仿宋" w:cs="仿宋"/>
                <w:kern w:val="0"/>
                <w:sz w:val="20"/>
                <w:szCs w:val="20"/>
                <w:lang w:val="en-US" w:eastAsia="zh-CN" w:bidi="ar-SA"/>
              </w:rPr>
            </w:pPr>
            <w:r>
              <w:rPr>
                <w:rFonts w:hint="eastAsia" w:ascii="仿宋_GB2312" w:eastAsia="仿宋_GB2312"/>
                <w:color w:val="auto"/>
                <w:sz w:val="20"/>
                <w:szCs w:val="20"/>
                <w:highlight w:val="none"/>
                <w:lang w:val="en-US" w:eastAsia="zh-CN"/>
              </w:rPr>
              <w:t>201</w:t>
            </w:r>
          </w:p>
        </w:tc>
        <w:tc>
          <w:tcPr>
            <w:tcW w:w="417" w:type="dxa"/>
            <w:noWrap w:val="0"/>
            <w:vAlign w:val="center"/>
          </w:tcPr>
          <w:p>
            <w:pPr>
              <w:jc w:val="center"/>
              <w:rPr>
                <w:rFonts w:hint="eastAsia" w:ascii="仿宋" w:hAnsi="仿宋" w:eastAsia="仿宋" w:cs="仿宋"/>
                <w:kern w:val="0"/>
                <w:sz w:val="20"/>
                <w:szCs w:val="20"/>
                <w:lang w:val="en-US" w:eastAsia="zh-Hans" w:bidi="ar-SA"/>
              </w:rPr>
            </w:pPr>
          </w:p>
        </w:tc>
        <w:tc>
          <w:tcPr>
            <w:tcW w:w="417" w:type="dxa"/>
            <w:noWrap w:val="0"/>
            <w:vAlign w:val="center"/>
          </w:tcPr>
          <w:p>
            <w:pPr>
              <w:jc w:val="center"/>
              <w:rPr>
                <w:rFonts w:hint="eastAsia" w:ascii="仿宋" w:hAnsi="仿宋" w:eastAsia="仿宋" w:cs="仿宋"/>
                <w:kern w:val="0"/>
                <w:sz w:val="20"/>
                <w:szCs w:val="20"/>
                <w:lang w:val="en-US" w:eastAsia="zh-CN" w:bidi="ar-SA"/>
              </w:rPr>
            </w:pPr>
          </w:p>
        </w:tc>
        <w:tc>
          <w:tcPr>
            <w:tcW w:w="1010" w:type="dxa"/>
            <w:noWrap w:val="0"/>
            <w:vAlign w:val="center"/>
          </w:tcPr>
          <w:p>
            <w:pPr>
              <w:jc w:val="center"/>
              <w:rPr>
                <w:rFonts w:hint="eastAsia" w:ascii="仿宋" w:hAnsi="仿宋" w:eastAsia="仿宋" w:cs="仿宋"/>
                <w:kern w:val="2"/>
                <w:sz w:val="20"/>
                <w:szCs w:val="20"/>
                <w:lang w:val="en-US" w:eastAsia="zh-CN" w:bidi="ar-SA"/>
              </w:rPr>
            </w:pPr>
            <w:r>
              <w:rPr>
                <w:rFonts w:hint="eastAsia" w:ascii="仿宋_GB2312" w:hAnsi="宋体" w:eastAsia="仿宋_GB2312" w:cs="宋体"/>
                <w:color w:val="auto"/>
                <w:sz w:val="20"/>
                <w:szCs w:val="20"/>
                <w:highlight w:val="none"/>
                <w:lang w:eastAsia="zh-CN"/>
              </w:rPr>
              <w:t>一般公共服务支出</w:t>
            </w:r>
          </w:p>
        </w:tc>
        <w:tc>
          <w:tcPr>
            <w:tcW w:w="1031" w:type="dxa"/>
            <w:noWrap w:val="0"/>
            <w:vAlign w:val="top"/>
          </w:tcPr>
          <w:p>
            <w:pPr>
              <w:widowControl/>
              <w:jc w:val="center"/>
              <w:outlineLvl w:val="1"/>
              <w:rPr>
                <w:rFonts w:ascii="仿宋_GB2312" w:hAnsi="宋体" w:eastAsia="仿宋_GB2312"/>
                <w:color w:val="auto"/>
                <w:kern w:val="0"/>
                <w:sz w:val="20"/>
                <w:szCs w:val="20"/>
                <w:highlight w:val="none"/>
              </w:rPr>
            </w:pPr>
          </w:p>
        </w:tc>
        <w:tc>
          <w:tcPr>
            <w:tcW w:w="719"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13.00</w:t>
            </w:r>
          </w:p>
        </w:tc>
        <w:tc>
          <w:tcPr>
            <w:tcW w:w="539" w:type="dxa"/>
            <w:noWrap w:val="0"/>
            <w:vAlign w:val="top"/>
          </w:tcPr>
          <w:p>
            <w:pPr>
              <w:widowControl/>
              <w:jc w:val="center"/>
              <w:outlineLvl w:val="1"/>
              <w:rPr>
                <w:rFonts w:ascii="仿宋_GB2312" w:hAnsi="宋体" w:eastAsia="仿宋_GB2312"/>
                <w:color w:val="auto"/>
                <w:kern w:val="0"/>
                <w:sz w:val="20"/>
                <w:szCs w:val="20"/>
                <w:highlight w:val="none"/>
              </w:rPr>
            </w:pPr>
          </w:p>
        </w:tc>
        <w:tc>
          <w:tcPr>
            <w:tcW w:w="716"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13.00</w:t>
            </w:r>
          </w:p>
        </w:tc>
        <w:tc>
          <w:tcPr>
            <w:tcW w:w="616" w:type="dxa"/>
            <w:noWrap w:val="0"/>
            <w:vAlign w:val="top"/>
          </w:tcPr>
          <w:p>
            <w:pPr>
              <w:widowControl/>
              <w:jc w:val="center"/>
              <w:outlineLvl w:val="1"/>
              <w:rPr>
                <w:rFonts w:ascii="仿宋_GB2312" w:hAnsi="宋体" w:eastAsia="仿宋_GB2312"/>
                <w:color w:val="auto"/>
                <w:kern w:val="0"/>
                <w:sz w:val="20"/>
                <w:szCs w:val="20"/>
                <w:highlight w:val="none"/>
              </w:rPr>
            </w:pPr>
          </w:p>
        </w:tc>
        <w:tc>
          <w:tcPr>
            <w:tcW w:w="606"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9"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58" w:type="dxa"/>
            <w:gridSpan w:val="2"/>
            <w:noWrap w:val="0"/>
            <w:vAlign w:val="top"/>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center"/>
          </w:tcPr>
          <w:p>
            <w:pPr>
              <w:jc w:val="center"/>
              <w:rPr>
                <w:rFonts w:hint="default" w:ascii="仿宋" w:hAnsi="仿宋" w:eastAsia="仿宋" w:cs="仿宋"/>
                <w:kern w:val="0"/>
                <w:sz w:val="20"/>
                <w:szCs w:val="20"/>
                <w:lang w:val="en-US" w:eastAsia="zh-CN" w:bidi="ar-SA"/>
              </w:rPr>
            </w:pPr>
            <w:r>
              <w:rPr>
                <w:rFonts w:hint="eastAsia" w:ascii="仿宋_GB2312" w:eastAsia="仿宋_GB2312"/>
                <w:color w:val="auto"/>
                <w:sz w:val="20"/>
                <w:szCs w:val="20"/>
                <w:highlight w:val="none"/>
                <w:lang w:val="en-US" w:eastAsia="zh-CN"/>
              </w:rPr>
              <w:t>201</w:t>
            </w:r>
          </w:p>
        </w:tc>
        <w:tc>
          <w:tcPr>
            <w:tcW w:w="417" w:type="dxa"/>
            <w:noWrap w:val="0"/>
            <w:vAlign w:val="center"/>
          </w:tcPr>
          <w:p>
            <w:pPr>
              <w:jc w:val="center"/>
              <w:rPr>
                <w:rFonts w:hint="default" w:ascii="仿宋" w:hAnsi="仿宋" w:eastAsia="仿宋" w:cs="仿宋"/>
                <w:kern w:val="0"/>
                <w:sz w:val="20"/>
                <w:szCs w:val="20"/>
                <w:lang w:val="en-US" w:eastAsia="zh-CN" w:bidi="ar-SA"/>
              </w:rPr>
            </w:pPr>
            <w:r>
              <w:rPr>
                <w:rFonts w:hint="eastAsia" w:ascii="仿宋_GB2312" w:eastAsia="仿宋_GB2312"/>
                <w:color w:val="auto"/>
                <w:sz w:val="20"/>
                <w:szCs w:val="20"/>
                <w:highlight w:val="none"/>
                <w:lang w:val="en-US" w:eastAsia="zh-CN"/>
              </w:rPr>
              <w:t>32</w:t>
            </w:r>
          </w:p>
        </w:tc>
        <w:tc>
          <w:tcPr>
            <w:tcW w:w="417" w:type="dxa"/>
            <w:noWrap w:val="0"/>
            <w:vAlign w:val="center"/>
          </w:tcPr>
          <w:p>
            <w:pPr>
              <w:jc w:val="center"/>
              <w:rPr>
                <w:rFonts w:hint="eastAsia" w:ascii="仿宋" w:hAnsi="仿宋" w:eastAsia="仿宋" w:cs="仿宋"/>
                <w:kern w:val="0"/>
                <w:sz w:val="20"/>
                <w:szCs w:val="20"/>
                <w:lang w:val="en-US" w:eastAsia="zh-CN" w:bidi="ar-SA"/>
              </w:rPr>
            </w:pPr>
          </w:p>
        </w:tc>
        <w:tc>
          <w:tcPr>
            <w:tcW w:w="1010" w:type="dxa"/>
            <w:noWrap w:val="0"/>
            <w:vAlign w:val="center"/>
          </w:tcPr>
          <w:p>
            <w:pPr>
              <w:jc w:val="center"/>
              <w:rPr>
                <w:rFonts w:hint="eastAsia" w:ascii="仿宋" w:hAnsi="仿宋" w:eastAsia="仿宋" w:cs="仿宋"/>
                <w:kern w:val="0"/>
                <w:sz w:val="20"/>
                <w:szCs w:val="20"/>
                <w:lang w:val="en-US" w:eastAsia="zh-CN" w:bidi="ar-SA"/>
              </w:rPr>
            </w:pPr>
            <w:r>
              <w:rPr>
                <w:rFonts w:hint="eastAsia" w:ascii="仿宋_GB2312" w:hAnsi="宋体" w:eastAsia="仿宋_GB2312" w:cs="宋体"/>
                <w:color w:val="auto"/>
                <w:sz w:val="20"/>
                <w:szCs w:val="20"/>
                <w:highlight w:val="none"/>
                <w:lang w:eastAsia="zh-CN"/>
              </w:rPr>
              <w:t>组织事务</w:t>
            </w:r>
          </w:p>
        </w:tc>
        <w:tc>
          <w:tcPr>
            <w:tcW w:w="1031" w:type="dxa"/>
            <w:noWrap w:val="0"/>
            <w:vAlign w:val="top"/>
          </w:tcPr>
          <w:p>
            <w:pPr>
              <w:widowControl/>
              <w:jc w:val="center"/>
              <w:outlineLvl w:val="1"/>
              <w:rPr>
                <w:rFonts w:ascii="仿宋_GB2312" w:hAnsi="宋体" w:eastAsia="仿宋_GB2312"/>
                <w:color w:val="auto"/>
                <w:kern w:val="0"/>
                <w:sz w:val="20"/>
                <w:szCs w:val="20"/>
                <w:highlight w:val="none"/>
              </w:rPr>
            </w:pPr>
          </w:p>
        </w:tc>
        <w:tc>
          <w:tcPr>
            <w:tcW w:w="719" w:type="dxa"/>
            <w:noWrap w:val="0"/>
            <w:vAlign w:val="top"/>
          </w:tcPr>
          <w:p>
            <w:pPr>
              <w:widowControl/>
              <w:jc w:val="both"/>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13.00</w:t>
            </w:r>
          </w:p>
        </w:tc>
        <w:tc>
          <w:tcPr>
            <w:tcW w:w="539" w:type="dxa"/>
            <w:noWrap w:val="0"/>
            <w:vAlign w:val="top"/>
          </w:tcPr>
          <w:p>
            <w:pPr>
              <w:widowControl/>
              <w:jc w:val="center"/>
              <w:outlineLvl w:val="1"/>
              <w:rPr>
                <w:rFonts w:ascii="仿宋_GB2312" w:hAnsi="宋体" w:eastAsia="仿宋_GB2312"/>
                <w:color w:val="auto"/>
                <w:kern w:val="0"/>
                <w:sz w:val="20"/>
                <w:szCs w:val="20"/>
                <w:highlight w:val="none"/>
              </w:rPr>
            </w:pPr>
          </w:p>
        </w:tc>
        <w:tc>
          <w:tcPr>
            <w:tcW w:w="716" w:type="dxa"/>
            <w:noWrap w:val="0"/>
            <w:vAlign w:val="top"/>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13.00</w:t>
            </w:r>
          </w:p>
        </w:tc>
        <w:tc>
          <w:tcPr>
            <w:tcW w:w="616" w:type="dxa"/>
            <w:noWrap w:val="0"/>
            <w:vAlign w:val="top"/>
          </w:tcPr>
          <w:p>
            <w:pPr>
              <w:widowControl/>
              <w:jc w:val="center"/>
              <w:outlineLvl w:val="1"/>
              <w:rPr>
                <w:rFonts w:ascii="仿宋_GB2312" w:hAnsi="宋体" w:eastAsia="仿宋_GB2312"/>
                <w:color w:val="auto"/>
                <w:kern w:val="0"/>
                <w:sz w:val="20"/>
                <w:szCs w:val="20"/>
                <w:highlight w:val="none"/>
              </w:rPr>
            </w:pPr>
          </w:p>
        </w:tc>
        <w:tc>
          <w:tcPr>
            <w:tcW w:w="606"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9"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58" w:type="dxa"/>
            <w:gridSpan w:val="2"/>
            <w:noWrap w:val="0"/>
            <w:vAlign w:val="top"/>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center"/>
          </w:tcPr>
          <w:p>
            <w:pPr>
              <w:jc w:val="center"/>
              <w:rPr>
                <w:rFonts w:hint="default" w:ascii="仿宋" w:hAnsi="仿宋" w:eastAsia="仿宋" w:cs="仿宋"/>
                <w:kern w:val="0"/>
                <w:sz w:val="20"/>
                <w:szCs w:val="20"/>
                <w:lang w:val="en-US" w:eastAsia="zh-CN" w:bidi="ar-SA"/>
              </w:rPr>
            </w:pPr>
            <w:r>
              <w:rPr>
                <w:rFonts w:hint="eastAsia" w:ascii="仿宋_GB2312" w:eastAsia="仿宋_GB2312"/>
                <w:color w:val="auto"/>
                <w:sz w:val="20"/>
                <w:szCs w:val="20"/>
                <w:highlight w:val="none"/>
                <w:lang w:val="en-US" w:eastAsia="zh-CN"/>
              </w:rPr>
              <w:t>201</w:t>
            </w:r>
          </w:p>
        </w:tc>
        <w:tc>
          <w:tcPr>
            <w:tcW w:w="417" w:type="dxa"/>
            <w:noWrap w:val="0"/>
            <w:vAlign w:val="center"/>
          </w:tcPr>
          <w:p>
            <w:pPr>
              <w:jc w:val="center"/>
              <w:rPr>
                <w:rFonts w:hint="default" w:ascii="仿宋" w:hAnsi="仿宋" w:eastAsia="仿宋" w:cs="仿宋"/>
                <w:kern w:val="0"/>
                <w:sz w:val="20"/>
                <w:szCs w:val="20"/>
                <w:lang w:val="en-US" w:eastAsia="zh-CN" w:bidi="ar-SA"/>
              </w:rPr>
            </w:pPr>
            <w:r>
              <w:rPr>
                <w:rFonts w:hint="eastAsia" w:ascii="仿宋_GB2312" w:eastAsia="仿宋_GB2312"/>
                <w:color w:val="auto"/>
                <w:sz w:val="20"/>
                <w:szCs w:val="20"/>
                <w:highlight w:val="none"/>
                <w:lang w:val="en-US" w:eastAsia="zh-CN"/>
              </w:rPr>
              <w:t>32</w:t>
            </w:r>
          </w:p>
        </w:tc>
        <w:tc>
          <w:tcPr>
            <w:tcW w:w="417" w:type="dxa"/>
            <w:noWrap w:val="0"/>
            <w:vAlign w:val="center"/>
          </w:tcPr>
          <w:p>
            <w:pPr>
              <w:jc w:val="center"/>
              <w:rPr>
                <w:rFonts w:hint="eastAsia" w:ascii="仿宋" w:hAnsi="仿宋" w:eastAsia="仿宋" w:cs="仿宋"/>
                <w:kern w:val="0"/>
                <w:sz w:val="20"/>
                <w:szCs w:val="20"/>
                <w:lang w:val="en-US" w:eastAsia="zh-CN" w:bidi="ar-SA"/>
              </w:rPr>
            </w:pPr>
            <w:r>
              <w:rPr>
                <w:rFonts w:hint="eastAsia" w:ascii="仿宋_GB2312" w:eastAsia="仿宋_GB2312"/>
                <w:color w:val="auto"/>
                <w:sz w:val="20"/>
                <w:szCs w:val="20"/>
                <w:highlight w:val="none"/>
                <w:lang w:val="en-US" w:eastAsia="zh-CN"/>
              </w:rPr>
              <w:t>99</w:t>
            </w:r>
          </w:p>
        </w:tc>
        <w:tc>
          <w:tcPr>
            <w:tcW w:w="1010" w:type="dxa"/>
            <w:noWrap w:val="0"/>
            <w:vAlign w:val="center"/>
          </w:tcPr>
          <w:p>
            <w:pPr>
              <w:jc w:val="center"/>
              <w:rPr>
                <w:rFonts w:hint="eastAsia" w:ascii="仿宋" w:hAnsi="仿宋" w:eastAsia="仿宋" w:cs="仿宋"/>
                <w:kern w:val="0"/>
                <w:sz w:val="20"/>
                <w:szCs w:val="20"/>
                <w:lang w:val="en-US" w:eastAsia="zh-CN" w:bidi="ar-SA"/>
              </w:rPr>
            </w:pPr>
            <w:r>
              <w:rPr>
                <w:rFonts w:hint="eastAsia" w:ascii="仿宋_GB2312" w:hAnsi="宋体" w:eastAsia="仿宋_GB2312"/>
                <w:color w:val="auto"/>
                <w:kern w:val="0"/>
                <w:sz w:val="20"/>
                <w:szCs w:val="20"/>
                <w:highlight w:val="none"/>
              </w:rPr>
              <w:t>其他组织事务支出</w:t>
            </w:r>
          </w:p>
        </w:tc>
        <w:tc>
          <w:tcPr>
            <w:tcW w:w="1031" w:type="dxa"/>
            <w:noWrap w:val="0"/>
            <w:vAlign w:val="top"/>
          </w:tcPr>
          <w:p>
            <w:pPr>
              <w:widowControl/>
              <w:jc w:val="center"/>
              <w:outlineLvl w:val="1"/>
              <w:rPr>
                <w:rFonts w:hint="eastAsia" w:ascii="仿宋_GB2312" w:hAnsi="宋体" w:eastAsia="仿宋_GB2312"/>
                <w:color w:val="auto"/>
                <w:kern w:val="0"/>
                <w:sz w:val="20"/>
                <w:szCs w:val="20"/>
                <w:highlight w:val="none"/>
                <w:lang w:eastAsia="zh-CN"/>
              </w:rPr>
            </w:pPr>
            <w:r>
              <w:rPr>
                <w:rFonts w:hint="eastAsia" w:ascii="仿宋_GB2312" w:hAnsi="宋体" w:eastAsia="仿宋_GB2312"/>
                <w:color w:val="auto"/>
                <w:kern w:val="0"/>
                <w:sz w:val="20"/>
                <w:szCs w:val="20"/>
                <w:highlight w:val="none"/>
              </w:rPr>
              <w:t>老干部党校、老年大学、关工委工作经费</w:t>
            </w:r>
          </w:p>
        </w:tc>
        <w:tc>
          <w:tcPr>
            <w:tcW w:w="719"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13.00</w:t>
            </w:r>
          </w:p>
        </w:tc>
        <w:tc>
          <w:tcPr>
            <w:tcW w:w="539" w:type="dxa"/>
            <w:noWrap w:val="0"/>
            <w:vAlign w:val="top"/>
          </w:tcPr>
          <w:p>
            <w:pPr>
              <w:widowControl/>
              <w:jc w:val="center"/>
              <w:outlineLvl w:val="1"/>
              <w:rPr>
                <w:rFonts w:ascii="仿宋_GB2312" w:hAnsi="宋体" w:eastAsia="仿宋_GB2312"/>
                <w:color w:val="auto"/>
                <w:kern w:val="0"/>
                <w:sz w:val="20"/>
                <w:szCs w:val="20"/>
                <w:highlight w:val="none"/>
              </w:rPr>
            </w:pPr>
          </w:p>
        </w:tc>
        <w:tc>
          <w:tcPr>
            <w:tcW w:w="716"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13.00</w:t>
            </w:r>
          </w:p>
        </w:tc>
        <w:tc>
          <w:tcPr>
            <w:tcW w:w="616" w:type="dxa"/>
            <w:noWrap w:val="0"/>
            <w:vAlign w:val="top"/>
          </w:tcPr>
          <w:p>
            <w:pPr>
              <w:widowControl/>
              <w:jc w:val="center"/>
              <w:outlineLvl w:val="1"/>
              <w:rPr>
                <w:rFonts w:ascii="仿宋_GB2312" w:hAnsi="宋体" w:eastAsia="仿宋_GB2312"/>
                <w:color w:val="auto"/>
                <w:kern w:val="0"/>
                <w:sz w:val="20"/>
                <w:szCs w:val="20"/>
                <w:highlight w:val="none"/>
              </w:rPr>
            </w:pPr>
          </w:p>
        </w:tc>
        <w:tc>
          <w:tcPr>
            <w:tcW w:w="606"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9"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58" w:type="dxa"/>
            <w:gridSpan w:val="2"/>
            <w:noWrap w:val="0"/>
            <w:vAlign w:val="top"/>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center"/>
          </w:tcPr>
          <w:p>
            <w:pPr>
              <w:jc w:val="center"/>
              <w:rPr>
                <w:rFonts w:hint="default" w:ascii="仿宋" w:hAnsi="仿宋" w:eastAsia="仿宋" w:cs="仿宋"/>
                <w:kern w:val="0"/>
                <w:sz w:val="20"/>
                <w:szCs w:val="20"/>
                <w:lang w:val="en-US" w:eastAsia="zh-CN" w:bidi="ar-SA"/>
              </w:rPr>
            </w:pPr>
            <w:r>
              <w:rPr>
                <w:rFonts w:hint="eastAsia" w:ascii="仿宋_GB2312" w:eastAsia="仿宋_GB2312"/>
                <w:color w:val="auto"/>
                <w:sz w:val="20"/>
                <w:szCs w:val="20"/>
                <w:highlight w:val="none"/>
                <w:lang w:val="en-US" w:eastAsia="zh-CN"/>
              </w:rPr>
              <w:t>208</w:t>
            </w:r>
          </w:p>
        </w:tc>
        <w:tc>
          <w:tcPr>
            <w:tcW w:w="417" w:type="dxa"/>
            <w:noWrap w:val="0"/>
            <w:vAlign w:val="center"/>
          </w:tcPr>
          <w:p>
            <w:pPr>
              <w:jc w:val="center"/>
              <w:rPr>
                <w:rFonts w:hint="default" w:ascii="仿宋" w:hAnsi="仿宋" w:eastAsia="仿宋" w:cs="仿宋"/>
                <w:kern w:val="0"/>
                <w:sz w:val="20"/>
                <w:szCs w:val="20"/>
                <w:lang w:val="en-US" w:eastAsia="zh-CN" w:bidi="ar-SA"/>
              </w:rPr>
            </w:pPr>
          </w:p>
        </w:tc>
        <w:tc>
          <w:tcPr>
            <w:tcW w:w="417" w:type="dxa"/>
            <w:noWrap w:val="0"/>
            <w:vAlign w:val="center"/>
          </w:tcPr>
          <w:p>
            <w:pPr>
              <w:jc w:val="center"/>
              <w:rPr>
                <w:rFonts w:hint="eastAsia" w:ascii="仿宋" w:hAnsi="仿宋" w:eastAsia="仿宋" w:cs="仿宋"/>
                <w:kern w:val="0"/>
                <w:sz w:val="20"/>
                <w:szCs w:val="20"/>
                <w:lang w:val="en-US" w:eastAsia="zh-CN" w:bidi="ar-SA"/>
              </w:rPr>
            </w:pPr>
          </w:p>
        </w:tc>
        <w:tc>
          <w:tcPr>
            <w:tcW w:w="1010" w:type="dxa"/>
            <w:noWrap w:val="0"/>
            <w:vAlign w:val="top"/>
          </w:tcPr>
          <w:p>
            <w:pPr>
              <w:widowControl/>
              <w:jc w:val="center"/>
              <w:outlineLvl w:val="1"/>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社会保障和就业支出</w:t>
            </w:r>
          </w:p>
        </w:tc>
        <w:tc>
          <w:tcPr>
            <w:tcW w:w="1031" w:type="dxa"/>
            <w:noWrap w:val="0"/>
            <w:vAlign w:val="top"/>
          </w:tcPr>
          <w:p>
            <w:pPr>
              <w:widowControl/>
              <w:jc w:val="center"/>
              <w:outlineLvl w:val="1"/>
              <w:rPr>
                <w:rFonts w:ascii="仿宋_GB2312" w:hAnsi="宋体" w:eastAsia="仿宋_GB2312"/>
                <w:color w:val="auto"/>
                <w:kern w:val="0"/>
                <w:sz w:val="20"/>
                <w:szCs w:val="20"/>
                <w:highlight w:val="none"/>
              </w:rPr>
            </w:pPr>
          </w:p>
        </w:tc>
        <w:tc>
          <w:tcPr>
            <w:tcW w:w="719"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0.50</w:t>
            </w:r>
          </w:p>
        </w:tc>
        <w:tc>
          <w:tcPr>
            <w:tcW w:w="539" w:type="dxa"/>
            <w:noWrap w:val="0"/>
            <w:vAlign w:val="top"/>
          </w:tcPr>
          <w:p>
            <w:pPr>
              <w:widowControl/>
              <w:jc w:val="center"/>
              <w:outlineLvl w:val="1"/>
              <w:rPr>
                <w:rFonts w:ascii="仿宋_GB2312" w:hAnsi="宋体" w:eastAsia="仿宋_GB2312"/>
                <w:color w:val="auto"/>
                <w:kern w:val="0"/>
                <w:sz w:val="20"/>
                <w:szCs w:val="20"/>
                <w:highlight w:val="none"/>
              </w:rPr>
            </w:pPr>
          </w:p>
        </w:tc>
        <w:tc>
          <w:tcPr>
            <w:tcW w:w="716" w:type="dxa"/>
            <w:noWrap w:val="0"/>
            <w:vAlign w:val="top"/>
          </w:tcPr>
          <w:p>
            <w:pPr>
              <w:widowControl/>
              <w:jc w:val="center"/>
              <w:outlineLvl w:val="1"/>
              <w:rPr>
                <w:rFonts w:ascii="仿宋_GB2312" w:hAnsi="宋体" w:eastAsia="仿宋_GB2312"/>
                <w:color w:val="auto"/>
                <w:kern w:val="0"/>
                <w:sz w:val="20"/>
                <w:szCs w:val="20"/>
                <w:highlight w:val="none"/>
              </w:rPr>
            </w:pPr>
          </w:p>
        </w:tc>
        <w:tc>
          <w:tcPr>
            <w:tcW w:w="616"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0.50</w:t>
            </w:r>
          </w:p>
        </w:tc>
        <w:tc>
          <w:tcPr>
            <w:tcW w:w="606"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9"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58" w:type="dxa"/>
            <w:gridSpan w:val="2"/>
            <w:noWrap w:val="0"/>
            <w:vAlign w:val="top"/>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center"/>
          </w:tcPr>
          <w:p>
            <w:pPr>
              <w:jc w:val="center"/>
              <w:rPr>
                <w:rFonts w:hint="default" w:ascii="仿宋" w:hAnsi="仿宋" w:eastAsia="仿宋" w:cs="仿宋"/>
                <w:kern w:val="0"/>
                <w:sz w:val="20"/>
                <w:szCs w:val="20"/>
                <w:lang w:val="en-US" w:eastAsia="zh-CN" w:bidi="ar-SA"/>
              </w:rPr>
            </w:pPr>
            <w:r>
              <w:rPr>
                <w:rFonts w:hint="eastAsia" w:ascii="仿宋_GB2312" w:eastAsia="仿宋_GB2312"/>
                <w:color w:val="auto"/>
                <w:sz w:val="20"/>
                <w:szCs w:val="20"/>
                <w:highlight w:val="none"/>
                <w:lang w:val="en-US" w:eastAsia="zh-CN"/>
              </w:rPr>
              <w:t>201</w:t>
            </w:r>
          </w:p>
        </w:tc>
        <w:tc>
          <w:tcPr>
            <w:tcW w:w="417" w:type="dxa"/>
            <w:noWrap w:val="0"/>
            <w:vAlign w:val="center"/>
          </w:tcPr>
          <w:p>
            <w:pPr>
              <w:jc w:val="center"/>
              <w:rPr>
                <w:rFonts w:hint="default"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05</w:t>
            </w:r>
          </w:p>
        </w:tc>
        <w:tc>
          <w:tcPr>
            <w:tcW w:w="417" w:type="dxa"/>
            <w:noWrap w:val="0"/>
            <w:vAlign w:val="center"/>
          </w:tcPr>
          <w:p>
            <w:pPr>
              <w:jc w:val="center"/>
              <w:rPr>
                <w:rFonts w:hint="eastAsia" w:ascii="仿宋" w:hAnsi="仿宋" w:eastAsia="仿宋" w:cs="仿宋"/>
                <w:kern w:val="0"/>
                <w:sz w:val="20"/>
                <w:szCs w:val="20"/>
                <w:lang w:val="en-US" w:eastAsia="zh-CN" w:bidi="ar-SA"/>
              </w:rPr>
            </w:pPr>
          </w:p>
        </w:tc>
        <w:tc>
          <w:tcPr>
            <w:tcW w:w="1010" w:type="dxa"/>
            <w:noWrap w:val="0"/>
            <w:vAlign w:val="top"/>
          </w:tcPr>
          <w:p>
            <w:pPr>
              <w:widowControl/>
              <w:jc w:val="center"/>
              <w:outlineLvl w:val="1"/>
              <w:rPr>
                <w:rFonts w:hint="eastAsia" w:ascii="仿宋" w:hAnsi="仿宋" w:eastAsia="仿宋" w:cs="仿宋"/>
                <w:kern w:val="0"/>
                <w:sz w:val="20"/>
                <w:szCs w:val="20"/>
                <w:lang w:val="en-US" w:eastAsia="zh-CN" w:bidi="ar-SA"/>
              </w:rPr>
            </w:pPr>
            <w:r>
              <w:rPr>
                <w:rFonts w:hint="eastAsia" w:ascii="仿宋" w:hAnsi="仿宋" w:eastAsia="仿宋" w:cs="仿宋"/>
                <w:kern w:val="0"/>
                <w:sz w:val="20"/>
                <w:szCs w:val="20"/>
                <w:lang w:val="en-US" w:eastAsia="zh-CN" w:bidi="ar-SA"/>
              </w:rPr>
              <w:t>行政事业单位养老支出</w:t>
            </w:r>
          </w:p>
        </w:tc>
        <w:tc>
          <w:tcPr>
            <w:tcW w:w="1031" w:type="dxa"/>
            <w:noWrap w:val="0"/>
            <w:vAlign w:val="top"/>
          </w:tcPr>
          <w:p>
            <w:pPr>
              <w:widowControl/>
              <w:jc w:val="center"/>
              <w:outlineLvl w:val="1"/>
              <w:rPr>
                <w:rFonts w:ascii="仿宋_GB2312" w:hAnsi="宋体" w:eastAsia="仿宋_GB2312"/>
                <w:color w:val="auto"/>
                <w:kern w:val="0"/>
                <w:sz w:val="20"/>
                <w:szCs w:val="20"/>
                <w:highlight w:val="none"/>
              </w:rPr>
            </w:pPr>
          </w:p>
        </w:tc>
        <w:tc>
          <w:tcPr>
            <w:tcW w:w="719"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0.50</w:t>
            </w:r>
          </w:p>
        </w:tc>
        <w:tc>
          <w:tcPr>
            <w:tcW w:w="539" w:type="dxa"/>
            <w:noWrap w:val="0"/>
            <w:vAlign w:val="top"/>
          </w:tcPr>
          <w:p>
            <w:pPr>
              <w:widowControl/>
              <w:jc w:val="center"/>
              <w:outlineLvl w:val="1"/>
              <w:rPr>
                <w:rFonts w:ascii="仿宋_GB2312" w:hAnsi="宋体" w:eastAsia="仿宋_GB2312"/>
                <w:color w:val="auto"/>
                <w:kern w:val="0"/>
                <w:sz w:val="20"/>
                <w:szCs w:val="20"/>
                <w:highlight w:val="none"/>
              </w:rPr>
            </w:pPr>
          </w:p>
        </w:tc>
        <w:tc>
          <w:tcPr>
            <w:tcW w:w="716" w:type="dxa"/>
            <w:noWrap w:val="0"/>
            <w:vAlign w:val="top"/>
          </w:tcPr>
          <w:p>
            <w:pPr>
              <w:widowControl/>
              <w:jc w:val="center"/>
              <w:outlineLvl w:val="1"/>
              <w:rPr>
                <w:rFonts w:ascii="仿宋_GB2312" w:hAnsi="宋体" w:eastAsia="仿宋_GB2312"/>
                <w:color w:val="auto"/>
                <w:kern w:val="0"/>
                <w:sz w:val="20"/>
                <w:szCs w:val="20"/>
                <w:highlight w:val="none"/>
              </w:rPr>
            </w:pPr>
          </w:p>
        </w:tc>
        <w:tc>
          <w:tcPr>
            <w:tcW w:w="616"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lang w:val="en-US" w:eastAsia="zh-CN"/>
              </w:rPr>
              <w:t>0.50</w:t>
            </w:r>
          </w:p>
        </w:tc>
        <w:tc>
          <w:tcPr>
            <w:tcW w:w="606"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9"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58" w:type="dxa"/>
            <w:gridSpan w:val="2"/>
            <w:noWrap w:val="0"/>
            <w:vAlign w:val="top"/>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208</w:t>
            </w:r>
          </w:p>
        </w:tc>
        <w:tc>
          <w:tcPr>
            <w:tcW w:w="417" w:type="dxa"/>
            <w:noWrap w:val="0"/>
            <w:vAlign w:val="top"/>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05</w:t>
            </w:r>
          </w:p>
        </w:tc>
        <w:tc>
          <w:tcPr>
            <w:tcW w:w="417" w:type="dxa"/>
            <w:noWrap w:val="0"/>
            <w:vAlign w:val="top"/>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01</w:t>
            </w:r>
          </w:p>
        </w:tc>
        <w:tc>
          <w:tcPr>
            <w:tcW w:w="1010" w:type="dxa"/>
            <w:noWrap w:val="0"/>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行政单位离退休</w:t>
            </w:r>
          </w:p>
        </w:tc>
        <w:tc>
          <w:tcPr>
            <w:tcW w:w="1031" w:type="dxa"/>
            <w:noWrap w:val="0"/>
            <w:vAlign w:val="top"/>
          </w:tcPr>
          <w:p>
            <w:pPr>
              <w:widowControl/>
              <w:jc w:val="center"/>
              <w:outlineLvl w:val="1"/>
              <w:rPr>
                <w:rFonts w:ascii="仿宋_GB2312" w:hAnsi="宋体" w:eastAsia="仿宋_GB2312"/>
                <w:color w:val="auto"/>
                <w:kern w:val="0"/>
                <w:sz w:val="20"/>
                <w:szCs w:val="20"/>
                <w:highlight w:val="none"/>
              </w:rPr>
            </w:pPr>
            <w:r>
              <w:rPr>
                <w:rFonts w:hint="eastAsia" w:ascii="仿宋_GB2312" w:hAnsi="宋体" w:eastAsia="仿宋_GB2312"/>
                <w:color w:val="auto"/>
                <w:kern w:val="0"/>
                <w:sz w:val="20"/>
                <w:szCs w:val="20"/>
                <w:highlight w:val="none"/>
              </w:rPr>
              <w:t>离休干部特需经费</w:t>
            </w:r>
          </w:p>
        </w:tc>
        <w:tc>
          <w:tcPr>
            <w:tcW w:w="719"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0.50</w:t>
            </w:r>
          </w:p>
        </w:tc>
        <w:tc>
          <w:tcPr>
            <w:tcW w:w="539" w:type="dxa"/>
            <w:noWrap w:val="0"/>
            <w:vAlign w:val="top"/>
          </w:tcPr>
          <w:p>
            <w:pPr>
              <w:widowControl/>
              <w:jc w:val="center"/>
              <w:outlineLvl w:val="1"/>
              <w:rPr>
                <w:rFonts w:ascii="仿宋_GB2312" w:hAnsi="宋体" w:eastAsia="仿宋_GB2312"/>
                <w:color w:val="auto"/>
                <w:kern w:val="0"/>
                <w:sz w:val="20"/>
                <w:szCs w:val="20"/>
                <w:highlight w:val="none"/>
              </w:rPr>
            </w:pPr>
          </w:p>
        </w:tc>
        <w:tc>
          <w:tcPr>
            <w:tcW w:w="716" w:type="dxa"/>
            <w:noWrap w:val="0"/>
            <w:vAlign w:val="top"/>
          </w:tcPr>
          <w:p>
            <w:pPr>
              <w:widowControl/>
              <w:jc w:val="center"/>
              <w:outlineLvl w:val="1"/>
              <w:rPr>
                <w:rFonts w:hint="default" w:ascii="仿宋_GB2312" w:hAnsi="宋体" w:eastAsia="仿宋_GB2312"/>
                <w:color w:val="auto"/>
                <w:kern w:val="0"/>
                <w:sz w:val="20"/>
                <w:szCs w:val="20"/>
                <w:highlight w:val="none"/>
                <w:lang w:val="en-US" w:eastAsia="zh-CN"/>
              </w:rPr>
            </w:pPr>
          </w:p>
        </w:tc>
        <w:tc>
          <w:tcPr>
            <w:tcW w:w="616"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0.50</w:t>
            </w:r>
          </w:p>
        </w:tc>
        <w:tc>
          <w:tcPr>
            <w:tcW w:w="606"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9"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58" w:type="dxa"/>
            <w:gridSpan w:val="2"/>
            <w:noWrap w:val="0"/>
            <w:vAlign w:val="top"/>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7" w:type="dxa"/>
            <w:noWrap w:val="0"/>
            <w:vAlign w:val="top"/>
          </w:tcPr>
          <w:p>
            <w:pPr>
              <w:widowControl/>
              <w:jc w:val="center"/>
              <w:outlineLvl w:val="1"/>
              <w:rPr>
                <w:rFonts w:ascii="仿宋_GB2312" w:hAnsi="宋体" w:eastAsia="仿宋_GB2312"/>
                <w:color w:val="auto"/>
                <w:kern w:val="0"/>
                <w:sz w:val="20"/>
                <w:szCs w:val="20"/>
                <w:highlight w:val="none"/>
              </w:rPr>
            </w:pPr>
          </w:p>
        </w:tc>
        <w:tc>
          <w:tcPr>
            <w:tcW w:w="417" w:type="dxa"/>
            <w:noWrap w:val="0"/>
            <w:vAlign w:val="top"/>
          </w:tcPr>
          <w:p>
            <w:pPr>
              <w:widowControl/>
              <w:jc w:val="center"/>
              <w:outlineLvl w:val="1"/>
              <w:rPr>
                <w:rFonts w:ascii="仿宋_GB2312" w:hAnsi="宋体" w:eastAsia="仿宋_GB2312"/>
                <w:color w:val="auto"/>
                <w:kern w:val="0"/>
                <w:sz w:val="20"/>
                <w:szCs w:val="20"/>
                <w:highlight w:val="none"/>
              </w:rPr>
            </w:pPr>
          </w:p>
        </w:tc>
        <w:tc>
          <w:tcPr>
            <w:tcW w:w="1010" w:type="dxa"/>
            <w:noWrap w:val="0"/>
            <w:vAlign w:val="top"/>
          </w:tcPr>
          <w:p>
            <w:pPr>
              <w:widowControl/>
              <w:jc w:val="center"/>
              <w:outlineLvl w:val="1"/>
              <w:rPr>
                <w:rFonts w:ascii="仿宋_GB2312" w:hAnsi="宋体" w:eastAsia="仿宋_GB2312"/>
                <w:color w:val="auto"/>
                <w:kern w:val="0"/>
                <w:sz w:val="20"/>
                <w:szCs w:val="20"/>
                <w:highlight w:val="none"/>
              </w:rPr>
            </w:pPr>
          </w:p>
        </w:tc>
        <w:tc>
          <w:tcPr>
            <w:tcW w:w="1031" w:type="dxa"/>
            <w:noWrap w:val="0"/>
            <w:vAlign w:val="top"/>
          </w:tcPr>
          <w:p>
            <w:pPr>
              <w:widowControl/>
              <w:jc w:val="center"/>
              <w:outlineLvl w:val="1"/>
              <w:rPr>
                <w:rFonts w:ascii="仿宋_GB2312" w:hAnsi="宋体" w:eastAsia="仿宋_GB2312"/>
                <w:color w:val="auto"/>
                <w:kern w:val="0"/>
                <w:sz w:val="20"/>
                <w:szCs w:val="20"/>
                <w:highlight w:val="none"/>
              </w:rPr>
            </w:pPr>
          </w:p>
        </w:tc>
        <w:tc>
          <w:tcPr>
            <w:tcW w:w="719" w:type="dxa"/>
            <w:noWrap w:val="0"/>
            <w:vAlign w:val="top"/>
          </w:tcPr>
          <w:p>
            <w:pPr>
              <w:widowControl/>
              <w:jc w:val="center"/>
              <w:outlineLvl w:val="1"/>
              <w:rPr>
                <w:rFonts w:ascii="仿宋_GB2312" w:hAnsi="宋体" w:eastAsia="仿宋_GB2312"/>
                <w:color w:val="auto"/>
                <w:kern w:val="0"/>
                <w:sz w:val="20"/>
                <w:szCs w:val="20"/>
                <w:highlight w:val="none"/>
              </w:rPr>
            </w:pPr>
          </w:p>
        </w:tc>
        <w:tc>
          <w:tcPr>
            <w:tcW w:w="539" w:type="dxa"/>
            <w:noWrap w:val="0"/>
            <w:vAlign w:val="top"/>
          </w:tcPr>
          <w:p>
            <w:pPr>
              <w:widowControl/>
              <w:jc w:val="center"/>
              <w:outlineLvl w:val="1"/>
              <w:rPr>
                <w:rFonts w:ascii="仿宋_GB2312" w:hAnsi="宋体" w:eastAsia="仿宋_GB2312"/>
                <w:color w:val="auto"/>
                <w:kern w:val="0"/>
                <w:sz w:val="20"/>
                <w:szCs w:val="20"/>
                <w:highlight w:val="none"/>
              </w:rPr>
            </w:pPr>
          </w:p>
        </w:tc>
        <w:tc>
          <w:tcPr>
            <w:tcW w:w="716" w:type="dxa"/>
            <w:noWrap w:val="0"/>
            <w:vAlign w:val="top"/>
          </w:tcPr>
          <w:p>
            <w:pPr>
              <w:widowControl/>
              <w:jc w:val="center"/>
              <w:outlineLvl w:val="1"/>
              <w:rPr>
                <w:rFonts w:ascii="仿宋_GB2312" w:hAnsi="宋体" w:eastAsia="仿宋_GB2312"/>
                <w:color w:val="auto"/>
                <w:kern w:val="0"/>
                <w:sz w:val="20"/>
                <w:szCs w:val="20"/>
                <w:highlight w:val="none"/>
              </w:rPr>
            </w:pPr>
          </w:p>
        </w:tc>
        <w:tc>
          <w:tcPr>
            <w:tcW w:w="616" w:type="dxa"/>
            <w:noWrap w:val="0"/>
            <w:vAlign w:val="top"/>
          </w:tcPr>
          <w:p>
            <w:pPr>
              <w:widowControl/>
              <w:jc w:val="center"/>
              <w:outlineLvl w:val="1"/>
              <w:rPr>
                <w:rFonts w:ascii="仿宋_GB2312" w:hAnsi="宋体" w:eastAsia="仿宋_GB2312"/>
                <w:color w:val="auto"/>
                <w:kern w:val="0"/>
                <w:sz w:val="20"/>
                <w:szCs w:val="20"/>
                <w:highlight w:val="none"/>
              </w:rPr>
            </w:pPr>
          </w:p>
        </w:tc>
        <w:tc>
          <w:tcPr>
            <w:tcW w:w="606"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9"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58" w:type="dxa"/>
            <w:gridSpan w:val="2"/>
            <w:noWrap w:val="0"/>
            <w:vAlign w:val="top"/>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7" w:type="dxa"/>
            <w:noWrap w:val="0"/>
            <w:vAlign w:val="top"/>
          </w:tcPr>
          <w:p>
            <w:pPr>
              <w:widowControl/>
              <w:jc w:val="center"/>
              <w:outlineLvl w:val="1"/>
              <w:rPr>
                <w:rFonts w:ascii="仿宋_GB2312" w:hAnsi="宋体" w:eastAsia="仿宋_GB2312"/>
                <w:color w:val="auto"/>
                <w:kern w:val="0"/>
                <w:sz w:val="20"/>
                <w:szCs w:val="20"/>
                <w:highlight w:val="none"/>
              </w:rPr>
            </w:pPr>
          </w:p>
        </w:tc>
        <w:tc>
          <w:tcPr>
            <w:tcW w:w="417" w:type="dxa"/>
            <w:noWrap w:val="0"/>
            <w:vAlign w:val="top"/>
          </w:tcPr>
          <w:p>
            <w:pPr>
              <w:widowControl/>
              <w:jc w:val="center"/>
              <w:outlineLvl w:val="1"/>
              <w:rPr>
                <w:rFonts w:ascii="仿宋_GB2312" w:hAnsi="宋体" w:eastAsia="仿宋_GB2312"/>
                <w:color w:val="auto"/>
                <w:kern w:val="0"/>
                <w:sz w:val="20"/>
                <w:szCs w:val="20"/>
                <w:highlight w:val="none"/>
              </w:rPr>
            </w:pPr>
          </w:p>
        </w:tc>
        <w:tc>
          <w:tcPr>
            <w:tcW w:w="1010" w:type="dxa"/>
            <w:noWrap w:val="0"/>
            <w:vAlign w:val="top"/>
          </w:tcPr>
          <w:p>
            <w:pPr>
              <w:widowControl/>
              <w:jc w:val="center"/>
              <w:outlineLvl w:val="1"/>
              <w:rPr>
                <w:rFonts w:ascii="仿宋_GB2312" w:hAnsi="宋体" w:eastAsia="仿宋_GB2312"/>
                <w:color w:val="auto"/>
                <w:kern w:val="0"/>
                <w:sz w:val="20"/>
                <w:szCs w:val="20"/>
                <w:highlight w:val="none"/>
              </w:rPr>
            </w:pPr>
          </w:p>
        </w:tc>
        <w:tc>
          <w:tcPr>
            <w:tcW w:w="1031" w:type="dxa"/>
            <w:noWrap w:val="0"/>
            <w:vAlign w:val="top"/>
          </w:tcPr>
          <w:p>
            <w:pPr>
              <w:widowControl/>
              <w:jc w:val="center"/>
              <w:outlineLvl w:val="1"/>
              <w:rPr>
                <w:rFonts w:ascii="仿宋_GB2312" w:hAnsi="宋体" w:eastAsia="仿宋_GB2312"/>
                <w:color w:val="auto"/>
                <w:kern w:val="0"/>
                <w:sz w:val="20"/>
                <w:szCs w:val="20"/>
                <w:highlight w:val="none"/>
              </w:rPr>
            </w:pPr>
          </w:p>
        </w:tc>
        <w:tc>
          <w:tcPr>
            <w:tcW w:w="719" w:type="dxa"/>
            <w:noWrap w:val="0"/>
            <w:vAlign w:val="top"/>
          </w:tcPr>
          <w:p>
            <w:pPr>
              <w:widowControl/>
              <w:jc w:val="center"/>
              <w:outlineLvl w:val="1"/>
              <w:rPr>
                <w:rFonts w:ascii="仿宋_GB2312" w:hAnsi="宋体" w:eastAsia="仿宋_GB2312"/>
                <w:color w:val="auto"/>
                <w:kern w:val="0"/>
                <w:sz w:val="20"/>
                <w:szCs w:val="20"/>
                <w:highlight w:val="none"/>
              </w:rPr>
            </w:pPr>
          </w:p>
        </w:tc>
        <w:tc>
          <w:tcPr>
            <w:tcW w:w="539" w:type="dxa"/>
            <w:noWrap w:val="0"/>
            <w:vAlign w:val="top"/>
          </w:tcPr>
          <w:p>
            <w:pPr>
              <w:widowControl/>
              <w:jc w:val="center"/>
              <w:outlineLvl w:val="1"/>
              <w:rPr>
                <w:rFonts w:ascii="仿宋_GB2312" w:hAnsi="宋体" w:eastAsia="仿宋_GB2312"/>
                <w:color w:val="auto"/>
                <w:kern w:val="0"/>
                <w:sz w:val="20"/>
                <w:szCs w:val="20"/>
                <w:highlight w:val="none"/>
              </w:rPr>
            </w:pPr>
          </w:p>
        </w:tc>
        <w:tc>
          <w:tcPr>
            <w:tcW w:w="716" w:type="dxa"/>
            <w:noWrap w:val="0"/>
            <w:vAlign w:val="top"/>
          </w:tcPr>
          <w:p>
            <w:pPr>
              <w:widowControl/>
              <w:jc w:val="center"/>
              <w:outlineLvl w:val="1"/>
              <w:rPr>
                <w:rFonts w:ascii="仿宋_GB2312" w:hAnsi="宋体" w:eastAsia="仿宋_GB2312"/>
                <w:color w:val="auto"/>
                <w:kern w:val="0"/>
                <w:sz w:val="20"/>
                <w:szCs w:val="20"/>
                <w:highlight w:val="none"/>
              </w:rPr>
            </w:pPr>
          </w:p>
        </w:tc>
        <w:tc>
          <w:tcPr>
            <w:tcW w:w="616" w:type="dxa"/>
            <w:noWrap w:val="0"/>
            <w:vAlign w:val="top"/>
          </w:tcPr>
          <w:p>
            <w:pPr>
              <w:widowControl/>
              <w:jc w:val="center"/>
              <w:outlineLvl w:val="1"/>
              <w:rPr>
                <w:rFonts w:ascii="仿宋_GB2312" w:hAnsi="宋体" w:eastAsia="仿宋_GB2312"/>
                <w:color w:val="auto"/>
                <w:kern w:val="0"/>
                <w:sz w:val="20"/>
                <w:szCs w:val="20"/>
                <w:highlight w:val="none"/>
              </w:rPr>
            </w:pPr>
          </w:p>
        </w:tc>
        <w:tc>
          <w:tcPr>
            <w:tcW w:w="606"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9"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58" w:type="dxa"/>
            <w:gridSpan w:val="2"/>
            <w:noWrap w:val="0"/>
            <w:vAlign w:val="top"/>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7" w:type="dxa"/>
            <w:noWrap w:val="0"/>
            <w:vAlign w:val="top"/>
          </w:tcPr>
          <w:p>
            <w:pPr>
              <w:widowControl/>
              <w:jc w:val="center"/>
              <w:outlineLvl w:val="1"/>
              <w:rPr>
                <w:rFonts w:ascii="仿宋_GB2312" w:hAnsi="宋体" w:eastAsia="仿宋_GB2312"/>
                <w:color w:val="auto"/>
                <w:kern w:val="0"/>
                <w:sz w:val="20"/>
                <w:szCs w:val="20"/>
                <w:highlight w:val="none"/>
              </w:rPr>
            </w:pPr>
          </w:p>
        </w:tc>
        <w:tc>
          <w:tcPr>
            <w:tcW w:w="417" w:type="dxa"/>
            <w:noWrap w:val="0"/>
            <w:vAlign w:val="top"/>
          </w:tcPr>
          <w:p>
            <w:pPr>
              <w:widowControl/>
              <w:jc w:val="center"/>
              <w:outlineLvl w:val="1"/>
              <w:rPr>
                <w:rFonts w:ascii="仿宋_GB2312" w:hAnsi="宋体" w:eastAsia="仿宋_GB2312"/>
                <w:color w:val="auto"/>
                <w:kern w:val="0"/>
                <w:sz w:val="20"/>
                <w:szCs w:val="20"/>
                <w:highlight w:val="none"/>
              </w:rPr>
            </w:pPr>
          </w:p>
        </w:tc>
        <w:tc>
          <w:tcPr>
            <w:tcW w:w="1010" w:type="dxa"/>
            <w:noWrap w:val="0"/>
            <w:vAlign w:val="top"/>
          </w:tcPr>
          <w:p>
            <w:pPr>
              <w:widowControl/>
              <w:jc w:val="center"/>
              <w:outlineLvl w:val="1"/>
              <w:rPr>
                <w:rFonts w:ascii="仿宋_GB2312" w:hAnsi="宋体" w:eastAsia="仿宋_GB2312"/>
                <w:color w:val="auto"/>
                <w:kern w:val="0"/>
                <w:sz w:val="20"/>
                <w:szCs w:val="20"/>
                <w:highlight w:val="none"/>
              </w:rPr>
            </w:pPr>
          </w:p>
        </w:tc>
        <w:tc>
          <w:tcPr>
            <w:tcW w:w="1031" w:type="dxa"/>
            <w:noWrap w:val="0"/>
            <w:vAlign w:val="top"/>
          </w:tcPr>
          <w:p>
            <w:pPr>
              <w:widowControl/>
              <w:jc w:val="center"/>
              <w:outlineLvl w:val="1"/>
              <w:rPr>
                <w:rFonts w:ascii="仿宋_GB2312" w:hAnsi="宋体" w:eastAsia="仿宋_GB2312"/>
                <w:color w:val="auto"/>
                <w:kern w:val="0"/>
                <w:sz w:val="20"/>
                <w:szCs w:val="20"/>
                <w:highlight w:val="none"/>
              </w:rPr>
            </w:pPr>
          </w:p>
        </w:tc>
        <w:tc>
          <w:tcPr>
            <w:tcW w:w="719" w:type="dxa"/>
            <w:noWrap w:val="0"/>
            <w:vAlign w:val="top"/>
          </w:tcPr>
          <w:p>
            <w:pPr>
              <w:widowControl/>
              <w:jc w:val="center"/>
              <w:outlineLvl w:val="1"/>
              <w:rPr>
                <w:rFonts w:ascii="仿宋_GB2312" w:hAnsi="宋体" w:eastAsia="仿宋_GB2312"/>
                <w:color w:val="auto"/>
                <w:kern w:val="0"/>
                <w:sz w:val="20"/>
                <w:szCs w:val="20"/>
                <w:highlight w:val="none"/>
              </w:rPr>
            </w:pPr>
          </w:p>
        </w:tc>
        <w:tc>
          <w:tcPr>
            <w:tcW w:w="539" w:type="dxa"/>
            <w:noWrap w:val="0"/>
            <w:vAlign w:val="top"/>
          </w:tcPr>
          <w:p>
            <w:pPr>
              <w:widowControl/>
              <w:jc w:val="center"/>
              <w:outlineLvl w:val="1"/>
              <w:rPr>
                <w:rFonts w:ascii="仿宋_GB2312" w:hAnsi="宋体" w:eastAsia="仿宋_GB2312"/>
                <w:color w:val="auto"/>
                <w:kern w:val="0"/>
                <w:sz w:val="20"/>
                <w:szCs w:val="20"/>
                <w:highlight w:val="none"/>
              </w:rPr>
            </w:pPr>
          </w:p>
        </w:tc>
        <w:tc>
          <w:tcPr>
            <w:tcW w:w="716" w:type="dxa"/>
            <w:noWrap w:val="0"/>
            <w:vAlign w:val="top"/>
          </w:tcPr>
          <w:p>
            <w:pPr>
              <w:widowControl/>
              <w:jc w:val="center"/>
              <w:outlineLvl w:val="1"/>
              <w:rPr>
                <w:rFonts w:ascii="仿宋_GB2312" w:hAnsi="宋体" w:eastAsia="仿宋_GB2312"/>
                <w:color w:val="auto"/>
                <w:kern w:val="0"/>
                <w:sz w:val="20"/>
                <w:szCs w:val="20"/>
                <w:highlight w:val="none"/>
              </w:rPr>
            </w:pPr>
          </w:p>
        </w:tc>
        <w:tc>
          <w:tcPr>
            <w:tcW w:w="616" w:type="dxa"/>
            <w:noWrap w:val="0"/>
            <w:vAlign w:val="top"/>
          </w:tcPr>
          <w:p>
            <w:pPr>
              <w:widowControl/>
              <w:jc w:val="center"/>
              <w:outlineLvl w:val="1"/>
              <w:rPr>
                <w:rFonts w:ascii="仿宋_GB2312" w:hAnsi="宋体" w:eastAsia="仿宋_GB2312"/>
                <w:color w:val="auto"/>
                <w:kern w:val="0"/>
                <w:sz w:val="20"/>
                <w:szCs w:val="20"/>
                <w:highlight w:val="none"/>
              </w:rPr>
            </w:pPr>
          </w:p>
        </w:tc>
        <w:tc>
          <w:tcPr>
            <w:tcW w:w="606"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9"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58" w:type="dxa"/>
            <w:gridSpan w:val="2"/>
            <w:noWrap w:val="0"/>
            <w:vAlign w:val="top"/>
          </w:tcPr>
          <w:p>
            <w:pPr>
              <w:widowControl/>
              <w:jc w:val="center"/>
              <w:outlineLvl w:val="1"/>
              <w:rPr>
                <w:rFonts w:ascii="仿宋_GB2312" w:hAnsi="宋体" w:eastAsia="仿宋_GB2312"/>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center"/>
              <w:outlineLvl w:val="1"/>
              <w:rPr>
                <w:rFonts w:ascii="仿宋_GB2312" w:hAnsi="宋体" w:eastAsia="仿宋_GB2312"/>
                <w:color w:val="auto"/>
                <w:kern w:val="0"/>
                <w:sz w:val="32"/>
                <w:szCs w:val="32"/>
                <w:highlight w:val="none"/>
              </w:rPr>
            </w:pPr>
          </w:p>
        </w:tc>
        <w:tc>
          <w:tcPr>
            <w:tcW w:w="417" w:type="dxa"/>
            <w:noWrap w:val="0"/>
            <w:vAlign w:val="top"/>
          </w:tcPr>
          <w:p>
            <w:pPr>
              <w:widowControl/>
              <w:jc w:val="center"/>
              <w:outlineLvl w:val="1"/>
              <w:rPr>
                <w:rFonts w:ascii="仿宋_GB2312" w:hAnsi="宋体" w:eastAsia="仿宋_GB2312"/>
                <w:color w:val="auto"/>
                <w:kern w:val="0"/>
                <w:sz w:val="32"/>
                <w:szCs w:val="32"/>
                <w:highlight w:val="none"/>
              </w:rPr>
            </w:pPr>
          </w:p>
        </w:tc>
        <w:tc>
          <w:tcPr>
            <w:tcW w:w="417" w:type="dxa"/>
            <w:noWrap w:val="0"/>
            <w:vAlign w:val="top"/>
          </w:tcPr>
          <w:p>
            <w:pPr>
              <w:widowControl/>
              <w:jc w:val="center"/>
              <w:outlineLvl w:val="1"/>
              <w:rPr>
                <w:rFonts w:ascii="仿宋_GB2312" w:hAnsi="宋体" w:eastAsia="仿宋_GB2312"/>
                <w:color w:val="auto"/>
                <w:kern w:val="0"/>
                <w:sz w:val="32"/>
                <w:szCs w:val="32"/>
                <w:highlight w:val="none"/>
              </w:rPr>
            </w:pPr>
          </w:p>
        </w:tc>
        <w:tc>
          <w:tcPr>
            <w:tcW w:w="1010" w:type="dxa"/>
            <w:noWrap w:val="0"/>
            <w:vAlign w:val="top"/>
          </w:tcPr>
          <w:p>
            <w:pPr>
              <w:widowControl/>
              <w:jc w:val="center"/>
              <w:outlineLvl w:val="1"/>
              <w:rPr>
                <w:rFonts w:ascii="仿宋_GB2312" w:hAnsi="宋体" w:eastAsia="仿宋_GB2312"/>
                <w:color w:val="auto"/>
                <w:kern w:val="0"/>
                <w:sz w:val="32"/>
                <w:szCs w:val="32"/>
                <w:highlight w:val="none"/>
              </w:rPr>
            </w:pPr>
          </w:p>
        </w:tc>
        <w:tc>
          <w:tcPr>
            <w:tcW w:w="1031" w:type="dxa"/>
            <w:noWrap w:val="0"/>
            <w:vAlign w:val="top"/>
          </w:tcPr>
          <w:p>
            <w:pPr>
              <w:widowControl/>
              <w:jc w:val="center"/>
              <w:outlineLvl w:val="1"/>
              <w:rPr>
                <w:rFonts w:ascii="仿宋_GB2312" w:hAnsi="宋体" w:eastAsia="仿宋_GB2312"/>
                <w:color w:val="auto"/>
                <w:kern w:val="0"/>
                <w:sz w:val="32"/>
                <w:szCs w:val="32"/>
                <w:highlight w:val="none"/>
              </w:rPr>
            </w:pPr>
          </w:p>
        </w:tc>
        <w:tc>
          <w:tcPr>
            <w:tcW w:w="719" w:type="dxa"/>
            <w:noWrap w:val="0"/>
            <w:vAlign w:val="top"/>
          </w:tcPr>
          <w:p>
            <w:pPr>
              <w:widowControl/>
              <w:jc w:val="center"/>
              <w:outlineLvl w:val="1"/>
              <w:rPr>
                <w:rFonts w:ascii="仿宋_GB2312" w:hAnsi="宋体" w:eastAsia="仿宋_GB2312"/>
                <w:color w:val="auto"/>
                <w:kern w:val="0"/>
                <w:sz w:val="32"/>
                <w:szCs w:val="32"/>
                <w:highlight w:val="none"/>
              </w:rPr>
            </w:pPr>
          </w:p>
        </w:tc>
        <w:tc>
          <w:tcPr>
            <w:tcW w:w="539" w:type="dxa"/>
            <w:noWrap w:val="0"/>
            <w:vAlign w:val="top"/>
          </w:tcPr>
          <w:p>
            <w:pPr>
              <w:widowControl/>
              <w:jc w:val="center"/>
              <w:outlineLvl w:val="1"/>
              <w:rPr>
                <w:rFonts w:ascii="仿宋_GB2312" w:hAnsi="宋体" w:eastAsia="仿宋_GB2312"/>
                <w:color w:val="auto"/>
                <w:kern w:val="0"/>
                <w:sz w:val="32"/>
                <w:szCs w:val="32"/>
                <w:highlight w:val="none"/>
              </w:rPr>
            </w:pPr>
          </w:p>
        </w:tc>
        <w:tc>
          <w:tcPr>
            <w:tcW w:w="716" w:type="dxa"/>
            <w:noWrap w:val="0"/>
            <w:vAlign w:val="top"/>
          </w:tcPr>
          <w:p>
            <w:pPr>
              <w:widowControl/>
              <w:jc w:val="center"/>
              <w:outlineLvl w:val="1"/>
              <w:rPr>
                <w:rFonts w:ascii="仿宋_GB2312" w:hAnsi="宋体" w:eastAsia="仿宋_GB2312"/>
                <w:color w:val="auto"/>
                <w:kern w:val="0"/>
                <w:sz w:val="32"/>
                <w:szCs w:val="32"/>
                <w:highlight w:val="none"/>
              </w:rPr>
            </w:pPr>
          </w:p>
        </w:tc>
        <w:tc>
          <w:tcPr>
            <w:tcW w:w="616" w:type="dxa"/>
            <w:noWrap w:val="0"/>
            <w:vAlign w:val="top"/>
          </w:tcPr>
          <w:p>
            <w:pPr>
              <w:widowControl/>
              <w:jc w:val="center"/>
              <w:outlineLvl w:val="1"/>
              <w:rPr>
                <w:rFonts w:ascii="仿宋_GB2312" w:hAnsi="宋体" w:eastAsia="仿宋_GB2312"/>
                <w:color w:val="auto"/>
                <w:kern w:val="0"/>
                <w:sz w:val="32"/>
                <w:szCs w:val="32"/>
                <w:highlight w:val="none"/>
              </w:rPr>
            </w:pPr>
          </w:p>
        </w:tc>
        <w:tc>
          <w:tcPr>
            <w:tcW w:w="606" w:type="dxa"/>
            <w:noWrap w:val="0"/>
            <w:vAlign w:val="top"/>
          </w:tcPr>
          <w:p>
            <w:pPr>
              <w:widowControl/>
              <w:jc w:val="center"/>
              <w:outlineLvl w:val="1"/>
              <w:rPr>
                <w:rFonts w:ascii="仿宋_GB2312" w:hAnsi="宋体" w:eastAsia="仿宋_GB2312"/>
                <w:color w:val="auto"/>
                <w:kern w:val="0"/>
                <w:sz w:val="32"/>
                <w:szCs w:val="32"/>
                <w:highlight w:val="none"/>
              </w:rPr>
            </w:pPr>
          </w:p>
        </w:tc>
        <w:tc>
          <w:tcPr>
            <w:tcW w:w="618" w:type="dxa"/>
            <w:gridSpan w:val="2"/>
            <w:noWrap w:val="0"/>
            <w:vAlign w:val="top"/>
          </w:tcPr>
          <w:p>
            <w:pPr>
              <w:widowControl/>
              <w:jc w:val="center"/>
              <w:outlineLvl w:val="1"/>
              <w:rPr>
                <w:rFonts w:ascii="仿宋_GB2312" w:hAnsi="宋体" w:eastAsia="仿宋_GB2312"/>
                <w:color w:val="auto"/>
                <w:kern w:val="0"/>
                <w:sz w:val="32"/>
                <w:szCs w:val="32"/>
                <w:highlight w:val="none"/>
              </w:rPr>
            </w:pPr>
          </w:p>
        </w:tc>
        <w:tc>
          <w:tcPr>
            <w:tcW w:w="419" w:type="dxa"/>
            <w:noWrap w:val="0"/>
            <w:vAlign w:val="top"/>
          </w:tcPr>
          <w:p>
            <w:pPr>
              <w:widowControl/>
              <w:jc w:val="center"/>
              <w:outlineLvl w:val="1"/>
              <w:rPr>
                <w:rFonts w:ascii="仿宋_GB2312" w:hAnsi="宋体" w:eastAsia="仿宋_GB2312"/>
                <w:color w:val="auto"/>
                <w:kern w:val="0"/>
                <w:sz w:val="32"/>
                <w:szCs w:val="32"/>
                <w:highlight w:val="none"/>
              </w:rPr>
            </w:pPr>
          </w:p>
        </w:tc>
        <w:tc>
          <w:tcPr>
            <w:tcW w:w="618" w:type="dxa"/>
            <w:noWrap w:val="0"/>
            <w:vAlign w:val="top"/>
          </w:tcPr>
          <w:p>
            <w:pPr>
              <w:widowControl/>
              <w:jc w:val="center"/>
              <w:outlineLvl w:val="1"/>
              <w:rPr>
                <w:rFonts w:ascii="仿宋_GB2312" w:hAnsi="宋体" w:eastAsia="仿宋_GB2312"/>
                <w:color w:val="auto"/>
                <w:kern w:val="0"/>
                <w:sz w:val="32"/>
                <w:szCs w:val="32"/>
                <w:highlight w:val="none"/>
              </w:rPr>
            </w:pPr>
          </w:p>
        </w:tc>
        <w:tc>
          <w:tcPr>
            <w:tcW w:w="420" w:type="dxa"/>
            <w:noWrap w:val="0"/>
            <w:vAlign w:val="top"/>
          </w:tcPr>
          <w:p>
            <w:pPr>
              <w:widowControl/>
              <w:jc w:val="center"/>
              <w:outlineLvl w:val="1"/>
              <w:rPr>
                <w:rFonts w:ascii="仿宋_GB2312" w:hAnsi="宋体" w:eastAsia="仿宋_GB2312"/>
                <w:color w:val="auto"/>
                <w:kern w:val="0"/>
                <w:sz w:val="32"/>
                <w:szCs w:val="32"/>
                <w:highlight w:val="none"/>
              </w:rPr>
            </w:pPr>
          </w:p>
        </w:tc>
        <w:tc>
          <w:tcPr>
            <w:tcW w:w="420" w:type="dxa"/>
            <w:noWrap w:val="0"/>
            <w:vAlign w:val="top"/>
          </w:tcPr>
          <w:p>
            <w:pPr>
              <w:widowControl/>
              <w:jc w:val="center"/>
              <w:outlineLvl w:val="1"/>
              <w:rPr>
                <w:rFonts w:ascii="仿宋_GB2312" w:hAnsi="宋体" w:eastAsia="仿宋_GB2312"/>
                <w:color w:val="auto"/>
                <w:kern w:val="0"/>
                <w:sz w:val="32"/>
                <w:szCs w:val="32"/>
                <w:highlight w:val="none"/>
              </w:rPr>
            </w:pPr>
          </w:p>
        </w:tc>
        <w:tc>
          <w:tcPr>
            <w:tcW w:w="458" w:type="dxa"/>
            <w:gridSpan w:val="2"/>
            <w:noWrap w:val="0"/>
            <w:vAlign w:val="top"/>
          </w:tcPr>
          <w:p>
            <w:pPr>
              <w:widowControl/>
              <w:jc w:val="center"/>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16" w:type="dxa"/>
            <w:gridSpan w:val="2"/>
            <w:noWrap w:val="0"/>
            <w:vAlign w:val="top"/>
          </w:tcPr>
          <w:p>
            <w:pPr>
              <w:widowControl/>
              <w:jc w:val="center"/>
              <w:outlineLvl w:val="1"/>
              <w:rPr>
                <w:rFonts w:ascii="仿宋_GB2312" w:hAnsi="宋体" w:eastAsia="仿宋_GB2312"/>
                <w:color w:val="auto"/>
                <w:kern w:val="0"/>
                <w:sz w:val="32"/>
                <w:szCs w:val="32"/>
                <w:highlight w:val="none"/>
              </w:rPr>
            </w:pPr>
          </w:p>
        </w:tc>
        <w:tc>
          <w:tcPr>
            <w:tcW w:w="417" w:type="dxa"/>
            <w:noWrap w:val="0"/>
            <w:vAlign w:val="top"/>
          </w:tcPr>
          <w:p>
            <w:pPr>
              <w:widowControl/>
              <w:jc w:val="center"/>
              <w:outlineLvl w:val="1"/>
              <w:rPr>
                <w:rFonts w:ascii="仿宋_GB2312" w:hAnsi="宋体" w:eastAsia="仿宋_GB2312"/>
                <w:color w:val="auto"/>
                <w:kern w:val="0"/>
                <w:sz w:val="32"/>
                <w:szCs w:val="32"/>
                <w:highlight w:val="none"/>
              </w:rPr>
            </w:pPr>
          </w:p>
        </w:tc>
        <w:tc>
          <w:tcPr>
            <w:tcW w:w="417" w:type="dxa"/>
            <w:noWrap w:val="0"/>
            <w:vAlign w:val="top"/>
          </w:tcPr>
          <w:p>
            <w:pPr>
              <w:widowControl/>
              <w:jc w:val="center"/>
              <w:outlineLvl w:val="1"/>
              <w:rPr>
                <w:rFonts w:ascii="仿宋_GB2312" w:hAnsi="宋体" w:eastAsia="仿宋_GB2312"/>
                <w:color w:val="auto"/>
                <w:kern w:val="0"/>
                <w:sz w:val="32"/>
                <w:szCs w:val="32"/>
                <w:highlight w:val="none"/>
              </w:rPr>
            </w:pPr>
          </w:p>
        </w:tc>
        <w:tc>
          <w:tcPr>
            <w:tcW w:w="1010" w:type="dxa"/>
            <w:noWrap w:val="0"/>
            <w:vAlign w:val="top"/>
          </w:tcPr>
          <w:p>
            <w:pPr>
              <w:widowControl/>
              <w:jc w:val="center"/>
              <w:outlineLvl w:val="1"/>
              <w:rPr>
                <w:rFonts w:ascii="仿宋_GB2312" w:hAnsi="宋体" w:eastAsia="仿宋_GB2312"/>
                <w:color w:val="auto"/>
                <w:kern w:val="0"/>
                <w:sz w:val="32"/>
                <w:szCs w:val="32"/>
                <w:highlight w:val="none"/>
              </w:rPr>
            </w:pPr>
          </w:p>
        </w:tc>
        <w:tc>
          <w:tcPr>
            <w:tcW w:w="1031"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719" w:type="dxa"/>
            <w:noWrap w:val="0"/>
            <w:vAlign w:val="center"/>
          </w:tcPr>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13.50</w:t>
            </w:r>
          </w:p>
        </w:tc>
        <w:tc>
          <w:tcPr>
            <w:tcW w:w="539" w:type="dxa"/>
            <w:noWrap w:val="0"/>
            <w:vAlign w:val="top"/>
          </w:tcPr>
          <w:p>
            <w:pPr>
              <w:widowControl/>
              <w:jc w:val="center"/>
              <w:outlineLvl w:val="1"/>
              <w:rPr>
                <w:rFonts w:ascii="仿宋_GB2312" w:hAnsi="宋体" w:eastAsia="仿宋_GB2312"/>
                <w:color w:val="auto"/>
                <w:kern w:val="0"/>
                <w:sz w:val="20"/>
                <w:szCs w:val="20"/>
                <w:highlight w:val="none"/>
              </w:rPr>
            </w:pPr>
          </w:p>
        </w:tc>
        <w:tc>
          <w:tcPr>
            <w:tcW w:w="716"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13.00</w:t>
            </w:r>
          </w:p>
        </w:tc>
        <w:tc>
          <w:tcPr>
            <w:tcW w:w="616" w:type="dxa"/>
            <w:noWrap w:val="0"/>
            <w:vAlign w:val="top"/>
          </w:tcPr>
          <w:p>
            <w:pPr>
              <w:widowControl/>
              <w:jc w:val="center"/>
              <w:outlineLvl w:val="1"/>
              <w:rPr>
                <w:rFonts w:hint="eastAsia" w:ascii="仿宋_GB2312" w:hAnsi="宋体" w:eastAsia="仿宋_GB2312"/>
                <w:color w:val="auto"/>
                <w:kern w:val="0"/>
                <w:sz w:val="20"/>
                <w:szCs w:val="20"/>
                <w:highlight w:val="none"/>
                <w:lang w:val="en-US" w:eastAsia="zh-CN"/>
              </w:rPr>
            </w:pPr>
          </w:p>
          <w:p>
            <w:pPr>
              <w:widowControl/>
              <w:jc w:val="center"/>
              <w:outlineLvl w:val="1"/>
              <w:rPr>
                <w:rFonts w:hint="default" w:ascii="仿宋_GB2312" w:hAnsi="宋体" w:eastAsia="仿宋_GB2312"/>
                <w:color w:val="auto"/>
                <w:kern w:val="0"/>
                <w:sz w:val="20"/>
                <w:szCs w:val="20"/>
                <w:highlight w:val="none"/>
                <w:lang w:val="en-US" w:eastAsia="zh-CN"/>
              </w:rPr>
            </w:pPr>
            <w:r>
              <w:rPr>
                <w:rFonts w:hint="eastAsia" w:ascii="仿宋_GB2312" w:hAnsi="宋体" w:eastAsia="仿宋_GB2312"/>
                <w:color w:val="auto"/>
                <w:kern w:val="0"/>
                <w:sz w:val="20"/>
                <w:szCs w:val="20"/>
                <w:highlight w:val="none"/>
                <w:lang w:val="en-US" w:eastAsia="zh-CN"/>
              </w:rPr>
              <w:t>0.50</w:t>
            </w:r>
          </w:p>
        </w:tc>
        <w:tc>
          <w:tcPr>
            <w:tcW w:w="606"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gridSpan w:val="2"/>
            <w:noWrap w:val="0"/>
            <w:vAlign w:val="top"/>
          </w:tcPr>
          <w:p>
            <w:pPr>
              <w:widowControl/>
              <w:jc w:val="center"/>
              <w:outlineLvl w:val="1"/>
              <w:rPr>
                <w:rFonts w:ascii="仿宋_GB2312" w:hAnsi="宋体" w:eastAsia="仿宋_GB2312"/>
                <w:color w:val="auto"/>
                <w:kern w:val="0"/>
                <w:sz w:val="20"/>
                <w:szCs w:val="20"/>
                <w:highlight w:val="none"/>
              </w:rPr>
            </w:pPr>
          </w:p>
        </w:tc>
        <w:tc>
          <w:tcPr>
            <w:tcW w:w="419" w:type="dxa"/>
            <w:noWrap w:val="0"/>
            <w:vAlign w:val="top"/>
          </w:tcPr>
          <w:p>
            <w:pPr>
              <w:widowControl/>
              <w:jc w:val="center"/>
              <w:outlineLvl w:val="1"/>
              <w:rPr>
                <w:rFonts w:ascii="仿宋_GB2312" w:hAnsi="宋体" w:eastAsia="仿宋_GB2312"/>
                <w:color w:val="auto"/>
                <w:kern w:val="0"/>
                <w:sz w:val="20"/>
                <w:szCs w:val="20"/>
                <w:highlight w:val="none"/>
              </w:rPr>
            </w:pPr>
          </w:p>
        </w:tc>
        <w:tc>
          <w:tcPr>
            <w:tcW w:w="618"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20" w:type="dxa"/>
            <w:noWrap w:val="0"/>
            <w:vAlign w:val="top"/>
          </w:tcPr>
          <w:p>
            <w:pPr>
              <w:widowControl/>
              <w:jc w:val="center"/>
              <w:outlineLvl w:val="1"/>
              <w:rPr>
                <w:rFonts w:ascii="仿宋_GB2312" w:hAnsi="宋体" w:eastAsia="仿宋_GB2312"/>
                <w:color w:val="auto"/>
                <w:kern w:val="0"/>
                <w:sz w:val="20"/>
                <w:szCs w:val="20"/>
                <w:highlight w:val="none"/>
              </w:rPr>
            </w:pPr>
          </w:p>
        </w:tc>
        <w:tc>
          <w:tcPr>
            <w:tcW w:w="458" w:type="dxa"/>
            <w:gridSpan w:val="2"/>
            <w:noWrap w:val="0"/>
            <w:vAlign w:val="top"/>
          </w:tcPr>
          <w:p>
            <w:pPr>
              <w:widowControl/>
              <w:jc w:val="center"/>
              <w:outlineLvl w:val="1"/>
              <w:rPr>
                <w:rFonts w:ascii="仿宋_GB2312" w:hAnsi="宋体" w:eastAsia="仿宋_GB2312"/>
                <w:color w:val="auto"/>
                <w:kern w:val="0"/>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中共呼图壁县委员会老干部局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备注：本单位2024年无政府性基金预算，故此表为空表。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中共呼图壁县委员会老干部局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单位：万元</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2024年无国有资本性支出预算，故本表为空表。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kern w:val="0"/>
          <w:sz w:val="24"/>
          <w:lang w:eastAsia="zh-CN"/>
        </w:rPr>
        <w:t>中共呼图壁县委员会老干部局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3" w:hRule="atLeast"/>
        </w:trPr>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1.20</w:t>
            </w: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1.20</w:t>
            </w:r>
          </w:p>
        </w:tc>
        <w:tc>
          <w:tcPr>
            <w:tcW w:w="1595"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14"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314"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595"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1.20</w:t>
            </w: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1.20</w:t>
            </w:r>
          </w:p>
        </w:tc>
        <w:tc>
          <w:tcPr>
            <w:tcW w:w="1595"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rPr>
            </w:pPr>
          </w:p>
        </w:tc>
        <w:tc>
          <w:tcPr>
            <w:tcW w:w="1595"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1.20</w:t>
            </w:r>
          </w:p>
        </w:tc>
        <w:tc>
          <w:tcPr>
            <w:tcW w:w="1314" w:type="dxa"/>
            <w:noWrap w:val="0"/>
            <w:vAlign w:val="top"/>
          </w:tcPr>
          <w:p>
            <w:pPr>
              <w:widowControl/>
              <w:jc w:val="center"/>
              <w:outlineLvl w:val="1"/>
              <w:rPr>
                <w:rFonts w:hint="default" w:ascii="仿宋_GB2312" w:hAnsi="宋体" w:eastAsia="仿宋_GB2312"/>
                <w:b w:val="0"/>
                <w:bCs/>
                <w:color w:val="auto"/>
                <w:kern w:val="0"/>
                <w:sz w:val="28"/>
                <w:szCs w:val="32"/>
                <w:highlight w:val="none"/>
                <w:vertAlign w:val="baseline"/>
                <w:lang w:val="en-US" w:eastAsia="zh-CN"/>
              </w:rPr>
            </w:pPr>
            <w:r>
              <w:rPr>
                <w:rFonts w:hint="eastAsia" w:ascii="仿宋_GB2312" w:hAnsi="宋体" w:eastAsia="仿宋_GB2312"/>
                <w:b w:val="0"/>
                <w:bCs/>
                <w:color w:val="auto"/>
                <w:kern w:val="0"/>
                <w:sz w:val="28"/>
                <w:szCs w:val="32"/>
                <w:highlight w:val="none"/>
                <w:vertAlign w:val="baseline"/>
                <w:lang w:val="en-US" w:eastAsia="zh-CN"/>
              </w:rPr>
              <w:t>1.20</w:t>
            </w:r>
          </w:p>
        </w:tc>
        <w:tc>
          <w:tcPr>
            <w:tcW w:w="1595"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c>
          <w:tcPr>
            <w:tcW w:w="1621" w:type="dxa"/>
            <w:noWrap w:val="0"/>
            <w:vAlign w:val="top"/>
          </w:tcPr>
          <w:p>
            <w:pPr>
              <w:widowControl/>
              <w:jc w:val="center"/>
              <w:outlineLvl w:val="1"/>
              <w:rPr>
                <w:rFonts w:hint="eastAsia" w:ascii="仿宋_GB2312" w:hAnsi="宋体" w:eastAsia="仿宋_GB2312"/>
                <w:b w:val="0"/>
                <w:bCs/>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pStyle w:val="2"/>
        <w:rPr>
          <w:rFonts w:hint="eastAsia"/>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hint="eastAsia" w:ascii="黑体" w:hAnsi="黑体" w:eastAsia="黑体" w:cs="黑体"/>
          <w:bCs/>
          <w:color w:val="auto"/>
          <w:kern w:val="0"/>
          <w:sz w:val="28"/>
          <w:szCs w:val="28"/>
          <w:highlight w:val="none"/>
        </w:rPr>
      </w:pPr>
      <w:r>
        <w:rPr>
          <w:rFonts w:hint="eastAsia" w:ascii="黑体" w:hAnsi="黑体" w:eastAsia="黑体" w:cs="黑体"/>
          <w:bCs/>
          <w:color w:val="auto"/>
          <w:kern w:val="0"/>
          <w:sz w:val="28"/>
          <w:szCs w:val="28"/>
          <w:highlight w:val="none"/>
        </w:rPr>
        <w:t>上年结转</w:t>
      </w:r>
      <w:r>
        <w:rPr>
          <w:rFonts w:hint="eastAsia" w:ascii="黑体" w:hAnsi="黑体" w:eastAsia="黑体" w:cs="黑体"/>
          <w:bCs/>
          <w:color w:val="auto"/>
          <w:kern w:val="0"/>
          <w:sz w:val="28"/>
          <w:szCs w:val="28"/>
          <w:highlight w:val="none"/>
          <w:lang w:val="en-US" w:eastAsia="zh-CN"/>
        </w:rPr>
        <w:t>结余</w:t>
      </w:r>
      <w:r>
        <w:rPr>
          <w:rFonts w:hint="eastAsia" w:ascii="黑体" w:hAnsi="黑体" w:eastAsia="黑体" w:cs="黑体"/>
          <w:bCs/>
          <w:color w:val="auto"/>
          <w:kern w:val="0"/>
          <w:sz w:val="28"/>
          <w:szCs w:val="28"/>
          <w:highlight w:val="none"/>
        </w:rPr>
        <w:t>情况明细表</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outlineLvl w:val="1"/>
        <w:rPr>
          <w:rFonts w:hint="default" w:ascii="仿宋_GB2312" w:hAnsi="宋体" w:eastAsia="仿宋_GB2312"/>
          <w:color w:val="auto"/>
          <w:kern w:val="0"/>
          <w:sz w:val="32"/>
          <w:szCs w:val="32"/>
          <w:highlight w:val="none"/>
          <w:lang w:val="en-US" w:eastAsia="zh-CN"/>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eastAsia="zh-CN"/>
        </w:rPr>
        <w:t>本单位</w:t>
      </w:r>
      <w:r>
        <w:rPr>
          <w:rFonts w:hint="eastAsia" w:ascii="仿宋_GB2312" w:hAnsi="宋体" w:eastAsia="仿宋_GB2312"/>
          <w:b/>
          <w:color w:val="auto"/>
          <w:kern w:val="0"/>
          <w:sz w:val="28"/>
          <w:szCs w:val="32"/>
          <w:highlight w:val="none"/>
          <w:lang w:val="en-US" w:eastAsia="zh-CN"/>
        </w:rPr>
        <w:t>2023年度无结转结余情况，故本表为空表。</w:t>
      </w:r>
    </w:p>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rPr>
        <w:t>单位预算情况说明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中共呼图壁县委员会老干部局2024年</w:t>
      </w:r>
      <w:r>
        <w:rPr>
          <w:rFonts w:hint="eastAsia" w:ascii="楷体_GB2312" w:hAnsi="楷体_GB2312" w:eastAsia="楷体_GB2312" w:cs="楷体_GB2312"/>
          <w:b/>
          <w:bCs w:val="0"/>
          <w:color w:val="auto"/>
          <w:kern w:val="0"/>
          <w:sz w:val="32"/>
          <w:szCs w:val="32"/>
          <w:highlight w:val="none"/>
        </w:rPr>
        <w:t>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w:t>
      </w:r>
      <w:r>
        <w:rPr>
          <w:rFonts w:hint="eastAsia" w:ascii="仿宋_GB2312" w:hAnsi="宋体" w:eastAsia="仿宋_GB2312" w:cs="宋体"/>
          <w:kern w:val="0"/>
          <w:sz w:val="32"/>
          <w:szCs w:val="32"/>
          <w:lang w:eastAsia="zh-CN"/>
        </w:rPr>
        <w:t>中共呼图壁县委员会老干部局</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年所有收入和支出均纳入</w:t>
      </w:r>
      <w:r>
        <w:rPr>
          <w:rFonts w:hint="eastAsia" w:ascii="仿宋_GB2312" w:hAnsi="宋体" w:eastAsia="仿宋_GB2312" w:cs="宋体"/>
          <w:kern w:val="0"/>
          <w:sz w:val="32"/>
          <w:szCs w:val="32"/>
          <w:lang w:val="en-US" w:eastAsia="zh-CN"/>
        </w:rPr>
        <w:t>单位</w:t>
      </w:r>
      <w:r>
        <w:rPr>
          <w:rFonts w:hint="eastAsia" w:ascii="仿宋_GB2312" w:hAnsi="宋体" w:eastAsia="仿宋_GB2312" w:cs="宋体"/>
          <w:kern w:val="0"/>
          <w:sz w:val="32"/>
          <w:szCs w:val="32"/>
        </w:rPr>
        <w:t>预算管理。收支总预算</w:t>
      </w:r>
      <w:r>
        <w:rPr>
          <w:rFonts w:hint="eastAsia" w:ascii="仿宋_GB2312" w:hAnsi="宋体" w:eastAsia="仿宋_GB2312" w:cs="宋体"/>
          <w:kern w:val="0"/>
          <w:sz w:val="32"/>
          <w:szCs w:val="32"/>
          <w:lang w:val="en-US" w:eastAsia="zh-CN"/>
        </w:rPr>
        <w:t>323.94</w:t>
      </w:r>
      <w:r>
        <w:rPr>
          <w:rFonts w:hint="eastAsia" w:ascii="仿宋_GB2312" w:hAnsi="宋体" w:eastAsia="仿宋_GB2312" w:cs="宋体"/>
          <w:kern w:val="0"/>
          <w:sz w:val="32"/>
          <w:szCs w:val="32"/>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支出预算包括：一般公共服务支出、社会保障和就业支出、卫生健康支出、住房保障支出。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eastAsia="zh-CN"/>
        </w:rPr>
        <w:t>中共呼图壁县委员会老干部局2024年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中共呼图壁县委员会老干部局</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323.94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CN"/>
        </w:rPr>
        <w:t>160.54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49.56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18.59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13.10%，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2024年单位调入1人，增加工资福利等支出，又因为调整基础绩效奖和奖励性绩效奖，故本年预算大于上年预算数。</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163.40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50.44</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141.27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638.36%，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2024年预算将单位资金需要支付的各项费用预估值列入预算，故本年预算大于上年预算数。</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中共呼图壁县委员会老干部局2024年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中共呼图壁县委员会老干部局2024年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232.94</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310.44</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95.83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175.94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130.81%，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2024年预算将单位资金需要支付的各项费用预估值列入预算，故本年预算大于上年预算数。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13.50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4.17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16.08</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54.36%，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2022</w:t>
      </w:r>
      <w:r>
        <w:rPr>
          <w:rFonts w:hint="eastAsia" w:ascii="仿宋_GB2312" w:hAnsi="宋体" w:eastAsia="仿宋_GB2312" w:cs="宋体"/>
          <w:kern w:val="0"/>
          <w:sz w:val="32"/>
          <w:szCs w:val="32"/>
          <w:lang w:eastAsia="zh-CN"/>
        </w:rPr>
        <w:t>年底做</w:t>
      </w:r>
      <w:r>
        <w:rPr>
          <w:rFonts w:hint="eastAsia" w:ascii="仿宋_GB2312" w:hAnsi="宋体" w:eastAsia="仿宋_GB2312" w:cs="宋体"/>
          <w:kern w:val="0"/>
          <w:sz w:val="32"/>
          <w:szCs w:val="32"/>
          <w:lang w:val="en-US" w:eastAsia="zh-CN"/>
        </w:rPr>
        <w:t>2023年预算时</w:t>
      </w:r>
      <w:r>
        <w:rPr>
          <w:rFonts w:hint="eastAsia" w:ascii="仿宋_GB2312" w:hAnsi="宋体" w:eastAsia="仿宋_GB2312" w:cs="宋体"/>
          <w:kern w:val="0"/>
          <w:sz w:val="32"/>
          <w:szCs w:val="32"/>
          <w:lang w:eastAsia="zh-CN"/>
        </w:rPr>
        <w:t>将老干部医疗周转金、离休干部无工作遗孀的生活费、医疗费、取暖费按项目支出列入预算，根据有昌吉州医保局文件精神，自</w:t>
      </w:r>
      <w:r>
        <w:rPr>
          <w:rFonts w:hint="eastAsia" w:ascii="仿宋_GB2312" w:hAnsi="宋体" w:eastAsia="仿宋_GB2312" w:cs="宋体"/>
          <w:kern w:val="0"/>
          <w:sz w:val="32"/>
          <w:szCs w:val="32"/>
          <w:lang w:val="en-US" w:eastAsia="zh-CN"/>
        </w:rPr>
        <w:t>2023年起离休干部医疗费报销由呼图壁县医保局实施报销，故本年度预算未列入以上项目，所以本年度项目预算较上年度下降</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中共呼图壁县委员会老干部局2024年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160.54</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160.54</w:t>
      </w:r>
      <w:r>
        <w:rPr>
          <w:rFonts w:hint="eastAsia" w:ascii="仿宋_GB2312" w:hAnsi="宋体" w:eastAsia="仿宋_GB2312" w:cs="宋体"/>
          <w:color w:val="auto"/>
          <w:kern w:val="0"/>
          <w:sz w:val="32"/>
          <w:szCs w:val="32"/>
          <w:highlight w:val="none"/>
        </w:rPr>
        <w:t>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w:t>
      </w:r>
      <w:r>
        <w:rPr>
          <w:rFonts w:hint="eastAsia" w:ascii="仿宋_GB2312" w:hAnsi="宋体" w:eastAsia="仿宋_GB2312" w:cs="宋体"/>
          <w:kern w:val="0"/>
          <w:sz w:val="32"/>
          <w:szCs w:val="32"/>
          <w:lang w:val="en-US" w:eastAsia="zh-CN"/>
        </w:rPr>
        <w:t>122.02</w:t>
      </w:r>
      <w:r>
        <w:rPr>
          <w:rFonts w:hint="eastAsia" w:ascii="仿宋_GB2312" w:hAnsi="宋体" w:eastAsia="仿宋_GB2312" w:cs="宋体"/>
          <w:kern w:val="0"/>
          <w:sz w:val="32"/>
          <w:szCs w:val="32"/>
        </w:rPr>
        <w:t>万元，主要用于</w:t>
      </w:r>
      <w:r>
        <w:rPr>
          <w:rFonts w:hint="eastAsia" w:ascii="仿宋_GB2312" w:hAnsi="仿宋_GB2312" w:eastAsia="仿宋_GB2312" w:cs="仿宋_GB2312"/>
          <w:kern w:val="0"/>
          <w:sz w:val="32"/>
          <w:szCs w:val="32"/>
          <w:lang w:eastAsia="zh-CN"/>
        </w:rPr>
        <w:t>人员工资</w:t>
      </w:r>
      <w:r>
        <w:rPr>
          <w:rFonts w:hint="eastAsia" w:ascii="仿宋_GB2312" w:hAnsi="仿宋_GB2312" w:eastAsia="仿宋_GB2312" w:cs="仿宋_GB2312"/>
          <w:kern w:val="0"/>
          <w:sz w:val="32"/>
          <w:szCs w:val="32"/>
          <w:lang w:val="en-US" w:eastAsia="zh-CN"/>
        </w:rPr>
        <w:t>福利</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i w:val="0"/>
          <w:color w:val="000000"/>
          <w:kern w:val="0"/>
          <w:sz w:val="32"/>
          <w:szCs w:val="32"/>
          <w:u w:val="none"/>
          <w:lang w:val="en-US" w:eastAsia="zh-CN" w:bidi="ar"/>
        </w:rPr>
        <w:t>社会保障和就业支出19.07万元，主要用于缴纳人员养老保险；卫生健康支出8.48万元，主要用于人员医疗保险缴费；住房保障支出10.97万元，主要用于缴纳职工人员公积金</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中共呼图壁县委员会老干部局2024年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spacing w:beforeAutospacing="0" w:afterAutospacing="0" w:line="540" w:lineRule="exact"/>
        <w:ind w:firstLine="640" w:firstLineChars="200"/>
        <w:jc w:val="left"/>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160.54</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147.04</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12.53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9.32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2023年度根据</w:t>
      </w:r>
      <w:r>
        <w:rPr>
          <w:rFonts w:hint="eastAsia" w:ascii="仿宋_GB2312" w:hAnsi="仿宋_GB2312" w:eastAsia="仿宋_GB2312" w:cs="仿宋_GB2312"/>
          <w:b w:val="0"/>
          <w:bCs w:val="0"/>
          <w:sz w:val="32"/>
          <w:szCs w:val="32"/>
          <w:lang w:val="en-US" w:eastAsia="zh-CN"/>
        </w:rPr>
        <w:t>呼图壁县编办下发呼县编委【2022】23号文件，关于调整呼图壁县委编办等部门编制的通知，根据工作需要，经研究，决定为县老干局增加1名机关工勤编制。调整后，县老干局编制到达数为5名（其中行政编制4名，机关工勤1名）。2023年11月调入1人并且办理落编手续，故本年预算增加1人</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13.50</w:t>
      </w:r>
      <w:r>
        <w:rPr>
          <w:rFonts w:hint="eastAsia" w:ascii="仿宋_GB2312" w:hAnsi="宋体" w:eastAsia="仿宋_GB2312" w:cs="宋体"/>
          <w:color w:val="auto"/>
          <w:kern w:val="0"/>
          <w:sz w:val="32"/>
          <w:szCs w:val="32"/>
          <w:highlight w:val="none"/>
        </w:rPr>
        <w:t>万元，比上年预算减少</w:t>
      </w:r>
      <w:r>
        <w:rPr>
          <w:rFonts w:hint="eastAsia" w:ascii="仿宋_GB2312" w:hAnsi="宋体" w:eastAsia="仿宋_GB2312" w:cs="宋体"/>
          <w:color w:val="auto"/>
          <w:kern w:val="0"/>
          <w:sz w:val="32"/>
          <w:szCs w:val="32"/>
          <w:highlight w:val="none"/>
          <w:lang w:val="en-US" w:eastAsia="zh-CN"/>
        </w:rPr>
        <w:t>16.08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54.36%，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2022</w:t>
      </w:r>
      <w:r>
        <w:rPr>
          <w:rFonts w:hint="eastAsia" w:ascii="仿宋_GB2312" w:hAnsi="宋体" w:eastAsia="仿宋_GB2312" w:cs="宋体"/>
          <w:kern w:val="0"/>
          <w:sz w:val="32"/>
          <w:szCs w:val="32"/>
          <w:lang w:eastAsia="zh-CN"/>
        </w:rPr>
        <w:t>年底做</w:t>
      </w:r>
      <w:r>
        <w:rPr>
          <w:rFonts w:hint="eastAsia" w:ascii="仿宋_GB2312" w:hAnsi="宋体" w:eastAsia="仿宋_GB2312" w:cs="宋体"/>
          <w:kern w:val="0"/>
          <w:sz w:val="32"/>
          <w:szCs w:val="32"/>
          <w:lang w:val="en-US" w:eastAsia="zh-CN"/>
        </w:rPr>
        <w:t>2023年预算时</w:t>
      </w:r>
      <w:r>
        <w:rPr>
          <w:rFonts w:hint="eastAsia" w:ascii="仿宋_GB2312" w:hAnsi="宋体" w:eastAsia="仿宋_GB2312" w:cs="宋体"/>
          <w:kern w:val="0"/>
          <w:sz w:val="32"/>
          <w:szCs w:val="32"/>
          <w:lang w:eastAsia="zh-CN"/>
        </w:rPr>
        <w:t>将老干部医疗周转金、离休干部无工作遗孀的生活费、医疗费、取暖费按项目支出列入预算，根据有昌吉州医保局文件精神，自</w:t>
      </w:r>
      <w:r>
        <w:rPr>
          <w:rFonts w:hint="eastAsia" w:ascii="仿宋_GB2312" w:hAnsi="宋体" w:eastAsia="仿宋_GB2312" w:cs="宋体"/>
          <w:kern w:val="0"/>
          <w:sz w:val="32"/>
          <w:szCs w:val="32"/>
          <w:lang w:val="en-US" w:eastAsia="zh-CN"/>
        </w:rPr>
        <w:t>2023年起离休干部医疗费报销由呼图壁县医保局实施报销，故本年度预算未列入以上项目，所以本年度项目预算较上年度下降</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1.一般公共服务</w:t>
      </w:r>
      <w:r>
        <w:rPr>
          <w:rFonts w:hint="eastAsia" w:ascii="仿宋_GB2312" w:eastAsia="仿宋_GB2312"/>
          <w:sz w:val="32"/>
          <w:szCs w:val="32"/>
          <w:lang w:eastAsia="zh-CN"/>
        </w:rPr>
        <w:t>支出（</w:t>
      </w:r>
      <w:r>
        <w:rPr>
          <w:rFonts w:hint="eastAsia" w:ascii="仿宋_GB2312" w:eastAsia="仿宋_GB2312"/>
          <w:sz w:val="32"/>
          <w:szCs w:val="32"/>
          <w:lang w:val="en-US" w:eastAsia="zh-CN"/>
        </w:rPr>
        <w:t>类）</w:t>
      </w:r>
      <w:r>
        <w:rPr>
          <w:rFonts w:hint="eastAsia" w:ascii="仿宋_GB2312" w:hAnsi="仿宋_GB2312" w:eastAsia="仿宋_GB2312" w:cs="仿宋_GB2312"/>
          <w:b w:val="0"/>
          <w:bCs/>
          <w:sz w:val="32"/>
          <w:szCs w:val="32"/>
          <w:lang w:val="en-US" w:eastAsia="zh-CN"/>
        </w:rPr>
        <w:t>122.02</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76.01</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2.社会保障和就业支出</w:t>
      </w:r>
      <w:r>
        <w:rPr>
          <w:rFonts w:hint="eastAsia" w:ascii="仿宋_GB2312" w:eastAsia="仿宋_GB2312"/>
          <w:sz w:val="32"/>
          <w:szCs w:val="32"/>
          <w:lang w:eastAsia="zh-CN"/>
        </w:rPr>
        <w:t>（</w:t>
      </w:r>
      <w:r>
        <w:rPr>
          <w:rFonts w:hint="eastAsia" w:ascii="仿宋_GB2312" w:eastAsia="仿宋_GB2312"/>
          <w:sz w:val="32"/>
          <w:szCs w:val="32"/>
          <w:lang w:val="en-US" w:eastAsia="zh-CN"/>
        </w:rPr>
        <w:t>类）</w:t>
      </w:r>
      <w:r>
        <w:rPr>
          <w:rFonts w:hint="eastAsia" w:ascii="仿宋" w:hAnsi="仿宋" w:eastAsia="仿宋" w:cs="仿宋"/>
          <w:kern w:val="0"/>
          <w:sz w:val="32"/>
          <w:szCs w:val="32"/>
          <w:lang w:val="en-US" w:eastAsia="zh-CN"/>
        </w:rPr>
        <w:t>19.07万元，</w:t>
      </w:r>
      <w:r>
        <w:rPr>
          <w:rFonts w:hint="eastAsia" w:ascii="仿宋_GB2312" w:hAnsi="宋体" w:eastAsia="仿宋_GB2312" w:cs="宋体"/>
          <w:kern w:val="0"/>
          <w:sz w:val="32"/>
          <w:szCs w:val="32"/>
        </w:rPr>
        <w:t>占</w:t>
      </w:r>
      <w:r>
        <w:rPr>
          <w:rFonts w:hint="eastAsia" w:ascii="仿宋_GB2312" w:hAnsi="宋体" w:eastAsia="仿宋_GB2312" w:cs="宋体"/>
          <w:kern w:val="0"/>
          <w:sz w:val="32"/>
          <w:szCs w:val="32"/>
          <w:lang w:val="en-US" w:eastAsia="zh-CN"/>
        </w:rPr>
        <w:t>11.88</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卫生健康支出</w:t>
      </w:r>
      <w:r>
        <w:rPr>
          <w:rFonts w:hint="eastAsia" w:ascii="仿宋_GB2312" w:eastAsia="仿宋_GB2312"/>
          <w:sz w:val="32"/>
          <w:szCs w:val="32"/>
          <w:lang w:eastAsia="zh-CN"/>
        </w:rPr>
        <w:t>（</w:t>
      </w:r>
      <w:r>
        <w:rPr>
          <w:rFonts w:hint="eastAsia" w:ascii="仿宋_GB2312" w:eastAsia="仿宋_GB2312"/>
          <w:sz w:val="32"/>
          <w:szCs w:val="32"/>
          <w:lang w:val="en-US" w:eastAsia="zh-CN"/>
        </w:rPr>
        <w:t>类）</w:t>
      </w:r>
      <w:r>
        <w:rPr>
          <w:rFonts w:hint="eastAsia" w:ascii="仿宋_GB2312" w:hAnsi="宋体" w:eastAsia="仿宋_GB2312" w:cs="宋体"/>
          <w:kern w:val="0"/>
          <w:sz w:val="32"/>
          <w:szCs w:val="32"/>
          <w:lang w:val="en-US" w:eastAsia="zh-CN"/>
        </w:rPr>
        <w:t>8.48万元，占5.28%。</w:t>
      </w:r>
    </w:p>
    <w:p>
      <w:pPr>
        <w:spacing w:line="560" w:lineRule="exact"/>
        <w:ind w:firstLine="640" w:firstLineChars="200"/>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val="en-US" w:eastAsia="zh-CN"/>
        </w:rPr>
        <w:t>住房保障支出</w:t>
      </w:r>
      <w:r>
        <w:rPr>
          <w:rFonts w:hint="eastAsia" w:ascii="仿宋_GB2312" w:eastAsia="仿宋_GB2312"/>
          <w:sz w:val="32"/>
          <w:szCs w:val="32"/>
          <w:lang w:eastAsia="zh-CN"/>
        </w:rPr>
        <w:t>（</w:t>
      </w:r>
      <w:r>
        <w:rPr>
          <w:rFonts w:hint="eastAsia" w:ascii="仿宋_GB2312" w:eastAsia="仿宋_GB2312"/>
          <w:sz w:val="32"/>
          <w:szCs w:val="32"/>
          <w:lang w:val="en-US" w:eastAsia="zh-CN"/>
        </w:rPr>
        <w:t>类）</w:t>
      </w:r>
      <w:r>
        <w:rPr>
          <w:rFonts w:hint="eastAsia" w:ascii="仿宋_GB2312" w:hAnsi="宋体" w:eastAsia="仿宋_GB2312" w:cs="宋体"/>
          <w:kern w:val="0"/>
          <w:sz w:val="32"/>
          <w:szCs w:val="32"/>
          <w:lang w:val="en-US" w:eastAsia="zh-CN"/>
        </w:rPr>
        <w:t>10.97万元，占6.83%。</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一般公共服务（类）</w:t>
      </w:r>
      <w:r>
        <w:rPr>
          <w:rFonts w:hint="eastAsia" w:ascii="仿宋_GB2312" w:hAnsi="仿宋_GB2312" w:eastAsia="仿宋_GB2312" w:cs="仿宋_GB2312"/>
          <w:kern w:val="0"/>
          <w:sz w:val="32"/>
          <w:szCs w:val="32"/>
          <w:lang w:eastAsia="zh-CN"/>
        </w:rPr>
        <w:t>组织</w:t>
      </w:r>
      <w:r>
        <w:rPr>
          <w:rFonts w:hint="eastAsia" w:ascii="仿宋_GB2312" w:hAnsi="仿宋_GB2312" w:eastAsia="仿宋_GB2312" w:cs="仿宋_GB2312"/>
          <w:kern w:val="0"/>
          <w:sz w:val="32"/>
          <w:szCs w:val="32"/>
        </w:rPr>
        <w:t>事务（款）行政运行</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109.02</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val="en-US" w:eastAsia="zh-CN"/>
        </w:rPr>
        <w:t>数</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1.51</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1.40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本年度增加人员编制</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cs="仿宋_GB2312"/>
          <w:b w:val="0"/>
          <w:bCs w:val="0"/>
          <w:kern w:val="0"/>
          <w:sz w:val="32"/>
          <w:szCs w:val="32"/>
        </w:rPr>
        <w:t xml:space="preserve"> </w:t>
      </w:r>
      <w:r>
        <w:rPr>
          <w:rFonts w:hint="eastAsia" w:ascii="仿宋_GB2312" w:hAnsi="仿宋_GB2312" w:eastAsia="仿宋_GB2312" w:cs="仿宋_GB2312"/>
          <w:b w:val="0"/>
          <w:bCs w:val="0"/>
          <w:kern w:val="0"/>
          <w:sz w:val="32"/>
          <w:szCs w:val="32"/>
          <w:lang w:val="en-US" w:eastAsia="zh-CN"/>
        </w:rPr>
        <w:t>2、</w:t>
      </w:r>
      <w:r>
        <w:rPr>
          <w:rFonts w:hint="eastAsia" w:ascii="仿宋_GB2312" w:hAnsi="仿宋_GB2312" w:eastAsia="仿宋_GB2312" w:cs="仿宋_GB2312"/>
          <w:kern w:val="0"/>
          <w:sz w:val="32"/>
          <w:szCs w:val="32"/>
        </w:rPr>
        <w:t>一般公共服务（类）</w:t>
      </w:r>
      <w:r>
        <w:rPr>
          <w:rFonts w:hint="eastAsia" w:ascii="仿宋_GB2312" w:hAnsi="仿宋_GB2312" w:eastAsia="仿宋_GB2312" w:cs="仿宋_GB2312"/>
          <w:kern w:val="0"/>
          <w:sz w:val="32"/>
          <w:szCs w:val="32"/>
          <w:lang w:eastAsia="zh-CN"/>
        </w:rPr>
        <w:t>组织</w:t>
      </w:r>
      <w:r>
        <w:rPr>
          <w:rFonts w:hint="eastAsia" w:ascii="仿宋_GB2312" w:hAnsi="仿宋_GB2312" w:eastAsia="仿宋_GB2312" w:cs="仿宋_GB2312"/>
          <w:kern w:val="0"/>
          <w:sz w:val="32"/>
          <w:szCs w:val="32"/>
        </w:rPr>
        <w:t>事务（款）</w:t>
      </w:r>
      <w:r>
        <w:rPr>
          <w:rFonts w:hint="eastAsia" w:ascii="仿宋_GB2312" w:hAnsi="仿宋_GB2312" w:eastAsia="仿宋_GB2312" w:cs="仿宋_GB2312"/>
          <w:kern w:val="0"/>
          <w:sz w:val="32"/>
          <w:szCs w:val="32"/>
          <w:lang w:eastAsia="zh-CN"/>
        </w:rPr>
        <w:t>其他组织事务支出</w:t>
      </w:r>
      <w:r>
        <w:rPr>
          <w:rFonts w:hint="eastAsia" w:ascii="仿宋_GB2312" w:hAnsi="仿宋_GB2312" w:eastAsia="仿宋_GB2312" w:cs="仿宋_GB2312"/>
          <w:kern w:val="0"/>
          <w:sz w:val="32"/>
          <w:szCs w:val="32"/>
        </w:rPr>
        <w:t>（项）:</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rPr>
        <w:t>万元，比上年预算</w:t>
      </w:r>
      <w:r>
        <w:rPr>
          <w:rFonts w:hint="eastAsia" w:ascii="仿宋_GB2312" w:hAnsi="仿宋_GB2312" w:eastAsia="仿宋_GB2312" w:cs="仿宋_GB2312"/>
          <w:kern w:val="0"/>
          <w:sz w:val="32"/>
          <w:szCs w:val="32"/>
          <w:lang w:val="en-US" w:eastAsia="zh-CN"/>
        </w:rPr>
        <w:t>数</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13</w:t>
      </w:r>
      <w:r>
        <w:rPr>
          <w:rFonts w:hint="eastAsia" w:ascii="仿宋_GB2312" w:hAnsi="仿宋_GB2312" w:eastAsia="仿宋_GB2312" w:cs="仿宋_GB2312"/>
          <w:kern w:val="0"/>
          <w:sz w:val="32"/>
          <w:szCs w:val="32"/>
        </w:rPr>
        <w:t>万元，</w:t>
      </w:r>
      <w:r>
        <w:rPr>
          <w:rFonts w:hint="eastAsia" w:ascii="仿宋_GB2312" w:hAnsi="仿宋_GB2312" w:eastAsia="仿宋_GB2312" w:cs="仿宋_GB2312"/>
          <w:kern w:val="0"/>
          <w:sz w:val="32"/>
          <w:szCs w:val="32"/>
          <w:lang w:eastAsia="zh-CN"/>
        </w:rPr>
        <w:t>增加</w:t>
      </w:r>
      <w:r>
        <w:rPr>
          <w:rFonts w:hint="eastAsia" w:ascii="仿宋_GB2312" w:hAnsi="仿宋_GB2312" w:eastAsia="仿宋_GB2312" w:cs="仿宋_GB2312"/>
          <w:kern w:val="0"/>
          <w:sz w:val="32"/>
          <w:szCs w:val="32"/>
          <w:lang w:val="en-US" w:eastAsia="zh-CN"/>
        </w:rPr>
        <w:t>100</w:t>
      </w:r>
      <w:r>
        <w:rPr>
          <w:rFonts w:hint="eastAsia" w:ascii="仿宋_GB2312" w:hAnsi="仿宋_GB2312" w:eastAsia="仿宋_GB2312" w:cs="仿宋_GB2312"/>
          <w:kern w:val="0"/>
          <w:sz w:val="32"/>
          <w:szCs w:val="32"/>
        </w:rPr>
        <w:t>%，主要原因是：</w:t>
      </w:r>
      <w:r>
        <w:rPr>
          <w:rFonts w:hint="eastAsia" w:ascii="仿宋_GB2312" w:hAnsi="宋体" w:eastAsia="仿宋_GB2312" w:cs="宋体"/>
          <w:kern w:val="0"/>
          <w:sz w:val="32"/>
          <w:szCs w:val="32"/>
          <w:lang w:eastAsia="zh-CN"/>
        </w:rPr>
        <w:t>本年度将多年未执行的政策执行落实到位，将老年大学、老干部党校、关心下一代工作委员会工作经费做好预算，故增加项目</w:t>
      </w:r>
      <w:r>
        <w:rPr>
          <w:rFonts w:hint="eastAsia" w:ascii="仿宋_GB2312" w:hAnsi="宋体" w:eastAsia="仿宋_GB2312" w:cs="宋体"/>
          <w:kern w:val="0"/>
          <w:sz w:val="32"/>
          <w:szCs w:val="32"/>
        </w:rPr>
        <w:t>。</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b w:val="0"/>
          <w:bCs w:val="0"/>
          <w:kern w:val="0"/>
          <w:sz w:val="32"/>
          <w:szCs w:val="32"/>
          <w:lang w:val="en-US" w:eastAsia="zh-CN"/>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类）行政事业单位养老支出（款）行政单位离退休（项）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5.85万元，</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数</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5.85万</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val="en-US" w:eastAsia="zh-CN"/>
        </w:rPr>
        <w:t>100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根据</w:t>
      </w:r>
      <w:r>
        <w:rPr>
          <w:rFonts w:hint="eastAsia" w:ascii="仿宋" w:hAnsi="仿宋" w:eastAsia="仿宋" w:cs="仿宋"/>
          <w:sz w:val="32"/>
          <w:szCs w:val="32"/>
          <w:lang w:val="en-US" w:eastAsia="zh-CN"/>
        </w:rPr>
        <w:t>根据昌吉州委组织部、人力资源和社会保障局、财政局联合下发文件《转发中共中央组织部 人力资源和社会保障部 财政部关于调整离休干部特需经费标准的通知》（昌州人社发【2017】20号、新人社发【2017】2号、人社部发【2016】116号文件）精神规定：“经党中央、国务院同意，从2016年1月日超调整离休干部特需要经费标准，离休干部特需要经费标准由原来每人每年500元调整为每人每年1000元。”截止预算申报日我县有离休干部共计5人，其中，抗日战争时期参加革命的离休干部1人，解放战争时期参加革命的离休干部4人。特需经费主要用于解决离休干部的特殊困难和必要的活动经费开支，不得平均发给个人或挪作他用。离休干部所在单位或上级主管部门每年将特需要经费列入当年预算。2024年度将退休人员的绩效将纳入此款项执行预算，故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社会保障和就业支出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类）行政事业单位养老支出（款）机关事业单位基本养老保险缴费支出（项）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13.23万元，</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数</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0.38万</w:t>
      </w:r>
      <w:r>
        <w:rPr>
          <w:rFonts w:hint="eastAsia" w:ascii="仿宋_GB2312" w:hAnsi="宋体" w:eastAsia="仿宋_GB2312" w:cs="宋体"/>
          <w:kern w:val="0"/>
          <w:sz w:val="32"/>
          <w:szCs w:val="32"/>
        </w:rPr>
        <w:t>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val="en-US" w:eastAsia="zh-CN"/>
        </w:rPr>
        <w:t>2.96</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2023年增加人员编制及人员。</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5、卫生健康支出（类)</w:t>
      </w:r>
      <w:r>
        <w:rPr>
          <w:rFonts w:hint="eastAsia" w:ascii="仿宋_GB2312" w:hAnsi="宋体" w:eastAsia="仿宋_GB2312" w:cs="宋体"/>
          <w:kern w:val="0"/>
          <w:sz w:val="32"/>
          <w:szCs w:val="32"/>
        </w:rPr>
        <w:t>行政事业单位医疗</w:t>
      </w:r>
      <w:r>
        <w:rPr>
          <w:rFonts w:hint="eastAsia" w:ascii="仿宋_GB2312" w:hAnsi="宋体" w:eastAsia="仿宋_GB2312" w:cs="宋体"/>
          <w:kern w:val="0"/>
          <w:sz w:val="32"/>
          <w:szCs w:val="32"/>
          <w:lang w:val="en-US" w:eastAsia="zh-CN"/>
        </w:rPr>
        <w:t>(款）行政单位医疗（项）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6.61万元，比上年预算数减少2.20万元，下降24.97%，</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2023年度离休干部医疗周转金由医保局发放，故下降。</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6、卫生健康支出（类）</w:t>
      </w:r>
      <w:r>
        <w:rPr>
          <w:rFonts w:hint="eastAsia" w:ascii="仿宋_GB2312" w:hAnsi="宋体" w:eastAsia="仿宋_GB2312" w:cs="宋体"/>
          <w:kern w:val="0"/>
          <w:sz w:val="32"/>
          <w:szCs w:val="32"/>
        </w:rPr>
        <w:t>行政事业单位医疗</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款）公务员医疗补助（项）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1.82万元，比上年预算数减少0.60万元，</w:t>
      </w:r>
      <w:r>
        <w:rPr>
          <w:rFonts w:hint="eastAsia" w:ascii="仿宋_GB2312" w:hAnsi="仿宋_GB2312" w:eastAsia="仿宋_GB2312" w:cs="仿宋_GB2312"/>
          <w:kern w:val="0"/>
          <w:sz w:val="32"/>
          <w:szCs w:val="32"/>
          <w:highlight w:val="none"/>
          <w:lang w:eastAsia="zh-CN"/>
        </w:rPr>
        <w:t>下降</w:t>
      </w:r>
      <w:r>
        <w:rPr>
          <w:rFonts w:hint="eastAsia" w:ascii="仿宋_GB2312" w:hAnsi="仿宋_GB2312" w:eastAsia="仿宋_GB2312" w:cs="仿宋_GB2312"/>
          <w:kern w:val="0"/>
          <w:sz w:val="32"/>
          <w:szCs w:val="32"/>
          <w:highlight w:val="none"/>
          <w:lang w:val="en-US" w:eastAsia="zh-CN"/>
        </w:rPr>
        <w:t>24.79</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2023年度退休2人，退休人员达到四级调研员和正科级待遇，2024年增加人员待遇相比退休人员相差较大，故人务员医疗补助预算基数小了，预算支出也下降。</w:t>
      </w:r>
    </w:p>
    <w:p>
      <w:pPr>
        <w:spacing w:line="560" w:lineRule="exact"/>
        <w:ind w:firstLine="643" w:firstLineChars="200"/>
        <w:rPr>
          <w:rFonts w:hint="eastAsia" w:ascii="仿宋_GB2312" w:hAnsi="宋体" w:eastAsia="仿宋_GB2312" w:cs="宋体"/>
          <w:b/>
          <w:kern w:val="0"/>
          <w:sz w:val="32"/>
          <w:szCs w:val="32"/>
          <w:lang w:val="en-US" w:eastAsia="zh-CN"/>
        </w:rPr>
      </w:pPr>
      <w:r>
        <w:rPr>
          <w:rFonts w:hint="eastAsia" w:ascii="仿宋_GB2312" w:hAnsi="宋体" w:eastAsia="仿宋_GB2312" w:cs="宋体"/>
          <w:b/>
          <w:kern w:val="0"/>
          <w:sz w:val="32"/>
          <w:szCs w:val="32"/>
          <w:lang w:val="en-US" w:eastAsia="zh-CN"/>
        </w:rPr>
        <w:t>7、</w:t>
      </w:r>
      <w:r>
        <w:rPr>
          <w:rFonts w:hint="eastAsia" w:ascii="仿宋_GB2312" w:hAnsi="宋体" w:eastAsia="仿宋_GB2312" w:cs="宋体"/>
          <w:kern w:val="0"/>
          <w:sz w:val="32"/>
          <w:szCs w:val="32"/>
          <w:lang w:val="en-US" w:eastAsia="zh-CN"/>
        </w:rPr>
        <w:t>卫生健康支出（类）</w:t>
      </w:r>
      <w:r>
        <w:rPr>
          <w:rFonts w:hint="eastAsia" w:ascii="仿宋_GB2312" w:hAnsi="宋体" w:eastAsia="仿宋_GB2312" w:cs="宋体"/>
          <w:kern w:val="0"/>
          <w:sz w:val="32"/>
          <w:szCs w:val="32"/>
        </w:rPr>
        <w:t>行政事业单位医疗</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款）其他行政事业单位医疗支出（项）</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2024</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0.05万元，比上年预算数增加0.03万元，</w:t>
      </w:r>
      <w:r>
        <w:rPr>
          <w:rFonts w:hint="eastAsia" w:ascii="仿宋_GB2312" w:hAnsi="仿宋_GB2312" w:eastAsia="仿宋_GB2312" w:cs="仿宋_GB2312"/>
          <w:kern w:val="0"/>
          <w:sz w:val="32"/>
          <w:szCs w:val="32"/>
          <w:highlight w:val="none"/>
        </w:rPr>
        <w:t>增长</w:t>
      </w:r>
      <w:r>
        <w:rPr>
          <w:rFonts w:hint="eastAsia" w:ascii="仿宋_GB2312" w:hAnsi="宋体" w:eastAsia="仿宋_GB2312" w:cs="宋体"/>
          <w:kern w:val="0"/>
          <w:sz w:val="32"/>
          <w:szCs w:val="32"/>
          <w:lang w:val="en-US" w:eastAsia="zh-CN"/>
        </w:rPr>
        <w:t>150%，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val="en-US" w:eastAsia="zh-CN"/>
        </w:rPr>
        <w:t>2024年度退休人员大病保险纳入此款项中。</w:t>
      </w:r>
    </w:p>
    <w:p>
      <w:pPr>
        <w:spacing w:line="560" w:lineRule="exact"/>
        <w:ind w:firstLine="643" w:firstLineChars="200"/>
        <w:rPr>
          <w:rFonts w:hint="default" w:ascii="仿宋_GB2312" w:hAnsi="宋体" w:eastAsia="仿宋_GB2312" w:cs="宋体"/>
          <w:b/>
          <w:kern w:val="0"/>
          <w:sz w:val="32"/>
          <w:szCs w:val="32"/>
          <w:lang w:val="en-US" w:eastAsia="zh-CN"/>
        </w:rPr>
      </w:pPr>
      <w:r>
        <w:rPr>
          <w:rFonts w:hint="eastAsia" w:ascii="仿宋_GB2312" w:hAnsi="宋体" w:eastAsia="仿宋_GB2312" w:cs="宋体"/>
          <w:b/>
          <w:kern w:val="0"/>
          <w:sz w:val="32"/>
          <w:szCs w:val="32"/>
          <w:lang w:val="en-US" w:eastAsia="zh-CN"/>
        </w:rPr>
        <w:t>8、</w:t>
      </w:r>
      <w:r>
        <w:rPr>
          <w:rFonts w:hint="eastAsia" w:ascii="仿宋_GB2312" w:hAnsi="宋体" w:eastAsia="仿宋_GB2312" w:cs="宋体"/>
          <w:kern w:val="0"/>
          <w:sz w:val="32"/>
          <w:szCs w:val="32"/>
        </w:rPr>
        <w:t>住房保障支出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类）住房改革支出（款）住房公积金（款）</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2023</w:t>
      </w:r>
      <w:r>
        <w:rPr>
          <w:rFonts w:hint="eastAsia" w:ascii="仿宋_GB2312" w:hAnsi="仿宋_GB2312" w:eastAsia="仿宋_GB2312" w:cs="仿宋_GB2312"/>
          <w:kern w:val="0"/>
          <w:sz w:val="32"/>
          <w:szCs w:val="32"/>
        </w:rPr>
        <w:t>年预算数为</w:t>
      </w:r>
      <w:r>
        <w:rPr>
          <w:rFonts w:hint="eastAsia" w:ascii="仿宋_GB2312" w:hAnsi="宋体" w:eastAsia="仿宋_GB2312" w:cs="宋体"/>
          <w:kern w:val="0"/>
          <w:sz w:val="32"/>
          <w:szCs w:val="32"/>
          <w:lang w:val="en-US" w:eastAsia="zh-CN"/>
        </w:rPr>
        <w:t>10.97万元，</w:t>
      </w:r>
      <w:r>
        <w:rPr>
          <w:rFonts w:hint="eastAsia" w:ascii="仿宋_GB2312" w:hAnsi="宋体" w:eastAsia="仿宋_GB2312" w:cs="宋体"/>
          <w:kern w:val="0"/>
          <w:sz w:val="32"/>
          <w:szCs w:val="32"/>
        </w:rPr>
        <w:t>比上年</w:t>
      </w:r>
      <w:r>
        <w:rPr>
          <w:rFonts w:hint="eastAsia" w:ascii="仿宋_GB2312" w:hAnsi="宋体" w:eastAsia="仿宋_GB2312" w:cs="宋体"/>
          <w:kern w:val="0"/>
          <w:sz w:val="32"/>
          <w:szCs w:val="32"/>
          <w:lang w:val="en-US" w:eastAsia="zh-CN"/>
        </w:rPr>
        <w:t>预算</w:t>
      </w:r>
      <w:r>
        <w:rPr>
          <w:rFonts w:hint="eastAsia" w:ascii="仿宋_GB2312" w:hAnsi="宋体" w:eastAsia="仿宋_GB2312" w:cs="宋体"/>
          <w:kern w:val="0"/>
          <w:sz w:val="32"/>
          <w:szCs w:val="32"/>
        </w:rPr>
        <w:t>数</w:t>
      </w:r>
      <w:r>
        <w:rPr>
          <w:rFonts w:hint="eastAsia" w:ascii="仿宋_GB2312" w:hAnsi="宋体" w:eastAsia="仿宋_GB2312" w:cs="宋体"/>
          <w:kern w:val="0"/>
          <w:sz w:val="32"/>
          <w:szCs w:val="32"/>
          <w:lang w:eastAsia="zh-CN"/>
        </w:rPr>
        <w:t>增加</w:t>
      </w:r>
      <w:r>
        <w:rPr>
          <w:rFonts w:hint="eastAsia" w:ascii="仿宋_GB2312" w:hAnsi="宋体" w:eastAsia="仿宋_GB2312" w:cs="宋体"/>
          <w:kern w:val="0"/>
          <w:sz w:val="32"/>
          <w:szCs w:val="32"/>
          <w:lang w:val="en-US" w:eastAsia="zh-CN"/>
        </w:rPr>
        <w:t>0.62</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增长</w:t>
      </w:r>
      <w:r>
        <w:rPr>
          <w:rFonts w:hint="eastAsia" w:ascii="仿宋_GB2312" w:hAnsi="宋体" w:eastAsia="仿宋_GB2312" w:cs="宋体"/>
          <w:kern w:val="0"/>
          <w:sz w:val="32"/>
          <w:szCs w:val="32"/>
          <w:lang w:val="en-US" w:eastAsia="zh-CN"/>
        </w:rPr>
        <w:t>5.99</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上年度调增加调资，公积金基数上调，故增加支出。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中共呼图壁县委员会老干部局2024年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中共呼图壁县委员会老干部局</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160.54</w:t>
      </w:r>
      <w:r>
        <w:rPr>
          <w:rFonts w:hint="eastAsia" w:ascii="仿宋_GB2312" w:hAnsi="宋体" w:eastAsia="仿宋_GB2312" w:cs="宋体"/>
          <w:color w:val="auto"/>
          <w:spacing w:val="-6"/>
          <w:kern w:val="0"/>
          <w:sz w:val="32"/>
          <w:szCs w:val="32"/>
          <w:highlight w:val="none"/>
        </w:rPr>
        <w:t>万元， 其中：</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142.24</w:t>
      </w:r>
      <w:r>
        <w:rPr>
          <w:rFonts w:hint="eastAsia" w:ascii="仿宋_GB2312" w:hAnsi="宋体" w:eastAsia="仿宋_GB2312" w:cs="宋体"/>
          <w:color w:val="auto"/>
          <w:kern w:val="0"/>
          <w:sz w:val="32"/>
          <w:szCs w:val="32"/>
          <w:highlight w:val="none"/>
        </w:rPr>
        <w:t>万元，主要包括：基本工资、津贴补贴、奖金、机关事业单位基本养老保险缴费、职工基本医疗保险缴费、公务员医疗补助缴费、其他社会保障缴费、住房公积金、其他工资福利支出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退休费、生活补助、奖励金、其他对个人和家庭的补助。</w:t>
      </w:r>
    </w:p>
    <w:p>
      <w:pPr>
        <w:pStyle w:val="7"/>
        <w:keepNext w:val="0"/>
        <w:keepLines w:val="0"/>
        <w:widowControl/>
        <w:suppressLineNumbers w:val="0"/>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4.80</w:t>
      </w:r>
      <w:r>
        <w:rPr>
          <w:rFonts w:hint="eastAsia" w:ascii="仿宋_GB2312" w:hAnsi="宋体" w:eastAsia="仿宋_GB2312" w:cs="宋体"/>
          <w:color w:val="auto"/>
          <w:kern w:val="0"/>
          <w:sz w:val="32"/>
          <w:szCs w:val="32"/>
          <w:highlight w:val="none"/>
        </w:rPr>
        <w:t>万元，主要包括：办公费、电费、邮电费、工会经费、公务用车运行维护费。</w:t>
      </w:r>
    </w:p>
    <w:p>
      <w:pPr>
        <w:pStyle w:val="7"/>
        <w:keepNext w:val="0"/>
        <w:keepLines w:val="0"/>
        <w:widowControl/>
        <w:numPr>
          <w:ilvl w:val="0"/>
          <w:numId w:val="1"/>
        </w:numPr>
        <w:suppressLineNumbers w:val="0"/>
        <w:ind w:firstLine="619" w:firstLineChars="200"/>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中共呼图壁县委员会老干部局2024年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pStyle w:val="7"/>
        <w:keepNext w:val="0"/>
        <w:keepLines w:val="0"/>
        <w:widowControl/>
        <w:numPr>
          <w:ilvl w:val="0"/>
          <w:numId w:val="0"/>
        </w:numPr>
        <w:suppressLineNumbers w:val="0"/>
        <w:ind w:leftChars="200" w:right="0" w:rightChars="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老年大学、老干部党校、关工委、离休干部特需要经费</w:t>
      </w:r>
    </w:p>
    <w:p>
      <w:pPr>
        <w:keepNext w:val="0"/>
        <w:keepLines w:val="0"/>
        <w:pageBreakBefore w:val="0"/>
        <w:widowControl/>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sz w:val="32"/>
          <w:szCs w:val="32"/>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根据</w:t>
      </w:r>
      <w:r>
        <w:rPr>
          <w:rFonts w:hint="eastAsia" w:ascii="仿宋_GB2312" w:hAnsi="黑体" w:eastAsia="仿宋_GB2312"/>
          <w:color w:val="auto"/>
          <w:sz w:val="32"/>
          <w:szCs w:val="32"/>
          <w:highlight w:val="none"/>
        </w:rPr>
        <w:t>呼党财【2013】2号</w:t>
      </w:r>
      <w:r>
        <w:rPr>
          <w:rFonts w:hint="eastAsia" w:ascii="仿宋_GB2312" w:hAnsi="黑体" w:eastAsia="仿宋_GB2312"/>
          <w:color w:val="auto"/>
          <w:sz w:val="32"/>
          <w:szCs w:val="32"/>
          <w:highlight w:val="none"/>
          <w:lang w:eastAsia="zh-CN"/>
        </w:rPr>
        <w:t>、</w:t>
      </w:r>
      <w:r>
        <w:rPr>
          <w:rFonts w:hint="eastAsia" w:ascii="仿宋" w:hAnsi="仿宋" w:eastAsia="仿宋" w:cs="仿宋"/>
          <w:sz w:val="32"/>
          <w:szCs w:val="32"/>
          <w:lang w:val="en-US" w:eastAsia="zh-CN"/>
        </w:rPr>
        <w:t>（昌州人社发【2017】20号、新人社发【2017】2号、人社部发【2016】116号文件）。</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13.50万元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kern w:val="0"/>
          <w:sz w:val="32"/>
          <w:szCs w:val="32"/>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eastAsia="zh-CN"/>
        </w:rPr>
        <w:t>中共呼图壁县委员会老干部局。</w:t>
      </w:r>
    </w:p>
    <w:p>
      <w:pPr>
        <w:spacing w:line="560" w:lineRule="exact"/>
        <w:ind w:firstLine="640" w:firstLineChars="200"/>
        <w:rPr>
          <w:rFonts w:hint="eastAsia" w:ascii="仿宋" w:hAnsi="仿宋" w:eastAsia="仿宋" w:cs="仿宋"/>
          <w:sz w:val="32"/>
          <w:szCs w:val="32"/>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老年大学了、老干部党校、关工委工作经费</w:t>
      </w:r>
      <w:r>
        <w:rPr>
          <w:rFonts w:hint="eastAsia" w:ascii="仿宋_GB2312" w:hAnsi="黑体" w:eastAsia="仿宋_GB2312"/>
          <w:color w:val="auto"/>
          <w:sz w:val="32"/>
          <w:szCs w:val="32"/>
          <w:highlight w:val="none"/>
          <w:lang w:val="en-US" w:eastAsia="zh-CN"/>
        </w:rPr>
        <w:t>2024年</w:t>
      </w:r>
      <w:r>
        <w:rPr>
          <w:rFonts w:hint="eastAsia" w:ascii="仿宋_GB2312" w:hAnsi="黑体" w:eastAsia="仿宋_GB2312"/>
          <w:color w:val="auto"/>
          <w:sz w:val="32"/>
          <w:szCs w:val="32"/>
          <w:highlight w:val="none"/>
          <w:lang w:eastAsia="zh-CN"/>
        </w:rPr>
        <w:t>预算申报数为</w:t>
      </w:r>
      <w:r>
        <w:rPr>
          <w:rFonts w:hint="eastAsia" w:ascii="仿宋_GB2312" w:hAnsi="黑体" w:eastAsia="仿宋_GB2312"/>
          <w:color w:val="auto"/>
          <w:sz w:val="32"/>
          <w:szCs w:val="32"/>
          <w:highlight w:val="none"/>
          <w:lang w:val="en-US" w:eastAsia="zh-CN"/>
        </w:rPr>
        <w:t>13万元，</w:t>
      </w:r>
      <w:r>
        <w:rPr>
          <w:rFonts w:hint="eastAsia" w:ascii="仿宋" w:hAnsi="仿宋" w:eastAsia="仿宋" w:cs="仿宋"/>
          <w:sz w:val="32"/>
          <w:szCs w:val="32"/>
          <w:lang w:val="en-US" w:eastAsia="zh-CN"/>
        </w:rPr>
        <w:t>离休干部特需要经费2024年预算申报数为0.5万元。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kern w:val="0"/>
          <w:sz w:val="32"/>
          <w:szCs w:val="32"/>
          <w:lang w:val="en-US" w:eastAsia="zh-CN"/>
        </w:rPr>
        <w:t>2024年1月1日-2024年12月31日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中共呼图壁县委员会老干部局2024年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中共呼图壁县委员会老干部局2024年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中共呼图壁县委员会老干部局2024年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中共呼图壁县委员会老干部局2024年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1.20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1.20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0.40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rPr>
        <w:t>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lang w:eastAsia="zh-CN"/>
        </w:rPr>
        <w:t>与上年相比无变化</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lang w:eastAsia="zh-CN"/>
        </w:rPr>
        <w:t>与上年相比无变化。</w:t>
      </w:r>
      <w:r>
        <w:rPr>
          <w:rFonts w:hint="eastAsia" w:ascii="仿宋_GB2312" w:hAnsi="宋体" w:eastAsia="仿宋_GB2312" w:cs="宋体"/>
          <w:color w:val="auto"/>
          <w:kern w:val="0"/>
          <w:sz w:val="32"/>
          <w:szCs w:val="32"/>
          <w:highlight w:val="none"/>
        </w:rPr>
        <w:t>公务用车运行费</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0.40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减少</w:t>
      </w:r>
      <w:r>
        <w:rPr>
          <w:rFonts w:hint="eastAsia" w:ascii="仿宋_GB2312" w:hAnsi="宋体" w:eastAsia="仿宋_GB2312"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2024年度将公务用车运行维护费用0.40万元做入办公费里，故公务用车运行维护费用减少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中共呼图壁县委员会老干部局2024年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中共呼图壁县委员会老干部局2024年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4.80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0.84</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21.21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2024年度增加编制，故增加人员类公用经费预算支出。</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中共呼图壁县委员会老干部局</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29.50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14.70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14.80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中共呼图壁县委员会老干部局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29.50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29.50</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中共呼图壁县委员会老干部局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w:t>
      </w:r>
      <w:r>
        <w:rPr>
          <w:rFonts w:hint="eastAsia" w:ascii="仿宋_GB2312" w:hAnsi="仿宋_GB2312" w:eastAsia="仿宋_GB2312" w:cs="仿宋_GB2312"/>
          <w:kern w:val="0"/>
          <w:sz w:val="32"/>
          <w:szCs w:val="32"/>
          <w:lang w:val="en-US" w:eastAsia="zh-CN"/>
        </w:rPr>
        <w:t>500</w:t>
      </w:r>
      <w:r>
        <w:rPr>
          <w:rFonts w:hint="eastAsia" w:ascii="仿宋_GB2312" w:hAnsi="仿宋_GB2312" w:eastAsia="仿宋_GB2312" w:cs="仿宋_GB2312"/>
          <w:kern w:val="0"/>
          <w:sz w:val="32"/>
          <w:szCs w:val="32"/>
        </w:rPr>
        <w:t>平方米，价值</w:t>
      </w:r>
      <w:r>
        <w:rPr>
          <w:rFonts w:hint="eastAsia" w:ascii="仿宋_GB2312" w:hAnsi="仿宋_GB2312" w:eastAsia="仿宋_GB2312" w:cs="仿宋_GB2312"/>
          <w:kern w:val="0"/>
          <w:sz w:val="32"/>
          <w:szCs w:val="32"/>
          <w:lang w:val="en-US" w:eastAsia="zh-CN"/>
        </w:rPr>
        <w:t>45.90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万元；其中：一般公务用车</w:t>
      </w:r>
      <w:r>
        <w:rPr>
          <w:rFonts w:hint="eastAsia" w:ascii="仿宋_GB2312" w:hAnsi="仿宋_GB2312" w:eastAsia="仿宋_GB2312" w:cs="仿宋_GB2312"/>
          <w:kern w:val="0"/>
          <w:sz w:val="32"/>
          <w:szCs w:val="32"/>
          <w:lang w:val="en-US" w:eastAsia="zh-CN"/>
        </w:rPr>
        <w:t>1</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万元；执法执勤用车</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万元；其他车辆</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辆，价值</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w:t>
      </w:r>
      <w:r>
        <w:rPr>
          <w:rFonts w:hint="eastAsia" w:ascii="仿宋_GB2312" w:hAnsi="仿宋_GB2312" w:eastAsia="仿宋_GB2312" w:cs="仿宋_GB2312"/>
          <w:kern w:val="0"/>
          <w:sz w:val="32"/>
          <w:szCs w:val="32"/>
          <w:lang w:val="en-US" w:eastAsia="zh-CN"/>
        </w:rPr>
        <w:t>46.06</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4.其他资产价值 </w:t>
      </w:r>
      <w:r>
        <w:rPr>
          <w:rFonts w:hint="eastAsia" w:ascii="仿宋_GB2312" w:hAnsi="仿宋_GB2312" w:eastAsia="仿宋_GB2312" w:cs="仿宋_GB2312"/>
          <w:kern w:val="0"/>
          <w:sz w:val="32"/>
          <w:szCs w:val="32"/>
          <w:lang w:val="en-US" w:eastAsia="zh-CN"/>
        </w:rPr>
        <w:t>85.90</w:t>
      </w:r>
      <w:r>
        <w:rPr>
          <w:rFonts w:hint="eastAsia" w:ascii="仿宋_GB2312" w:hAnsi="仿宋_GB2312" w:eastAsia="仿宋_GB2312" w:cs="仿宋_GB2312"/>
          <w:kern w:val="0"/>
          <w:sz w:val="32"/>
          <w:szCs w:val="32"/>
        </w:rPr>
        <w:t>万元。</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US" w:eastAsia="zh-CN"/>
        </w:rPr>
        <w:t>2023</w:t>
      </w:r>
      <w:r>
        <w:rPr>
          <w:rFonts w:hint="eastAsia" w:ascii="仿宋_GB2312" w:hAnsi="仿宋_GB2312" w:eastAsia="仿宋_GB2312" w:cs="仿宋_GB2312"/>
          <w:kern w:val="0"/>
          <w:sz w:val="32"/>
          <w:szCs w:val="32"/>
        </w:rPr>
        <w:t>年</w:t>
      </w:r>
      <w:r>
        <w:rPr>
          <w:rFonts w:hint="eastAsia" w:ascii="仿宋_GB2312" w:hAnsi="仿宋_GB2312" w:eastAsia="仿宋_GB2312" w:cs="仿宋_GB2312"/>
          <w:kern w:val="0"/>
          <w:sz w:val="32"/>
          <w:szCs w:val="32"/>
          <w:lang w:eastAsia="zh-CN"/>
        </w:rPr>
        <w:t>中共呼图壁县委员会老干部局</w:t>
      </w:r>
      <w:r>
        <w:rPr>
          <w:rFonts w:hint="eastAsia" w:ascii="仿宋_GB2312" w:hAnsi="仿宋_GB2312" w:eastAsia="仿宋_GB2312" w:cs="仿宋_GB2312"/>
          <w:kern w:val="0"/>
          <w:sz w:val="32"/>
          <w:szCs w:val="32"/>
        </w:rPr>
        <w:t>预算未安排购置车辆经费，安排购置50万元以上大型设备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台，单位价值100万元以上大型设备</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整体预算绩效目标1个，涉及金额160.54万元；当年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涉及预算金额13.50万元；当年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p>
      <w:pPr>
        <w:pStyle w:val="5"/>
        <w:rPr>
          <w:rFonts w:hint="eastAsia"/>
        </w:rPr>
      </w:pPr>
    </w:p>
    <w:tbl>
      <w:tblPr>
        <w:tblStyle w:val="9"/>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04"/>
        <w:gridCol w:w="1335"/>
        <w:gridCol w:w="1155"/>
        <w:gridCol w:w="561"/>
        <w:gridCol w:w="639"/>
        <w:gridCol w:w="1483"/>
        <w:gridCol w:w="786"/>
        <w:gridCol w:w="791"/>
        <w:gridCol w:w="96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60" w:hRule="atLeast"/>
        </w:trPr>
        <w:tc>
          <w:tcPr>
            <w:tcW w:w="8522"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呼图壁县</w:t>
            </w:r>
            <w:r>
              <w:rPr>
                <w:rFonts w:hint="eastAsia" w:ascii="宋体" w:hAnsi="宋体" w:cs="宋体"/>
                <w:b/>
                <w:bCs/>
                <w:i w:val="0"/>
                <w:iCs w:val="0"/>
                <w:color w:val="000000"/>
                <w:kern w:val="0"/>
                <w:sz w:val="36"/>
                <w:szCs w:val="36"/>
                <w:u w:val="none"/>
                <w:lang w:val="en-US" w:eastAsia="zh-CN" w:bidi="ar"/>
              </w:rPr>
              <w:t>中共呼图壁县委员会老干部局</w:t>
            </w:r>
            <w:r>
              <w:rPr>
                <w:rFonts w:hint="eastAsia" w:ascii="宋体" w:hAnsi="宋体" w:eastAsia="宋体" w:cs="宋体"/>
                <w:b/>
                <w:bCs/>
                <w:i w:val="0"/>
                <w:iCs w:val="0"/>
                <w:color w:val="000000"/>
                <w:kern w:val="0"/>
                <w:sz w:val="36"/>
                <w:szCs w:val="36"/>
                <w:u w:val="none"/>
                <w:lang w:val="en-US" w:eastAsia="zh-CN" w:bidi="ar"/>
              </w:rPr>
              <w:t>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8522" w:type="dxa"/>
            <w:gridSpan w:val="9"/>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0" w:hRule="atLeast"/>
        </w:trPr>
        <w:tc>
          <w:tcPr>
            <w:tcW w:w="21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cs="宋体"/>
                <w:b/>
                <w:bCs/>
                <w:i w:val="0"/>
                <w:iCs w:val="0"/>
                <w:color w:val="000000"/>
                <w:kern w:val="0"/>
                <w:sz w:val="20"/>
                <w:szCs w:val="20"/>
                <w:u w:val="none"/>
                <w:lang w:val="en-US" w:eastAsia="zh-CN" w:bidi="ar"/>
              </w:rPr>
              <w:t>中共呼图壁县委员会老干部局</w:t>
            </w:r>
            <w:r>
              <w:rPr>
                <w:rFonts w:hint="eastAsia" w:ascii="宋体" w:hAnsi="宋体" w:eastAsia="宋体" w:cs="宋体"/>
                <w:b/>
                <w:bCs/>
                <w:i w:val="0"/>
                <w:iCs w:val="0"/>
                <w:color w:val="000000"/>
                <w:kern w:val="0"/>
                <w:sz w:val="20"/>
                <w:szCs w:val="20"/>
                <w:u w:val="none"/>
                <w:lang w:val="en-US" w:eastAsia="zh-CN" w:bidi="ar"/>
              </w:rPr>
              <w:t>名称（盖章）</w:t>
            </w:r>
          </w:p>
        </w:tc>
        <w:tc>
          <w:tcPr>
            <w:tcW w:w="638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中共呼图壁县委员会老干部局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3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中共呼图壁县委员会老干部局</w:t>
            </w:r>
            <w:r>
              <w:rPr>
                <w:rFonts w:hint="eastAsia" w:ascii="宋体" w:hAnsi="宋体" w:eastAsia="宋体" w:cs="宋体"/>
                <w:b/>
                <w:bCs/>
                <w:i w:val="0"/>
                <w:iCs w:val="0"/>
                <w:color w:val="000000"/>
                <w:kern w:val="0"/>
                <w:sz w:val="24"/>
                <w:szCs w:val="24"/>
                <w:u w:val="none"/>
                <w:lang w:val="en-US" w:eastAsia="zh-CN" w:bidi="ar"/>
              </w:rPr>
              <w:t>联系人</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尤海燕</w:t>
            </w:r>
          </w:p>
        </w:tc>
        <w:tc>
          <w:tcPr>
            <w:tcW w:w="2683"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联系电话：</w:t>
            </w:r>
          </w:p>
        </w:tc>
        <w:tc>
          <w:tcPr>
            <w:tcW w:w="254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15909949494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380" w:hRule="atLeast"/>
        </w:trPr>
        <w:tc>
          <w:tcPr>
            <w:tcW w:w="3294"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年度绩效目标</w:t>
            </w:r>
          </w:p>
        </w:tc>
        <w:tc>
          <w:tcPr>
            <w:tcW w:w="522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4"/>
                <w:szCs w:val="14"/>
                <w:u w:val="none"/>
              </w:rPr>
            </w:pPr>
            <w:r>
              <w:rPr>
                <w:rFonts w:hint="eastAsia" w:ascii="宋体" w:hAnsi="宋体" w:eastAsia="宋体" w:cs="宋体"/>
                <w:b/>
                <w:bCs/>
                <w:i w:val="0"/>
                <w:iCs w:val="0"/>
                <w:color w:val="000000"/>
                <w:kern w:val="0"/>
                <w:sz w:val="14"/>
                <w:szCs w:val="14"/>
                <w:u w:val="none"/>
                <w:lang w:val="en-US" w:eastAsia="zh-CN" w:bidi="ar"/>
              </w:rPr>
              <w:t xml:space="preserve">负责指导全县离退休干部政治建设、思想建设和党组织建设，组织引导离退休干部在贯彻以习近平同志为核心的党中央治疆方略、特别是社会稳定和长治久安总目标发挥作用，为党和人民事业增添正能量；组织开展全县离退休干部工作调查研究，制定全县离退休干部工作的具体意见和措施；负责全县离退休干部工作政策业务的指导和检查工作，并办理相关业务，督促有关部门落实离退休干部政治待遇和生活待遇；负责推动全县离退休干部工作精准化、信息化建设；组织协调开展离退休干部各项活动；严格管理、合理使用离退休干部各项专用经费；负责宣传党的离退休干部工作方针政策及典型经验做法；指导协调县关心下一代工作委员会办公室、老年大学、老干部党校、老干部思想政治工作委员会、老干部活动中心开展工作；完成县党委交办的其他任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00" w:hRule="atLeast"/>
        </w:trPr>
        <w:tc>
          <w:tcPr>
            <w:tcW w:w="213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年度预算（万元）</w:t>
            </w:r>
          </w:p>
        </w:tc>
        <w:tc>
          <w:tcPr>
            <w:tcW w:w="6383"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资金来源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21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7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财政资金（万元）</w:t>
            </w: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上级资金</w:t>
            </w:r>
          </w:p>
        </w:tc>
        <w:tc>
          <w:tcPr>
            <w:tcW w:w="40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21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7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本级资金</w:t>
            </w:r>
          </w:p>
        </w:tc>
        <w:tc>
          <w:tcPr>
            <w:tcW w:w="40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160.54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21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其他资金（万元）</w:t>
            </w: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其他</w:t>
            </w:r>
          </w:p>
        </w:tc>
        <w:tc>
          <w:tcPr>
            <w:tcW w:w="40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213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5228" w:type="dxa"/>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160.54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7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2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一级指标</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二级指标</w:t>
            </w:r>
          </w:p>
        </w:tc>
        <w:tc>
          <w:tcPr>
            <w:tcW w:w="6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三级指标</w:t>
            </w:r>
          </w:p>
        </w:tc>
        <w:tc>
          <w:tcPr>
            <w:tcW w:w="14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指标值设定依据</w:t>
            </w:r>
          </w:p>
        </w:tc>
        <w:tc>
          <w:tcPr>
            <w:tcW w:w="9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运行成本</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管理效率</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履职效能</w:t>
            </w:r>
          </w:p>
        </w:tc>
        <w:tc>
          <w:tcPr>
            <w:tcW w:w="17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数量指标</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全年老干部活动次数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&gt;=3次</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2024年工作计划</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7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全年慰问老干部次数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&gt;=2次</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2024年工作计划</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71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质量指标</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慰问老干部执行率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&gt;=95%</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2024年工作计划</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71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老干部活动次数覆盖率</w:t>
            </w: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&gt;=95%</w:t>
            </w: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2024年工作计划</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社会效益</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可持续发展能力</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0" w:hRule="atLeast"/>
        </w:trPr>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年度绩效指标</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服务对象满意度</w:t>
            </w:r>
          </w:p>
        </w:tc>
        <w:tc>
          <w:tcPr>
            <w:tcW w:w="17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15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bl>
    <w:p>
      <w:pPr>
        <w:pStyle w:val="8"/>
        <w:rPr>
          <w:rFonts w:hint="eastAsia"/>
        </w:rPr>
      </w:pPr>
    </w:p>
    <w:tbl>
      <w:tblPr>
        <w:tblStyle w:val="9"/>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65"/>
        <w:gridCol w:w="865"/>
        <w:gridCol w:w="866"/>
        <w:gridCol w:w="870"/>
        <w:gridCol w:w="868"/>
        <w:gridCol w:w="868"/>
        <w:gridCol w:w="576"/>
        <w:gridCol w:w="866"/>
        <w:gridCol w:w="18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20"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0" w:hRule="atLeast"/>
        </w:trPr>
        <w:tc>
          <w:tcPr>
            <w:tcW w:w="8522"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20" w:hRule="atLeast"/>
        </w:trPr>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预算单位</w:t>
            </w:r>
          </w:p>
        </w:tc>
        <w:tc>
          <w:tcPr>
            <w:tcW w:w="6792"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中共呼图壁县委员会老干部局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40" w:hRule="atLeast"/>
        </w:trPr>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260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老年大学、老干部党校、关工委工作经费、离休干部特需要经费</w:t>
            </w:r>
          </w:p>
        </w:tc>
        <w:tc>
          <w:tcPr>
            <w:tcW w:w="14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项目负责人</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沙毅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80" w:hRule="atLeast"/>
        </w:trPr>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项目资金（万元）</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年度预算总额：</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w:t>
            </w:r>
          </w:p>
        </w:tc>
        <w:tc>
          <w:tcPr>
            <w:tcW w:w="86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其中：财政拨款</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13.50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其他资金：</w:t>
            </w:r>
          </w:p>
        </w:tc>
        <w:tc>
          <w:tcPr>
            <w:tcW w:w="27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0" w:hRule="atLeast"/>
        </w:trPr>
        <w:tc>
          <w:tcPr>
            <w:tcW w:w="17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项目总体目标</w:t>
            </w:r>
          </w:p>
        </w:tc>
        <w:tc>
          <w:tcPr>
            <w:tcW w:w="6792"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全年完成老年大学2个学期常规教学任务、完成老干部党校4-5期培训工作，完成关工委调研、帮扶、慰问等工作。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0" w:hRule="atLeast"/>
        </w:trPr>
        <w:tc>
          <w:tcPr>
            <w:tcW w:w="8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86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8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8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w:t>
            </w:r>
          </w:p>
        </w:tc>
        <w:tc>
          <w:tcPr>
            <w:tcW w:w="8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指标值设置依据</w:t>
            </w:r>
          </w:p>
        </w:tc>
        <w:tc>
          <w:tcPr>
            <w:tcW w:w="86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上年完成值</w:t>
            </w:r>
          </w:p>
        </w:tc>
        <w:tc>
          <w:tcPr>
            <w:tcW w:w="57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指标分值权重</w:t>
            </w:r>
          </w:p>
        </w:tc>
        <w:tc>
          <w:tcPr>
            <w:tcW w:w="86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指标赋分规则</w:t>
            </w:r>
          </w:p>
        </w:tc>
        <w:tc>
          <w:tcPr>
            <w:tcW w:w="187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老年大学开展教学培训数量</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&gt;=2期</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2期</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老年大学、老干部党校、关工委各项资金执行率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离休老年大学、老干部党校、关工委工作经费及离休干部特需经费支付及时率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u w:val="none"/>
              </w:rPr>
            </w:pP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老年大学开展教学培训活动及时率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项目成本控制率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&lt;=100%</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按照完成比例赋分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提高离休干部生活水平，保障离休干部及时享受政治、生活待遇待遇率</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有效提高</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按评判等级赋分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0" w:hRule="atLeast"/>
        </w:trPr>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离、退休老干部满意度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&gt;=95%</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计划标准</w:t>
            </w:r>
          </w:p>
        </w:tc>
        <w:tc>
          <w:tcPr>
            <w:tcW w:w="8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w:t>
            </w:r>
          </w:p>
        </w:tc>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工作资料</w:t>
            </w: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jc w:val="both"/>
        <w:textAlignment w:val="auto"/>
        <w:outlineLvl w:val="9"/>
        <w:rPr>
          <w:rFonts w:hint="default" w:ascii="楷体_GB2312" w:hAnsi="宋体" w:eastAsia="楷体_GB2312" w:cs="宋体"/>
          <w:b/>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当年</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Hans"/>
        </w:rPr>
        <w:t>个，</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bookmarkStart w:id="0" w:name="_GoBack"/>
      <w:bookmarkEnd w:id="0"/>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3520" w:firstLineChars="11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中共呼图壁县委员会老干部局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2024</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29</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- 2 -</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p>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- 56 -</w:t>
                    </w:r>
                    <w: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DDB0ED"/>
    <w:multiLevelType w:val="singleLevel"/>
    <w:tmpl w:val="BFDDB0ED"/>
    <w:lvl w:ilvl="0" w:tentative="0">
      <w:start w:val="7"/>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zNGFmYTkxM2VlNjg0MzhjNGQyMzFiOTA2MTJhMzkifQ=="/>
  </w:docVars>
  <w:rsids>
    <w:rsidRoot w:val="10587512"/>
    <w:rsid w:val="00EE2224"/>
    <w:rsid w:val="01036ABD"/>
    <w:rsid w:val="01A17C4D"/>
    <w:rsid w:val="02031812"/>
    <w:rsid w:val="02220F2C"/>
    <w:rsid w:val="02D108D9"/>
    <w:rsid w:val="04267B2D"/>
    <w:rsid w:val="04CA7C63"/>
    <w:rsid w:val="05397FD9"/>
    <w:rsid w:val="0555132E"/>
    <w:rsid w:val="05DB1A65"/>
    <w:rsid w:val="070E6657"/>
    <w:rsid w:val="08450B28"/>
    <w:rsid w:val="0984532B"/>
    <w:rsid w:val="09BF57F3"/>
    <w:rsid w:val="0B247F12"/>
    <w:rsid w:val="0BB53807"/>
    <w:rsid w:val="0BCF1F5D"/>
    <w:rsid w:val="0C195744"/>
    <w:rsid w:val="0D6E5FD0"/>
    <w:rsid w:val="0DF878FB"/>
    <w:rsid w:val="0E9208E7"/>
    <w:rsid w:val="0EB2565B"/>
    <w:rsid w:val="0F4E55DF"/>
    <w:rsid w:val="10587512"/>
    <w:rsid w:val="10916BDA"/>
    <w:rsid w:val="10CF4A5D"/>
    <w:rsid w:val="114E0E37"/>
    <w:rsid w:val="12356E81"/>
    <w:rsid w:val="125526A2"/>
    <w:rsid w:val="14897C73"/>
    <w:rsid w:val="151B7DF6"/>
    <w:rsid w:val="15420918"/>
    <w:rsid w:val="1697741D"/>
    <w:rsid w:val="16A71132"/>
    <w:rsid w:val="1732414C"/>
    <w:rsid w:val="173B25D5"/>
    <w:rsid w:val="1B543ED7"/>
    <w:rsid w:val="1BAE1608"/>
    <w:rsid w:val="1BEB54C3"/>
    <w:rsid w:val="1C0F4521"/>
    <w:rsid w:val="1C3C6084"/>
    <w:rsid w:val="1CEB6DC6"/>
    <w:rsid w:val="1D3E1AFE"/>
    <w:rsid w:val="1D7A772F"/>
    <w:rsid w:val="1EB61656"/>
    <w:rsid w:val="1F6923EF"/>
    <w:rsid w:val="1FFC53E6"/>
    <w:rsid w:val="20015D95"/>
    <w:rsid w:val="20CD3AB3"/>
    <w:rsid w:val="20DD55C0"/>
    <w:rsid w:val="21DB2560"/>
    <w:rsid w:val="224708E1"/>
    <w:rsid w:val="22C7073E"/>
    <w:rsid w:val="22DB78DD"/>
    <w:rsid w:val="244D65B8"/>
    <w:rsid w:val="2492221D"/>
    <w:rsid w:val="25704A81"/>
    <w:rsid w:val="26AD7D14"/>
    <w:rsid w:val="26B4291F"/>
    <w:rsid w:val="26E769FA"/>
    <w:rsid w:val="293B2E83"/>
    <w:rsid w:val="2A012DF7"/>
    <w:rsid w:val="2AFC4894"/>
    <w:rsid w:val="2B6A274C"/>
    <w:rsid w:val="2BE23948"/>
    <w:rsid w:val="2CB37851"/>
    <w:rsid w:val="2D480265"/>
    <w:rsid w:val="2D977453"/>
    <w:rsid w:val="2DA153E1"/>
    <w:rsid w:val="2DDA49C8"/>
    <w:rsid w:val="2EE35213"/>
    <w:rsid w:val="2EF22236"/>
    <w:rsid w:val="2F274997"/>
    <w:rsid w:val="2F414F2F"/>
    <w:rsid w:val="304F02D8"/>
    <w:rsid w:val="30E954BB"/>
    <w:rsid w:val="316A1AAD"/>
    <w:rsid w:val="320F26FF"/>
    <w:rsid w:val="32F91799"/>
    <w:rsid w:val="334903E6"/>
    <w:rsid w:val="346E4F41"/>
    <w:rsid w:val="36522F17"/>
    <w:rsid w:val="37DB1E1E"/>
    <w:rsid w:val="39E673B1"/>
    <w:rsid w:val="3B591451"/>
    <w:rsid w:val="3B7D27F9"/>
    <w:rsid w:val="3E7F3B71"/>
    <w:rsid w:val="3E8A0B54"/>
    <w:rsid w:val="3ECE05BE"/>
    <w:rsid w:val="3F3975C2"/>
    <w:rsid w:val="3FD76D17"/>
    <w:rsid w:val="3FDF4D23"/>
    <w:rsid w:val="40DC3923"/>
    <w:rsid w:val="412158E2"/>
    <w:rsid w:val="41AA39AC"/>
    <w:rsid w:val="42A06B0D"/>
    <w:rsid w:val="43C26223"/>
    <w:rsid w:val="43D8307E"/>
    <w:rsid w:val="44590617"/>
    <w:rsid w:val="44A34F46"/>
    <w:rsid w:val="46985568"/>
    <w:rsid w:val="46CE3131"/>
    <w:rsid w:val="485E78BD"/>
    <w:rsid w:val="49123C25"/>
    <w:rsid w:val="492C1BFC"/>
    <w:rsid w:val="494F7907"/>
    <w:rsid w:val="49E3181D"/>
    <w:rsid w:val="4B0671DA"/>
    <w:rsid w:val="4B9E256F"/>
    <w:rsid w:val="4C0055E5"/>
    <w:rsid w:val="4C3677AE"/>
    <w:rsid w:val="4C706B3A"/>
    <w:rsid w:val="4C921F81"/>
    <w:rsid w:val="4D1064A3"/>
    <w:rsid w:val="4D1376B5"/>
    <w:rsid w:val="4D5C223E"/>
    <w:rsid w:val="50DC2AB3"/>
    <w:rsid w:val="51C15CED"/>
    <w:rsid w:val="522129B4"/>
    <w:rsid w:val="52285DEB"/>
    <w:rsid w:val="52AD62F0"/>
    <w:rsid w:val="52DB6E97"/>
    <w:rsid w:val="53F767DD"/>
    <w:rsid w:val="5405306A"/>
    <w:rsid w:val="54467077"/>
    <w:rsid w:val="546308FE"/>
    <w:rsid w:val="549364C4"/>
    <w:rsid w:val="5561105A"/>
    <w:rsid w:val="581C75D2"/>
    <w:rsid w:val="5AA9062E"/>
    <w:rsid w:val="5E155EB9"/>
    <w:rsid w:val="5E4C784F"/>
    <w:rsid w:val="5F2346ED"/>
    <w:rsid w:val="5F4E6652"/>
    <w:rsid w:val="5F5C7F04"/>
    <w:rsid w:val="61086613"/>
    <w:rsid w:val="618B29A6"/>
    <w:rsid w:val="63327283"/>
    <w:rsid w:val="6408782B"/>
    <w:rsid w:val="647A767F"/>
    <w:rsid w:val="64F40D2D"/>
    <w:rsid w:val="65322CBF"/>
    <w:rsid w:val="669A2BFE"/>
    <w:rsid w:val="678546B8"/>
    <w:rsid w:val="68857956"/>
    <w:rsid w:val="68CC52CB"/>
    <w:rsid w:val="68DE4FFE"/>
    <w:rsid w:val="69357A83"/>
    <w:rsid w:val="694B58D7"/>
    <w:rsid w:val="69CE4E15"/>
    <w:rsid w:val="6B7F3246"/>
    <w:rsid w:val="6BE36A8B"/>
    <w:rsid w:val="6C24079E"/>
    <w:rsid w:val="6D274D8E"/>
    <w:rsid w:val="6EA439DC"/>
    <w:rsid w:val="6EF07839"/>
    <w:rsid w:val="6F011AA1"/>
    <w:rsid w:val="6F63000B"/>
    <w:rsid w:val="70A71D89"/>
    <w:rsid w:val="71047A3C"/>
    <w:rsid w:val="71315C95"/>
    <w:rsid w:val="720B50E6"/>
    <w:rsid w:val="72B56DCF"/>
    <w:rsid w:val="73032EBB"/>
    <w:rsid w:val="740E0E09"/>
    <w:rsid w:val="75B570E6"/>
    <w:rsid w:val="76742FAD"/>
    <w:rsid w:val="77102783"/>
    <w:rsid w:val="780A1873"/>
    <w:rsid w:val="787D11B8"/>
    <w:rsid w:val="79237072"/>
    <w:rsid w:val="792C5912"/>
    <w:rsid w:val="7A1F66E8"/>
    <w:rsid w:val="7C541420"/>
    <w:rsid w:val="7DCA1CF4"/>
    <w:rsid w:val="7E8B30DA"/>
    <w:rsid w:val="7F1637F6"/>
    <w:rsid w:val="7FA92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ascii="Calibri" w:hAnsi="Calibri"/>
    </w:rPr>
  </w:style>
  <w:style w:type="paragraph" w:styleId="3">
    <w:name w:val="Body Text Indent"/>
    <w:basedOn w:val="1"/>
    <w:qFormat/>
    <w:uiPriority w:val="0"/>
    <w:pPr>
      <w:spacing w:after="120"/>
      <w:ind w:left="420" w:leftChars="200"/>
    </w:pPr>
  </w:style>
  <w:style w:type="paragraph" w:styleId="4">
    <w:name w:val="Body Text"/>
    <w:basedOn w:val="1"/>
    <w:next w:val="5"/>
    <w:qFormat/>
    <w:uiPriority w:val="0"/>
    <w:rPr>
      <w:rFonts w:ascii="Calibri" w:hAnsi="Calibri" w:eastAsia="宋体" w:cs="Times New Roman"/>
    </w:rPr>
  </w:style>
  <w:style w:type="paragraph" w:styleId="5">
    <w:name w:val="footer"/>
    <w:basedOn w:val="1"/>
    <w:next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w:basedOn w:val="4"/>
    <w:next w:val="5"/>
    <w:qFormat/>
    <w:uiPriority w:val="0"/>
    <w:pPr>
      <w:ind w:firstLine="420" w:firstLineChars="1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 w:type="character" w:customStyle="1" w:styleId="14">
    <w:name w:val="font21"/>
    <w:basedOn w:val="11"/>
    <w:uiPriority w:val="0"/>
    <w:rPr>
      <w:rFonts w:hint="eastAsia" w:ascii="宋体" w:hAnsi="宋体" w:eastAsia="宋体" w:cs="宋体"/>
      <w:color w:val="000000"/>
      <w:sz w:val="20"/>
      <w:szCs w:val="20"/>
      <w:u w:val="none"/>
    </w:rPr>
  </w:style>
  <w:style w:type="character" w:customStyle="1" w:styleId="15">
    <w:name w:val="font61"/>
    <w:basedOn w:val="11"/>
    <w:uiPriority w:val="0"/>
    <w:rPr>
      <w:rFonts w:ascii="Arial" w:hAnsi="Arial" w:cs="Arial"/>
      <w:color w:val="000000"/>
      <w:sz w:val="20"/>
      <w:szCs w:val="20"/>
      <w:u w:val="none"/>
    </w:rPr>
  </w:style>
  <w:style w:type="character" w:customStyle="1" w:styleId="16">
    <w:name w:val="font01"/>
    <w:basedOn w:val="11"/>
    <w:qFormat/>
    <w:uiPriority w:val="0"/>
    <w:rPr>
      <w:rFonts w:ascii="方正小标宋_GBK" w:hAnsi="方正小标宋_GBK" w:eastAsia="方正小标宋_GBK" w:cs="方正小标宋_GBK"/>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dcterms:modified xsi:type="dcterms:W3CDTF">2024-07-31T02:15:09Z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F1135AF04CAB4922A12CDBB3CEDC7265_13</vt:lpwstr>
  </property>
</Properties>
</file>