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中国共产党呼图壁县纪律检查委员会</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2024年单位</w:t>
      </w:r>
      <w:r>
        <w:rPr>
          <w:rFonts w:hint="eastAsia" w:ascii="方正小标宋_GBK" w:hAnsi="宋体" w:eastAsia="方正小标宋_GBK"/>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val="0"/>
        <w:wordWrap/>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widowControl w:val="0"/>
        <w:wordWrap/>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widowControl w:val="0"/>
        <w:wordWrap/>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w:t>
      </w:r>
      <w:r>
        <w:rPr>
          <w:rFonts w:hint="eastAsia" w:ascii="仿宋_GB2312" w:hAnsi="仿宋_GB2312" w:eastAsia="仿宋_GB2312" w:cs="仿宋_GB2312"/>
          <w:b/>
          <w:color w:val="auto"/>
          <w:kern w:val="0"/>
          <w:sz w:val="32"/>
          <w:szCs w:val="32"/>
          <w:highlight w:val="none"/>
          <w:lang w:val="en-US" w:eastAsia="zh-CN"/>
        </w:rPr>
        <w:t xml:space="preserve">  </w:t>
      </w:r>
      <w:r>
        <w:rPr>
          <w:rFonts w:hint="eastAsia" w:ascii="仿宋_GB2312" w:hAnsi="仿宋_GB2312" w:eastAsia="仿宋_GB2312" w:cs="仿宋_GB2312"/>
          <w:b/>
          <w:color w:val="auto"/>
          <w:kern w:val="0"/>
          <w:sz w:val="32"/>
          <w:szCs w:val="32"/>
          <w:highlight w:val="none"/>
        </w:rPr>
        <w:t>中国共产党呼图壁县纪律检查委员会</w:t>
      </w:r>
      <w:r>
        <w:rPr>
          <w:rFonts w:hint="eastAsia" w:ascii="仿宋_GB2312" w:hAnsi="仿宋_GB2312" w:eastAsia="仿宋_GB2312" w:cs="仿宋_GB2312"/>
          <w:b/>
          <w:color w:val="auto"/>
          <w:kern w:val="0"/>
          <w:sz w:val="32"/>
          <w:szCs w:val="32"/>
          <w:highlight w:val="none"/>
          <w:lang w:eastAsia="zh-CN"/>
        </w:rPr>
        <w:t>单位</w:t>
      </w:r>
      <w:r>
        <w:rPr>
          <w:rFonts w:hint="eastAsia" w:ascii="仿宋_GB2312" w:hAnsi="仿宋_GB2312" w:eastAsia="仿宋_GB2312" w:cs="仿宋_GB2312"/>
          <w:b/>
          <w:color w:val="auto"/>
          <w:kern w:val="0"/>
          <w:sz w:val="32"/>
          <w:szCs w:val="32"/>
          <w:highlight w:val="none"/>
        </w:rPr>
        <w:t>概况</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widowControl w:val="0"/>
        <w:wordWrap/>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w:t>
      </w:r>
      <w:r>
        <w:rPr>
          <w:rFonts w:hint="eastAsia" w:ascii="仿宋_GB2312" w:hAnsi="仿宋_GB2312" w:eastAsia="仿宋_GB2312" w:cs="仿宋_GB2312"/>
          <w:b/>
          <w:color w:val="auto"/>
          <w:kern w:val="0"/>
          <w:sz w:val="32"/>
          <w:szCs w:val="32"/>
          <w:highlight w:val="none"/>
          <w:lang w:val="en-US" w:eastAsia="zh-CN"/>
        </w:rPr>
        <w:t xml:space="preserve"> </w:t>
      </w:r>
      <w:r>
        <w:rPr>
          <w:rFonts w:hint="eastAsia" w:ascii="仿宋_GB2312" w:hAnsi="仿宋_GB2312" w:eastAsia="仿宋_GB2312" w:cs="仿宋_GB2312"/>
          <w:b/>
          <w:color w:val="auto"/>
          <w:kern w:val="0"/>
          <w:sz w:val="32"/>
          <w:szCs w:val="32"/>
          <w:highlight w:val="none"/>
          <w:lang w:eastAsia="zh-CN"/>
        </w:rPr>
        <w:t>中国共产党呼图壁县纪律检查委员会单位</w:t>
      </w:r>
      <w:r>
        <w:rPr>
          <w:rFonts w:hint="eastAsia" w:ascii="仿宋_GB2312" w:hAnsi="仿宋_GB2312" w:eastAsia="仿宋_GB2312" w:cs="仿宋_GB2312"/>
          <w:b/>
          <w:color w:val="auto"/>
          <w:kern w:val="0"/>
          <w:sz w:val="32"/>
          <w:szCs w:val="32"/>
          <w:highlight w:val="none"/>
        </w:rPr>
        <w:t>预算公开表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八</w:t>
      </w:r>
      <w:r>
        <w:rPr>
          <w:rFonts w:hint="eastAsia" w:ascii="仿宋_GB2312" w:hAnsi="仿宋_GB2312" w:eastAsia="仿宋_GB2312" w:cs="仿宋_GB2312"/>
          <w:color w:val="auto"/>
          <w:kern w:val="0"/>
          <w:sz w:val="32"/>
          <w:szCs w:val="32"/>
          <w:highlight w:val="none"/>
        </w:rPr>
        <w:t>、政府性基金预算支出情况表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九、</w:t>
      </w:r>
      <w:r>
        <w:rPr>
          <w:rFonts w:hint="eastAsia" w:ascii="仿宋_GB2312" w:hAnsi="仿宋_GB2312" w:eastAsia="仿宋_GB2312" w:cs="仿宋_GB2312"/>
          <w:color w:val="auto"/>
          <w:kern w:val="0"/>
          <w:sz w:val="32"/>
          <w:szCs w:val="32"/>
          <w:highlight w:val="none"/>
        </w:rPr>
        <w:t>国有资本经营预算支出情况表</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十、财政拨款“三公”经费支出情况表</w:t>
      </w:r>
    </w:p>
    <w:p>
      <w:pPr>
        <w:widowControl w:val="0"/>
        <w:wordWrap/>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rPr>
        <w:t>情况明细表</w:t>
      </w:r>
    </w:p>
    <w:p>
      <w:pPr>
        <w:widowControl w:val="0"/>
        <w:wordWrap/>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第三部分中国共产党呼图壁县纪律检查委员会</w:t>
      </w:r>
      <w:r>
        <w:rPr>
          <w:rFonts w:hint="eastAsia" w:ascii="仿宋_GB2312" w:hAnsi="仿宋_GB2312" w:eastAsia="仿宋_GB2312" w:cs="仿宋_GB2312"/>
          <w:b/>
          <w:color w:val="auto"/>
          <w:kern w:val="0"/>
          <w:sz w:val="32"/>
          <w:szCs w:val="32"/>
          <w:highlight w:val="none"/>
          <w:lang w:eastAsia="zh-CN"/>
        </w:rPr>
        <w:t>单位</w:t>
      </w:r>
      <w:r>
        <w:rPr>
          <w:rFonts w:hint="eastAsia" w:ascii="仿宋_GB2312" w:hAnsi="仿宋_GB2312" w:eastAsia="仿宋_GB2312" w:cs="仿宋_GB2312"/>
          <w:b/>
          <w:color w:val="auto"/>
          <w:kern w:val="0"/>
          <w:sz w:val="32"/>
          <w:szCs w:val="32"/>
          <w:highlight w:val="none"/>
        </w:rPr>
        <w:t>预算情况说明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收支预算情况的总体说明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收入预算情况说明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支出预算情况说明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中国共产党呼图壁县纪律检查委员会2024年</w:t>
      </w:r>
      <w:r>
        <w:rPr>
          <w:rFonts w:hint="eastAsia" w:ascii="仿宋_GB2312" w:hAnsi="仿宋_GB2312" w:eastAsia="仿宋_GB2312" w:cs="仿宋_GB2312"/>
          <w:bCs/>
          <w:color w:val="auto"/>
          <w:kern w:val="0"/>
          <w:sz w:val="32"/>
          <w:szCs w:val="32"/>
          <w:highlight w:val="none"/>
        </w:rPr>
        <w:t>财政拨款收支预算情况的总体说明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中国共产党呼图壁县纪律检查委员会2024年</w:t>
      </w:r>
      <w:r>
        <w:rPr>
          <w:rFonts w:hint="eastAsia" w:ascii="仿宋_GB2312" w:hAnsi="仿宋_GB2312" w:eastAsia="仿宋_GB2312" w:cs="仿宋_GB2312"/>
          <w:color w:val="auto"/>
          <w:spacing w:val="-6"/>
          <w:kern w:val="0"/>
          <w:sz w:val="32"/>
          <w:szCs w:val="32"/>
          <w:highlight w:val="none"/>
        </w:rPr>
        <w:t>一般公共预算当年拨款情况说明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中国共产党呼图壁县纪律检查委员会2024年</w:t>
      </w:r>
      <w:r>
        <w:rPr>
          <w:rFonts w:hint="eastAsia" w:ascii="仿宋_GB2312" w:hAnsi="仿宋_GB2312" w:eastAsia="仿宋_GB2312" w:cs="仿宋_GB2312"/>
          <w:color w:val="auto"/>
          <w:spacing w:val="-6"/>
          <w:kern w:val="0"/>
          <w:sz w:val="32"/>
          <w:szCs w:val="32"/>
          <w:highlight w:val="none"/>
        </w:rPr>
        <w:t>一般公共预算基本支出情况说明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中国共产党呼图壁县纪律检查委员会2024年</w:t>
      </w:r>
      <w:r>
        <w:rPr>
          <w:rFonts w:hint="eastAsia" w:ascii="仿宋_GB2312" w:hAnsi="仿宋_GB2312" w:eastAsia="仿宋_GB2312" w:cs="仿宋_GB2312"/>
          <w:color w:val="auto"/>
          <w:spacing w:val="-6"/>
          <w:kern w:val="0"/>
          <w:sz w:val="32"/>
          <w:szCs w:val="32"/>
          <w:highlight w:val="none"/>
        </w:rPr>
        <w:t>一般公共预算项目支出情况说明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政府性基金预算拨款情况说明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国有资本经营预算拨款情况说明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lang w:val="en-US"/>
        </w:rPr>
        <w:t>财政拨款</w:t>
      </w:r>
      <w:r>
        <w:rPr>
          <w:rFonts w:hint="eastAsia" w:ascii="仿宋_GB2312" w:hAnsi="仿宋_GB2312" w:eastAsia="仿宋_GB2312" w:cs="仿宋_GB2312"/>
          <w:color w:val="auto"/>
          <w:kern w:val="0"/>
          <w:sz w:val="32"/>
          <w:szCs w:val="32"/>
          <w:highlight w:val="none"/>
        </w:rPr>
        <w:t>“三公”经费预算情况说明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widowControl w:val="0"/>
        <w:wordWrap/>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widowControl w:val="0"/>
        <w:wordWrap/>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widowControl/>
        <w:wordWrap/>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中国共产党呼图壁县纪律检查委员会</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widowControl/>
        <w:wordWrap/>
        <w:adjustRightInd/>
        <w:snapToGrid/>
        <w:spacing w:beforeLines="0" w:line="540" w:lineRule="exact"/>
        <w:jc w:val="center"/>
        <w:textAlignment w:val="auto"/>
        <w:outlineLvl w:val="1"/>
        <w:rPr>
          <w:rFonts w:ascii="宋体" w:hAnsi="宋体"/>
          <w:b/>
          <w:color w:val="auto"/>
          <w:kern w:val="0"/>
          <w:sz w:val="32"/>
          <w:szCs w:val="32"/>
          <w:highlight w:val="none"/>
        </w:rPr>
      </w:pPr>
    </w:p>
    <w:p>
      <w:pPr>
        <w:widowControl/>
        <w:wordWrap/>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1.主管全县党的纪律检查工作。协助县委贯彻落实上级党委、纪委关于加强党风廉政建设的决定，维护党的章程和其他党内法规，检查党的路线、方针、政策和决议的执行情况。监督辖区内党委党组落实党风廉政建设主体责任，落实纪检监察机关监督责任。</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2.主管全县监察工作。负责贯彻中央、区、州、县有关监察工作的决定，对行使公权利的公职人员监督全覆盖。</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3.负责检查并处理党员干部违反党的章程和其他党内法规的案件，决定或取消对这些案件中党员的处分；受理党员的控告和申诉，必要时直接查处下级党的纪律检查组织管辖范围内的案件。</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4.负责调查处理行使公权利的公职人员违反国家政策、法律、法规以及违纪的行为，做出撤职及撤职以下的政务处分(对涉及选举产生的领导干部按法定程序办理)；受理对监察对象违反行政纪律行为的检举、控告，受理监察对象不服政务处分的申诉。</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5.监督检查关于作风建设规定执行情况；查处党风政风行风建设中损害群众利益的违纪违规问题。</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6.负责对全县党的纪律检查工作和监察工作的政策研究及有关问题的调查研究，参与起草全县党风廉政建设的有关政策规定。负责作出关于维护党纪、政纪的决定，制定党风党纪和廉政教育规划，会同有关部门、镇办做好党的纪检工作和监察工作的方针、政策和法律法规的宣传工作，对党员及国家工作人员进行遵纪守法、为政清廉的教育；表彰党风廉政建设成绩突出的先进单位和个人。</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7.负责权限纪检监察干部的管理工作；负责全县纪检监察系统组织建设和目标责任制及考核、奖惩工作；负责纪检监察干部监督工作，受理涉及纪检监察系统干部问题的来信来访，对违纪问题提出处理意见及建议；做好纪检监察干部考察、提名、任免、交流工作；组织和指导全县纪检监察干部的培训工作。</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8.承担县反腐败协调小组日常办公，组织、协调、督促各执纪执法机关依法依规履行各自职责。</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9.承办州纪委监委和县委交办的其他事项。</w:t>
      </w:r>
    </w:p>
    <w:p>
      <w:pPr>
        <w:widowControl/>
        <w:wordWrap/>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lang w:eastAsia="zh-CN"/>
        </w:rPr>
        <w:t>中国共产党呼图壁县纪律检查委员会</w:t>
      </w:r>
      <w:r>
        <w:rPr>
          <w:rFonts w:hint="eastAsia" w:ascii="仿宋_GB2312" w:hAnsi="仿宋_GB2312" w:eastAsia="仿宋_GB2312" w:cs="仿宋_GB2312"/>
          <w:sz w:val="32"/>
          <w:highlight w:val="none"/>
        </w:rPr>
        <w:t>无下属预算单位，下设12个处室，分别是：办公室、组织部、宣传部、党风政风监督室、信访室、案件监督管理室、第一纪检监察室、第二纪检监察室、第三纪检监察室、第四纪检监察室、案件审理室、纪检监察干部监督室；派驻纪检监察组6个、派出纪检监察工委1个。</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lang w:eastAsia="zh-CN"/>
        </w:rPr>
        <w:t>中国共产党呼图壁县纪律检查委员会</w:t>
      </w:r>
      <w:r>
        <w:rPr>
          <w:rFonts w:hint="eastAsia" w:ascii="仿宋_GB2312" w:hAnsi="仿宋_GB2312" w:eastAsia="仿宋_GB2312" w:cs="仿宋_GB2312"/>
          <w:sz w:val="32"/>
          <w:highlight w:val="none"/>
        </w:rPr>
        <w:t>编制数</w:t>
      </w:r>
      <w:r>
        <w:rPr>
          <w:rFonts w:hint="eastAsia" w:ascii="仿宋_GB2312" w:hAnsi="仿宋_GB2312" w:eastAsia="仿宋_GB2312" w:cs="仿宋_GB2312"/>
          <w:sz w:val="32"/>
          <w:highlight w:val="none"/>
          <w:lang w:val="en-US" w:eastAsia="zh-CN"/>
        </w:rPr>
        <w:t>132人</w:t>
      </w:r>
      <w:r>
        <w:rPr>
          <w:rFonts w:hint="eastAsia" w:ascii="仿宋_GB2312" w:hAnsi="仿宋_GB2312" w:eastAsia="仿宋_GB2312" w:cs="仿宋_GB2312"/>
          <w:sz w:val="32"/>
          <w:highlight w:val="none"/>
        </w:rPr>
        <w:t>，实有人数</w:t>
      </w:r>
      <w:r>
        <w:rPr>
          <w:rFonts w:hint="eastAsia" w:ascii="仿宋_GB2312" w:hAnsi="仿宋_GB2312" w:eastAsia="仿宋_GB2312" w:cs="仿宋_GB2312"/>
          <w:sz w:val="32"/>
          <w:highlight w:val="none"/>
          <w:lang w:val="en-US" w:eastAsia="zh-CN"/>
        </w:rPr>
        <w:t>132</w:t>
      </w:r>
      <w:r>
        <w:rPr>
          <w:rFonts w:hint="eastAsia" w:ascii="仿宋_GB2312" w:hAnsi="仿宋_GB2312" w:eastAsia="仿宋_GB2312" w:cs="仿宋_GB2312"/>
          <w:sz w:val="32"/>
          <w:highlight w:val="none"/>
        </w:rPr>
        <w:t>人，其中：在职人数</w:t>
      </w:r>
      <w:r>
        <w:rPr>
          <w:rFonts w:hint="eastAsia" w:ascii="仿宋_GB2312" w:hAnsi="仿宋_GB2312" w:eastAsia="仿宋_GB2312" w:cs="仿宋_GB2312"/>
          <w:sz w:val="32"/>
          <w:highlight w:val="none"/>
          <w:lang w:val="en-US" w:eastAsia="zh-CN"/>
        </w:rPr>
        <w:t>116</w:t>
      </w:r>
      <w:r>
        <w:rPr>
          <w:rFonts w:hint="eastAsia" w:ascii="仿宋_GB2312" w:hAnsi="仿宋_GB2312" w:eastAsia="仿宋_GB2312" w:cs="仿宋_GB2312"/>
          <w:sz w:val="32"/>
          <w:highlight w:val="none"/>
        </w:rPr>
        <w:t>人，</w:t>
      </w:r>
      <w:r>
        <w:rPr>
          <w:rFonts w:hint="eastAsia" w:ascii="仿宋_GB2312" w:hAnsi="仿宋_GB2312" w:eastAsia="仿宋_GB2312" w:cs="仿宋_GB2312"/>
          <w:sz w:val="32"/>
          <w:highlight w:val="none"/>
          <w:lang w:val="en-US" w:eastAsia="zh-CN"/>
        </w:rPr>
        <w:t>减少8人</w:t>
      </w:r>
      <w:r>
        <w:rPr>
          <w:rFonts w:hint="eastAsia" w:ascii="仿宋_GB2312" w:hAnsi="仿宋_GB2312" w:eastAsia="仿宋_GB2312" w:cs="仿宋_GB2312"/>
          <w:sz w:val="32"/>
          <w:highlight w:val="none"/>
        </w:rPr>
        <w:t>；退休</w:t>
      </w:r>
      <w:r>
        <w:rPr>
          <w:rFonts w:hint="eastAsia" w:ascii="仿宋_GB2312" w:hAnsi="仿宋_GB2312" w:eastAsia="仿宋_GB2312" w:cs="仿宋_GB2312"/>
          <w:sz w:val="32"/>
          <w:highlight w:val="none"/>
          <w:lang w:val="en-US" w:eastAsia="zh-CN"/>
        </w:rPr>
        <w:t>16</w:t>
      </w:r>
      <w:r>
        <w:rPr>
          <w:rFonts w:hint="eastAsia" w:ascii="仿宋_GB2312" w:hAnsi="仿宋_GB2312" w:eastAsia="仿宋_GB2312" w:cs="仿宋_GB2312"/>
          <w:sz w:val="32"/>
          <w:highlight w:val="none"/>
        </w:rPr>
        <w:t>人，增加</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rPr>
        <w:t>人；离休0人</w:t>
      </w:r>
      <w:r>
        <w:rPr>
          <w:rFonts w:hint="eastAsia" w:ascii="仿宋_GB2312" w:hAnsi="仿宋_GB2312" w:eastAsia="仿宋_GB2312" w:cs="仿宋_GB2312"/>
          <w:sz w:val="32"/>
          <w:highlight w:val="none"/>
          <w:lang w:eastAsia="zh-CN"/>
        </w:rPr>
        <w:t>，增加</w:t>
      </w:r>
      <w:r>
        <w:rPr>
          <w:rFonts w:hint="eastAsia" w:ascii="仿宋_GB2312" w:hAnsi="仿宋_GB2312" w:eastAsia="仿宋_GB2312" w:cs="仿宋_GB2312"/>
          <w:sz w:val="32"/>
          <w:highlight w:val="none"/>
          <w:lang w:val="en-US" w:eastAsia="zh-CN"/>
        </w:rPr>
        <w:t>0人</w:t>
      </w:r>
      <w:r>
        <w:rPr>
          <w:rFonts w:hint="eastAsia" w:ascii="仿宋_GB2312" w:hAnsi="仿宋_GB2312" w:eastAsia="仿宋_GB2312" w:cs="仿宋_GB2312"/>
          <w:sz w:val="32"/>
          <w:highlight w:val="none"/>
        </w:rPr>
        <w:t>。</w:t>
      </w:r>
    </w:p>
    <w:p>
      <w:pPr>
        <w:widowControl/>
        <w:wordWrap/>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pPr>
        <w:widowControl/>
        <w:wordWrap/>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pPr>
        <w:widowControl/>
        <w:wordWrap/>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 中国共产党呼图壁县纪律检查委员会预算公开表</w:t>
      </w:r>
    </w:p>
    <w:p>
      <w:pPr>
        <w:widowControl/>
        <w:wordWrap/>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表1</w:t>
      </w:r>
    </w:p>
    <w:p>
      <w:pPr>
        <w:widowControl/>
        <w:wordWrap/>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86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00"/>
        <w:gridCol w:w="1426"/>
        <w:gridCol w:w="2552"/>
        <w:gridCol w:w="1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426"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236"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42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55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68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426" w:type="dxa"/>
            <w:tcBorders>
              <w:top w:val="nil"/>
              <w:left w:val="nil"/>
              <w:bottom w:val="single" w:color="auto" w:sz="4" w:space="0"/>
              <w:right w:val="single" w:color="auto" w:sz="4" w:space="0"/>
            </w:tcBorders>
            <w:vAlign w:val="center"/>
          </w:tcPr>
          <w:p>
            <w:pPr>
              <w:widowControl/>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iCs w:val="0"/>
                <w:color w:val="000000"/>
                <w:kern w:val="0"/>
                <w:sz w:val="22"/>
                <w:szCs w:val="22"/>
                <w:highlight w:val="none"/>
                <w:u w:val="none"/>
                <w:lang w:val="en-US" w:eastAsia="zh-CN"/>
              </w:rPr>
              <w:t>3284.0</w:t>
            </w:r>
            <w:r>
              <w:rPr>
                <w:rFonts w:hint="eastAsia" w:ascii="宋体" w:hAnsi="宋体" w:cs="宋体"/>
                <w:i w:val="0"/>
                <w:iCs w:val="0"/>
                <w:color w:val="000000"/>
                <w:kern w:val="0"/>
                <w:sz w:val="22"/>
                <w:szCs w:val="22"/>
                <w:highlight w:val="none"/>
                <w:u w:val="none"/>
                <w:lang w:val="en-US" w:eastAsia="zh-CN"/>
              </w:rPr>
              <w:t>4</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684" w:type="dxa"/>
            <w:tcBorders>
              <w:top w:val="nil"/>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1939.</w:t>
            </w:r>
            <w:r>
              <w:rPr>
                <w:rFonts w:hint="eastAsia" w:ascii="宋体" w:hAnsi="宋体" w:cs="宋体"/>
                <w:i w:val="0"/>
                <w:iCs w:val="0"/>
                <w:color w:val="000000"/>
                <w:kern w:val="0"/>
                <w:sz w:val="22"/>
                <w:szCs w:val="22"/>
                <w:highlight w:val="none"/>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426" w:type="dxa"/>
            <w:tcBorders>
              <w:top w:val="nil"/>
              <w:left w:val="nil"/>
              <w:bottom w:val="single" w:color="auto" w:sz="4" w:space="0"/>
              <w:right w:val="single" w:color="auto" w:sz="4" w:space="0"/>
            </w:tcBorders>
            <w:vAlign w:val="center"/>
          </w:tcPr>
          <w:p>
            <w:pPr>
              <w:widowControl/>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iCs w:val="0"/>
                <w:color w:val="000000"/>
                <w:kern w:val="0"/>
                <w:sz w:val="22"/>
                <w:szCs w:val="22"/>
                <w:highlight w:val="none"/>
                <w:u w:val="none"/>
                <w:lang w:val="en-US" w:eastAsia="zh-CN"/>
              </w:rPr>
              <w:t>2257.44</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42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42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42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42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42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42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684" w:type="dxa"/>
            <w:tcBorders>
              <w:top w:val="nil"/>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534.7</w:t>
            </w:r>
            <w:r>
              <w:rPr>
                <w:rFonts w:hint="eastAsia" w:ascii="宋体" w:hAnsi="宋体" w:cs="宋体"/>
                <w:i w:val="0"/>
                <w:iCs w:val="0"/>
                <w:color w:val="000000"/>
                <w:kern w:val="0"/>
                <w:sz w:val="22"/>
                <w:szCs w:val="22"/>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7"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52"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684" w:type="dxa"/>
            <w:tcBorders>
              <w:top w:val="nil"/>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289.0</w:t>
            </w:r>
            <w:r>
              <w:rPr>
                <w:rFonts w:hint="eastAsia" w:ascii="宋体" w:hAnsi="宋体" w:cs="宋体"/>
                <w:i w:val="0"/>
                <w:iCs w:val="0"/>
                <w:color w:val="000000"/>
                <w:kern w:val="0"/>
                <w:sz w:val="22"/>
                <w:szCs w:val="22"/>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426"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1026.</w:t>
            </w:r>
            <w:r>
              <w:rPr>
                <w:rFonts w:hint="eastAsia" w:ascii="宋体" w:hAnsi="宋体" w:cs="宋体"/>
                <w:i w:val="0"/>
                <w:iCs w:val="0"/>
                <w:color w:val="000000"/>
                <w:kern w:val="0"/>
                <w:sz w:val="22"/>
                <w:szCs w:val="22"/>
                <w:highlight w:val="none"/>
                <w:u w:val="none"/>
                <w:lang w:val="en-US" w:eastAsia="zh-CN"/>
              </w:rPr>
              <w:t>6</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rPr>
              <w:t>工业</w:t>
            </w:r>
            <w:r>
              <w:rPr>
                <w:rFonts w:hint="eastAsia" w:ascii="仿宋_GB2312" w:hAnsi="宋体" w:eastAsia="仿宋_GB2312" w:cs="宋体"/>
                <w:color w:val="auto"/>
                <w:kern w:val="0"/>
                <w:sz w:val="18"/>
                <w:szCs w:val="18"/>
                <w:highlight w:val="none"/>
              </w:rPr>
              <w:t>信息等支出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426"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1026.</w:t>
            </w:r>
            <w:r>
              <w:rPr>
                <w:rFonts w:hint="eastAsia" w:ascii="宋体" w:hAnsi="宋体" w:cs="宋体"/>
                <w:i w:val="0"/>
                <w:iCs w:val="0"/>
                <w:color w:val="000000"/>
                <w:kern w:val="0"/>
                <w:sz w:val="22"/>
                <w:szCs w:val="22"/>
                <w:highlight w:val="none"/>
                <w:u w:val="none"/>
                <w:lang w:val="en-US" w:eastAsia="zh-CN"/>
              </w:rPr>
              <w:t>6</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684" w:type="dxa"/>
            <w:tcBorders>
              <w:top w:val="nil"/>
              <w:left w:val="single" w:color="auto" w:sz="4" w:space="0"/>
              <w:bottom w:val="single" w:color="auto" w:sz="4" w:space="0"/>
              <w:right w:val="single" w:color="auto" w:sz="4" w:space="0"/>
            </w:tcBorders>
            <w:vAlign w:val="center"/>
          </w:tcPr>
          <w:p>
            <w:pPr>
              <w:widowControl/>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520.</w:t>
            </w:r>
            <w:r>
              <w:rPr>
                <w:rFonts w:hint="eastAsia" w:ascii="宋体" w:hAnsi="宋体" w:cs="宋体"/>
                <w:i w:val="0"/>
                <w:iCs w:val="0"/>
                <w:color w:val="000000"/>
                <w:kern w:val="0"/>
                <w:sz w:val="22"/>
                <w:szCs w:val="22"/>
                <w:highlight w:val="none"/>
                <w:u w:val="none"/>
                <w:lang w:val="en-US" w:eastAsia="zh-CN"/>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52"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52"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6"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52"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2"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68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42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552"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68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3000"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42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52"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rPr>
            </w:pPr>
          </w:p>
        </w:tc>
        <w:tc>
          <w:tcPr>
            <w:tcW w:w="168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5" w:hRule="atLeast"/>
        </w:trPr>
        <w:tc>
          <w:tcPr>
            <w:tcW w:w="3000"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426" w:type="dxa"/>
            <w:tcBorders>
              <w:top w:val="nil"/>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3284.0</w:t>
            </w:r>
            <w:r>
              <w:rPr>
                <w:rFonts w:hint="eastAsia" w:ascii="宋体" w:hAnsi="宋体" w:cs="宋体"/>
                <w:i w:val="0"/>
                <w:iCs w:val="0"/>
                <w:color w:val="000000"/>
                <w:kern w:val="0"/>
                <w:sz w:val="22"/>
                <w:szCs w:val="22"/>
                <w:highlight w:val="none"/>
                <w:u w:val="none"/>
                <w:lang w:val="en-US" w:eastAsia="zh-CN"/>
              </w:rPr>
              <w:t>4</w:t>
            </w:r>
          </w:p>
        </w:tc>
        <w:tc>
          <w:tcPr>
            <w:tcW w:w="2552"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684" w:type="dxa"/>
            <w:tcBorders>
              <w:top w:val="nil"/>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3284.0</w:t>
            </w:r>
            <w:r>
              <w:rPr>
                <w:rFonts w:hint="eastAsia" w:ascii="宋体" w:hAnsi="宋体" w:cs="宋体"/>
                <w:i w:val="0"/>
                <w:iCs w:val="0"/>
                <w:color w:val="000000"/>
                <w:kern w:val="0"/>
                <w:sz w:val="22"/>
                <w:szCs w:val="22"/>
                <w:highlight w:val="none"/>
                <w:u w:val="none"/>
                <w:lang w:val="en-US" w:eastAsia="zh-CN"/>
              </w:rPr>
              <w:t>4</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表2</w:t>
      </w:r>
    </w:p>
    <w:p>
      <w:pPr>
        <w:widowControl/>
        <w:wordWrap/>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pPr>
        <w:widowControl/>
        <w:wordWrap/>
        <w:adjustRightInd/>
        <w:snapToGrid/>
        <w:spacing w:line="440" w:lineRule="exact"/>
        <w:jc w:val="center"/>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7"/>
        <w:gridCol w:w="417"/>
        <w:gridCol w:w="417"/>
        <w:gridCol w:w="1014"/>
        <w:gridCol w:w="953"/>
        <w:gridCol w:w="457"/>
        <w:gridCol w:w="1024"/>
        <w:gridCol w:w="375"/>
        <w:gridCol w:w="312"/>
        <w:gridCol w:w="643"/>
        <w:gridCol w:w="631"/>
        <w:gridCol w:w="779"/>
        <w:gridCol w:w="583"/>
        <w:gridCol w:w="952"/>
        <w:gridCol w:w="375"/>
        <w:gridCol w:w="3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1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5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221"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5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1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417"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项</w:t>
            </w:r>
          </w:p>
        </w:tc>
        <w:tc>
          <w:tcPr>
            <w:tcW w:w="101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5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5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2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1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5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1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201</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kern w:val="2"/>
                <w:sz w:val="20"/>
                <w:szCs w:val="20"/>
                <w:highlight w:val="none"/>
                <w:lang w:val="en-US" w:eastAsia="zh-CN" w:bidi="ar-SA"/>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textAlignment w:val="top"/>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shd w:val="clear" w:color="auto" w:fill="auto"/>
            <w:vAlign w:val="center"/>
          </w:tcPr>
          <w:p>
            <w:pPr>
              <w:widowControl/>
              <w:jc w:val="center"/>
              <w:textAlignment w:val="top"/>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i w:val="0"/>
                <w:color w:val="000000"/>
                <w:kern w:val="0"/>
                <w:sz w:val="18"/>
                <w:szCs w:val="18"/>
                <w:highlight w:val="none"/>
                <w:u w:val="none"/>
                <w:lang w:val="en-US" w:eastAsia="zh-CN"/>
              </w:rPr>
              <w:t>一般公共服务支出</w:t>
            </w:r>
          </w:p>
        </w:tc>
        <w:tc>
          <w:tcPr>
            <w:tcW w:w="953"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lang w:val="en-US"/>
              </w:rPr>
            </w:pPr>
            <w:r>
              <w:rPr>
                <w:rFonts w:hint="default" w:ascii="Times New Roman" w:hAnsi="Times New Roman" w:eastAsia="宋体" w:cs="Times New Roman"/>
                <w:i w:val="0"/>
                <w:iCs w:val="0"/>
                <w:color w:val="000000"/>
                <w:kern w:val="0"/>
                <w:sz w:val="21"/>
                <w:szCs w:val="21"/>
                <w:highlight w:val="none"/>
                <w:u w:val="none"/>
                <w:lang w:val="en-US" w:eastAsia="zh-CN"/>
              </w:rPr>
              <w:t>1939.</w:t>
            </w:r>
            <w:r>
              <w:rPr>
                <w:rFonts w:hint="default" w:ascii="Times New Roman" w:hAnsi="Times New Roman" w:cs="Times New Roman"/>
                <w:i w:val="0"/>
                <w:iCs w:val="0"/>
                <w:color w:val="000000"/>
                <w:kern w:val="0"/>
                <w:sz w:val="21"/>
                <w:szCs w:val="21"/>
                <w:highlight w:val="none"/>
                <w:u w:val="none"/>
                <w:lang w:val="en-US" w:eastAsia="zh-CN"/>
              </w:rPr>
              <w:t>90</w:t>
            </w:r>
          </w:p>
        </w:tc>
        <w:tc>
          <w:tcPr>
            <w:tcW w:w="457"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1024" w:type="dxa"/>
            <w:tcBorders>
              <w:top w:val="nil"/>
              <w:left w:val="nil"/>
              <w:bottom w:val="single" w:color="auto" w:sz="4" w:space="0"/>
              <w:right w:val="single" w:color="auto" w:sz="4" w:space="0"/>
            </w:tcBorders>
            <w:shd w:val="clear" w:color="000000" w:fill="FFFFFF"/>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1781.6</w:t>
            </w:r>
            <w:r>
              <w:rPr>
                <w:rFonts w:hint="default" w:ascii="Times New Roman" w:hAnsi="Times New Roman" w:cs="Times New Roman"/>
                <w:i w:val="0"/>
                <w:iCs w:val="0"/>
                <w:color w:val="000000"/>
                <w:kern w:val="0"/>
                <w:sz w:val="21"/>
                <w:szCs w:val="21"/>
                <w:highlight w:val="none"/>
                <w:u w:val="none"/>
                <w:lang w:val="en-US" w:eastAsia="zh-CN"/>
              </w:rPr>
              <w:t>7</w:t>
            </w:r>
          </w:p>
        </w:tc>
        <w:tc>
          <w:tcPr>
            <w:tcW w:w="375"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eastAsia="仿宋" w:cs="Times New Roman"/>
                <w:color w:val="auto"/>
                <w:sz w:val="21"/>
                <w:szCs w:val="21"/>
                <w:highlight w:val="none"/>
                <w:lang w:val="en-US" w:eastAsia="zh-CN"/>
              </w:rPr>
            </w:pPr>
            <w:r>
              <w:rPr>
                <w:rFonts w:hint="default" w:ascii="Times New Roman" w:hAnsi="Times New Roman" w:eastAsia="仿宋" w:cs="Times New Roman"/>
                <w:color w:val="auto"/>
                <w:sz w:val="21"/>
                <w:szCs w:val="21"/>
                <w:highlight w:val="none"/>
                <w:lang w:val="en-US" w:eastAsia="zh-CN"/>
              </w:rPr>
              <w:t>158.23</w:t>
            </w:r>
          </w:p>
        </w:tc>
        <w:tc>
          <w:tcPr>
            <w:tcW w:w="375"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jc w:val="center"/>
              <w:textAlignment w:val="top"/>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widowControl/>
              <w:jc w:val="center"/>
              <w:textAlignment w:val="top"/>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i w:val="0"/>
                <w:color w:val="000000"/>
                <w:kern w:val="0"/>
                <w:sz w:val="18"/>
                <w:szCs w:val="18"/>
                <w:highlight w:val="none"/>
                <w:u w:val="none"/>
                <w:lang w:val="en-US" w:eastAsia="zh-CN"/>
              </w:rPr>
              <w:t>纪检监察事务</w:t>
            </w:r>
          </w:p>
        </w:tc>
        <w:tc>
          <w:tcPr>
            <w:tcW w:w="953"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1939.</w:t>
            </w:r>
            <w:r>
              <w:rPr>
                <w:rFonts w:hint="default" w:ascii="Times New Roman" w:hAnsi="Times New Roman" w:cs="Times New Roman"/>
                <w:i w:val="0"/>
                <w:iCs w:val="0"/>
                <w:color w:val="000000"/>
                <w:kern w:val="0"/>
                <w:sz w:val="21"/>
                <w:szCs w:val="21"/>
                <w:highlight w:val="none"/>
                <w:u w:val="none"/>
                <w:lang w:val="en-US" w:eastAsia="zh-CN"/>
              </w:rPr>
              <w:t>90</w:t>
            </w:r>
          </w:p>
        </w:tc>
        <w:tc>
          <w:tcPr>
            <w:tcW w:w="457"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1781.6</w:t>
            </w:r>
            <w:r>
              <w:rPr>
                <w:rFonts w:hint="default" w:ascii="Times New Roman" w:hAnsi="Times New Roman" w:cs="Times New Roman"/>
                <w:i w:val="0"/>
                <w:iCs w:val="0"/>
                <w:color w:val="000000"/>
                <w:kern w:val="0"/>
                <w:sz w:val="21"/>
                <w:szCs w:val="21"/>
                <w:highlight w:val="none"/>
                <w:u w:val="none"/>
                <w:lang w:val="en-US" w:eastAsia="zh-CN"/>
              </w:rPr>
              <w:t>7</w:t>
            </w:r>
          </w:p>
        </w:tc>
        <w:tc>
          <w:tcPr>
            <w:tcW w:w="375"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312"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643"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631"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779"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583"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952"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color w:val="auto"/>
                <w:sz w:val="21"/>
                <w:szCs w:val="21"/>
                <w:highlight w:val="none"/>
                <w:lang w:val="en-US" w:eastAsia="zh-CN"/>
              </w:rPr>
              <w:t>158.23</w:t>
            </w:r>
          </w:p>
        </w:tc>
        <w:tc>
          <w:tcPr>
            <w:tcW w:w="375"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311"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9"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01</w:t>
            </w:r>
          </w:p>
        </w:tc>
        <w:tc>
          <w:tcPr>
            <w:tcW w:w="1014" w:type="dxa"/>
            <w:tcBorders>
              <w:top w:val="nil"/>
              <w:left w:val="nil"/>
              <w:bottom w:val="single" w:color="auto" w:sz="4" w:space="0"/>
              <w:right w:val="single" w:color="auto" w:sz="4" w:space="0"/>
            </w:tcBorders>
            <w:vAlign w:val="center"/>
          </w:tcPr>
          <w:p>
            <w:pPr>
              <w:widowControl/>
              <w:jc w:val="center"/>
              <w:textAlignment w:val="top"/>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i w:val="0"/>
                <w:color w:val="000000"/>
                <w:kern w:val="0"/>
                <w:sz w:val="18"/>
                <w:szCs w:val="18"/>
                <w:highlight w:val="none"/>
                <w:u w:val="none"/>
                <w:lang w:val="en-US" w:eastAsia="zh-CN"/>
              </w:rPr>
              <w:t>行政运行</w:t>
            </w:r>
          </w:p>
        </w:tc>
        <w:tc>
          <w:tcPr>
            <w:tcW w:w="953"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1939.</w:t>
            </w:r>
            <w:r>
              <w:rPr>
                <w:rFonts w:hint="default" w:ascii="Times New Roman" w:hAnsi="Times New Roman" w:cs="Times New Roman"/>
                <w:i w:val="0"/>
                <w:iCs w:val="0"/>
                <w:color w:val="000000"/>
                <w:kern w:val="0"/>
                <w:sz w:val="21"/>
                <w:szCs w:val="21"/>
                <w:highlight w:val="none"/>
                <w:u w:val="none"/>
                <w:lang w:val="en-US" w:eastAsia="zh-CN"/>
              </w:rPr>
              <w:t>9</w:t>
            </w:r>
          </w:p>
        </w:tc>
        <w:tc>
          <w:tcPr>
            <w:tcW w:w="457"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1781.6</w:t>
            </w:r>
            <w:r>
              <w:rPr>
                <w:rFonts w:hint="default" w:ascii="Times New Roman" w:hAnsi="Times New Roman" w:cs="Times New Roman"/>
                <w:i w:val="0"/>
                <w:iCs w:val="0"/>
                <w:color w:val="000000"/>
                <w:kern w:val="0"/>
                <w:sz w:val="21"/>
                <w:szCs w:val="21"/>
                <w:highlight w:val="none"/>
                <w:u w:val="none"/>
                <w:lang w:val="en-US" w:eastAsia="zh-CN"/>
              </w:rPr>
              <w:t>7</w:t>
            </w:r>
          </w:p>
        </w:tc>
        <w:tc>
          <w:tcPr>
            <w:tcW w:w="375"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312"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643"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631"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779"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583"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952"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color w:val="auto"/>
                <w:sz w:val="21"/>
                <w:szCs w:val="21"/>
                <w:highlight w:val="none"/>
                <w:lang w:val="en-US" w:eastAsia="zh-CN"/>
              </w:rPr>
              <w:t>158.23</w:t>
            </w:r>
          </w:p>
        </w:tc>
        <w:tc>
          <w:tcPr>
            <w:tcW w:w="375"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c>
          <w:tcPr>
            <w:tcW w:w="311" w:type="dxa"/>
            <w:tcBorders>
              <w:top w:val="nil"/>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color w:val="auto"/>
                <w:kern w:val="2"/>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3"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eastAsia="zh-CN"/>
              </w:rPr>
              <w:t>社会保障和就业支出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534.7</w:t>
            </w:r>
            <w:r>
              <w:rPr>
                <w:rFonts w:hint="default" w:ascii="Times New Roman" w:hAnsi="Times New Roman" w:cs="Times New Roman"/>
                <w:i w:val="0"/>
                <w:iCs w:val="0"/>
                <w:color w:val="000000"/>
                <w:kern w:val="0"/>
                <w:sz w:val="21"/>
                <w:szCs w:val="21"/>
                <w:highlight w:val="none"/>
                <w:u w:val="none"/>
                <w:lang w:val="en-US" w:eastAsia="zh-CN"/>
              </w:rPr>
              <w:t>3</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 w:cs="Times New Roman"/>
                <w:i w:val="0"/>
                <w:iCs w:val="0"/>
                <w:color w:val="000000"/>
                <w:kern w:val="2"/>
                <w:sz w:val="21"/>
                <w:szCs w:val="21"/>
                <w:highlight w:val="none"/>
                <w:u w:val="none"/>
                <w:lang w:val="en-US" w:eastAsia="zh-CN" w:bidi="ar-SA"/>
              </w:rPr>
            </w:pPr>
            <w:r>
              <w:rPr>
                <w:rFonts w:hint="default" w:ascii="Times New Roman" w:hAnsi="Times New Roman" w:eastAsia="仿宋" w:cs="Times New Roman"/>
                <w:i w:val="0"/>
                <w:iCs w:val="0"/>
                <w:color w:val="000000"/>
                <w:kern w:val="0"/>
                <w:sz w:val="21"/>
                <w:szCs w:val="21"/>
                <w:highlight w:val="none"/>
                <w:u w:val="none"/>
                <w:lang w:val="en-US" w:eastAsia="zh-CN"/>
              </w:rPr>
              <w:t>334.19</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行政事业单位养老支出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516.8</w:t>
            </w:r>
            <w:r>
              <w:rPr>
                <w:rFonts w:hint="default" w:ascii="Times New Roman" w:hAnsi="Times New Roman" w:cs="Times New Roman"/>
                <w:i w:val="0"/>
                <w:iCs w:val="0"/>
                <w:color w:val="000000"/>
                <w:kern w:val="0"/>
                <w:sz w:val="21"/>
                <w:szCs w:val="21"/>
                <w:highlight w:val="none"/>
                <w:u w:val="none"/>
                <w:lang w:val="en-US" w:eastAsia="zh-CN"/>
              </w:rPr>
              <w:t>9</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 w:cs="Times New Roman"/>
                <w:i w:val="0"/>
                <w:iCs w:val="0"/>
                <w:color w:val="000000"/>
                <w:kern w:val="2"/>
                <w:sz w:val="21"/>
                <w:szCs w:val="21"/>
                <w:highlight w:val="none"/>
                <w:u w:val="none"/>
                <w:lang w:val="en-US" w:eastAsia="zh-CN" w:bidi="ar-SA"/>
              </w:rPr>
            </w:pPr>
            <w:r>
              <w:rPr>
                <w:rFonts w:hint="default" w:ascii="Times New Roman" w:hAnsi="Times New Roman" w:eastAsia="仿宋" w:cs="Times New Roman"/>
                <w:i w:val="0"/>
                <w:iCs w:val="0"/>
                <w:color w:val="000000"/>
                <w:kern w:val="0"/>
                <w:sz w:val="21"/>
                <w:szCs w:val="21"/>
                <w:highlight w:val="none"/>
                <w:u w:val="none"/>
                <w:lang w:val="en-US" w:eastAsia="zh-CN"/>
              </w:rPr>
              <w:t>316.35</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01</w:t>
            </w:r>
          </w:p>
        </w:tc>
        <w:tc>
          <w:tcPr>
            <w:tcW w:w="101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rPr>
            </w:pPr>
            <w:r>
              <w:rPr>
                <w:rFonts w:hint="eastAsia" w:ascii="仿宋_GB2312" w:eastAsia="仿宋_GB2312"/>
                <w:color w:val="000000"/>
                <w:sz w:val="18"/>
                <w:szCs w:val="18"/>
                <w:highlight w:val="none"/>
              </w:rPr>
              <w:t>行政单位离退休</w:t>
            </w:r>
          </w:p>
        </w:tc>
        <w:tc>
          <w:tcPr>
            <w:tcW w:w="95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5.3</w:t>
            </w:r>
            <w:r>
              <w:rPr>
                <w:rFonts w:hint="default" w:ascii="Times New Roman" w:hAnsi="Times New Roman" w:cs="Times New Roman"/>
                <w:i w:val="0"/>
                <w:iCs w:val="0"/>
                <w:color w:val="000000"/>
                <w:kern w:val="0"/>
                <w:sz w:val="21"/>
                <w:szCs w:val="21"/>
                <w:highlight w:val="none"/>
                <w:u w:val="none"/>
                <w:lang w:val="en-US" w:eastAsia="zh-CN"/>
              </w:rPr>
              <w:t>8</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5.38</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auto"/>
                <w:sz w:val="21"/>
                <w:szCs w:val="21"/>
                <w:highlight w:val="none"/>
              </w:rPr>
            </w:pP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101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rPr>
            </w:pPr>
            <w:r>
              <w:rPr>
                <w:rFonts w:hint="eastAsia" w:ascii="仿宋_GB2312" w:eastAsia="仿宋_GB2312"/>
                <w:color w:val="000000"/>
                <w:sz w:val="18"/>
                <w:szCs w:val="18"/>
                <w:highlight w:val="none"/>
              </w:rPr>
              <w:t>事业单位离退休</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8.25</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8.25</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auto"/>
                <w:sz w:val="21"/>
                <w:szCs w:val="21"/>
                <w:highlight w:val="none"/>
              </w:rPr>
            </w:pP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05</w:t>
            </w: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18"/>
                <w:szCs w:val="18"/>
                <w:highlight w:val="none"/>
              </w:rPr>
              <w:t>机关事业单位基本养老保险缴费支出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456.11</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186.91</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 w:cs="Times New Roman"/>
                <w:i w:val="0"/>
                <w:iCs w:val="0"/>
                <w:color w:val="000000"/>
                <w:kern w:val="2"/>
                <w:sz w:val="21"/>
                <w:szCs w:val="21"/>
                <w:highlight w:val="none"/>
                <w:u w:val="none"/>
                <w:lang w:val="en-US" w:eastAsia="zh-CN" w:bidi="ar-SA"/>
              </w:rPr>
            </w:pPr>
            <w:r>
              <w:rPr>
                <w:rFonts w:hint="default" w:ascii="Times New Roman" w:hAnsi="Times New Roman" w:eastAsia="仿宋" w:cs="Times New Roman"/>
                <w:i w:val="0"/>
                <w:iCs w:val="0"/>
                <w:color w:val="000000"/>
                <w:kern w:val="0"/>
                <w:sz w:val="21"/>
                <w:szCs w:val="21"/>
                <w:highlight w:val="none"/>
                <w:u w:val="none"/>
                <w:lang w:val="en-US" w:eastAsia="zh-CN"/>
              </w:rPr>
              <w:t>269.2</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06</w:t>
            </w:r>
          </w:p>
        </w:tc>
        <w:tc>
          <w:tcPr>
            <w:tcW w:w="1014"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18"/>
                <w:szCs w:val="18"/>
                <w:highlight w:val="none"/>
              </w:rPr>
              <w:t>机关事业单位职业年金缴费支出</w:t>
            </w:r>
          </w:p>
        </w:tc>
        <w:tc>
          <w:tcPr>
            <w:tcW w:w="95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47.15</w:t>
            </w:r>
          </w:p>
        </w:tc>
        <w:tc>
          <w:tcPr>
            <w:tcW w:w="457"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i w:val="0"/>
                <w:iCs w:val="0"/>
                <w:color w:val="000000"/>
                <w:kern w:val="0"/>
                <w:sz w:val="21"/>
                <w:szCs w:val="21"/>
                <w:highlight w:val="none"/>
                <w:u w:val="none"/>
                <w:lang w:val="en-US" w:eastAsia="zh-CN"/>
              </w:rPr>
              <w:t>47.15</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99</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highlight w:val="none"/>
              </w:rPr>
            </w:pPr>
            <w:r>
              <w:rPr>
                <w:rFonts w:hint="eastAsia" w:ascii="仿宋_GB2312" w:eastAsia="仿宋_GB2312"/>
                <w:color w:val="000000"/>
                <w:sz w:val="20"/>
                <w:szCs w:val="20"/>
                <w:highlight w:val="none"/>
              </w:rPr>
              <w:t>其他社会保障和就业支出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17.84</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17.84</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99</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99</w:t>
            </w:r>
          </w:p>
        </w:tc>
        <w:tc>
          <w:tcPr>
            <w:tcW w:w="101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highlight w:val="none"/>
              </w:rPr>
            </w:pPr>
            <w:r>
              <w:rPr>
                <w:rFonts w:hint="eastAsia" w:ascii="仿宋_GB2312" w:eastAsia="仿宋_GB2312"/>
                <w:color w:val="000000"/>
                <w:sz w:val="20"/>
                <w:szCs w:val="20"/>
                <w:highlight w:val="none"/>
              </w:rPr>
              <w:t>其他社会保障和就业支出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17.84</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17.84</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卫生健康支出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289.0</w:t>
            </w:r>
            <w:r>
              <w:rPr>
                <w:rFonts w:hint="default" w:ascii="Times New Roman" w:hAnsi="Times New Roman" w:cs="Times New Roman"/>
                <w:i w:val="0"/>
                <w:iCs w:val="0"/>
                <w:color w:val="000000"/>
                <w:kern w:val="0"/>
                <w:sz w:val="21"/>
                <w:szCs w:val="21"/>
                <w:highlight w:val="none"/>
                <w:u w:val="none"/>
                <w:lang w:val="en-US" w:eastAsia="zh-CN"/>
              </w:rPr>
              <w:t>3</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119.8</w:t>
            </w:r>
            <w:r>
              <w:rPr>
                <w:rFonts w:hint="default" w:ascii="Times New Roman" w:hAnsi="Times New Roman" w:cs="Times New Roman"/>
                <w:i w:val="0"/>
                <w:iCs w:val="0"/>
                <w:color w:val="000000"/>
                <w:kern w:val="0"/>
                <w:sz w:val="21"/>
                <w:szCs w:val="21"/>
                <w:highlight w:val="none"/>
                <w:u w:val="none"/>
                <w:lang w:val="en-US" w:eastAsia="zh-CN"/>
              </w:rPr>
              <w:t>5</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lang w:val="en-US"/>
              </w:rPr>
            </w:pPr>
            <w:r>
              <w:rPr>
                <w:rFonts w:hint="default" w:ascii="Times New Roman" w:hAnsi="Times New Roman" w:eastAsia="宋体" w:cs="Times New Roman"/>
                <w:i w:val="0"/>
                <w:iCs w:val="0"/>
                <w:color w:val="000000"/>
                <w:kern w:val="0"/>
                <w:sz w:val="21"/>
                <w:szCs w:val="21"/>
                <w:highlight w:val="none"/>
                <w:u w:val="none"/>
                <w:lang w:val="en-US" w:eastAsia="zh-CN"/>
              </w:rPr>
              <w:t>169.1</w:t>
            </w:r>
            <w:r>
              <w:rPr>
                <w:rFonts w:hint="default" w:ascii="Times New Roman" w:hAnsi="Times New Roman" w:cs="Times New Roman"/>
                <w:i w:val="0"/>
                <w:iCs w:val="0"/>
                <w:color w:val="000000"/>
                <w:kern w:val="0"/>
                <w:sz w:val="21"/>
                <w:szCs w:val="21"/>
                <w:highlight w:val="none"/>
                <w:u w:val="none"/>
                <w:lang w:val="en-US" w:eastAsia="zh-CN"/>
              </w:rPr>
              <w:t>8</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行政事业单位医疗</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289.0</w:t>
            </w:r>
            <w:r>
              <w:rPr>
                <w:rFonts w:hint="default" w:ascii="Times New Roman" w:hAnsi="Times New Roman" w:cs="Times New Roman"/>
                <w:i w:val="0"/>
                <w:iCs w:val="0"/>
                <w:color w:val="000000"/>
                <w:kern w:val="0"/>
                <w:sz w:val="21"/>
                <w:szCs w:val="21"/>
                <w:highlight w:val="none"/>
                <w:u w:val="none"/>
                <w:lang w:val="en-US" w:eastAsia="zh-CN"/>
              </w:rPr>
              <w:t>3</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119.85</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169.1</w:t>
            </w:r>
            <w:r>
              <w:rPr>
                <w:rFonts w:hint="default" w:ascii="Times New Roman" w:hAnsi="Times New Roman" w:cs="Times New Roman"/>
                <w:i w:val="0"/>
                <w:iCs w:val="0"/>
                <w:color w:val="000000"/>
                <w:kern w:val="0"/>
                <w:sz w:val="21"/>
                <w:szCs w:val="21"/>
                <w:highlight w:val="none"/>
                <w:u w:val="none"/>
                <w:lang w:val="en-US" w:eastAsia="zh-CN"/>
              </w:rPr>
              <w:t>8</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 w:hAnsi="仿宋" w:eastAsia="仿宋" w:cs="仿宋"/>
                <w:color w:val="000000"/>
                <w:sz w:val="18"/>
                <w:szCs w:val="18"/>
                <w:highlight w:val="none"/>
                <w:lang w:val="en-US" w:eastAsia="zh-CN"/>
              </w:rPr>
              <w:t>01</w:t>
            </w: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行政单位医疗</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230.4</w:t>
            </w:r>
            <w:r>
              <w:rPr>
                <w:rFonts w:hint="default" w:ascii="Times New Roman" w:hAnsi="Times New Roman" w:cs="Times New Roman"/>
                <w:i w:val="0"/>
                <w:iCs w:val="0"/>
                <w:color w:val="000000"/>
                <w:kern w:val="0"/>
                <w:sz w:val="21"/>
                <w:szCs w:val="21"/>
                <w:highlight w:val="none"/>
                <w:u w:val="none"/>
                <w:lang w:val="en-US" w:eastAsia="zh-CN"/>
              </w:rPr>
              <w:t>6</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93.4</w:t>
            </w:r>
            <w:r>
              <w:rPr>
                <w:rFonts w:hint="default" w:ascii="Times New Roman" w:hAnsi="Times New Roman" w:cs="Times New Roman"/>
                <w:i w:val="0"/>
                <w:iCs w:val="0"/>
                <w:color w:val="000000"/>
                <w:kern w:val="0"/>
                <w:sz w:val="21"/>
                <w:szCs w:val="21"/>
                <w:highlight w:val="none"/>
                <w:u w:val="none"/>
                <w:lang w:val="en-US" w:eastAsia="zh-CN"/>
              </w:rPr>
              <w:t>6</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137</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03</w:t>
            </w:r>
          </w:p>
        </w:tc>
        <w:tc>
          <w:tcPr>
            <w:tcW w:w="1014"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仿宋_GB2312" w:eastAsia="仿宋_GB2312" w:cs="Times New Roman"/>
                <w:color w:val="000000"/>
                <w:sz w:val="20"/>
                <w:szCs w:val="20"/>
                <w:highlight w:val="none"/>
                <w:lang w:val="en-US" w:eastAsia="zh-CN"/>
              </w:rPr>
              <w:t>公务员医疗补助</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55.50</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25.7</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29.8</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99</w:t>
            </w:r>
          </w:p>
        </w:tc>
        <w:tc>
          <w:tcPr>
            <w:tcW w:w="1014"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仿宋_GB2312" w:eastAsia="仿宋_GB2312" w:cs="Times New Roman"/>
                <w:color w:val="000000"/>
                <w:sz w:val="20"/>
                <w:szCs w:val="20"/>
                <w:highlight w:val="none"/>
                <w:lang w:val="en-US" w:eastAsia="zh-CN"/>
              </w:rPr>
              <w:t>其他行政事业单位医疗支出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3.07</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0.</w:t>
            </w:r>
            <w:r>
              <w:rPr>
                <w:rFonts w:hint="default" w:ascii="Times New Roman" w:hAnsi="Times New Roman" w:cs="Times New Roman"/>
                <w:i w:val="0"/>
                <w:iCs w:val="0"/>
                <w:color w:val="000000"/>
                <w:kern w:val="0"/>
                <w:sz w:val="21"/>
                <w:szCs w:val="21"/>
                <w:highlight w:val="none"/>
                <w:u w:val="none"/>
                <w:lang w:val="en-US" w:eastAsia="zh-CN"/>
              </w:rPr>
              <w:t>69</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cs="Times New Roman"/>
                <w:i w:val="0"/>
                <w:iCs w:val="0"/>
                <w:color w:val="000000"/>
                <w:kern w:val="0"/>
                <w:sz w:val="21"/>
                <w:szCs w:val="21"/>
                <w:highlight w:val="none"/>
                <w:u w:val="none"/>
                <w:lang w:val="en-US" w:eastAsia="zh-CN"/>
              </w:rPr>
              <w:t>2.38</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住房保障支出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520.38</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155.38</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365</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住房改革支出</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520.38</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155.38</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365</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16"/>
                <w:szCs w:val="16"/>
                <w:highlight w:val="none"/>
                <w:lang w:val="en-US" w:eastAsia="zh-CN"/>
              </w:rPr>
              <w:t>01</w:t>
            </w:r>
          </w:p>
        </w:tc>
        <w:tc>
          <w:tcPr>
            <w:tcW w:w="101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eastAsia="仿宋_GB2312"/>
                <w:color w:val="000000"/>
                <w:sz w:val="20"/>
                <w:szCs w:val="20"/>
                <w:highlight w:val="none"/>
              </w:rPr>
              <w:t>住房公积金</w:t>
            </w:r>
          </w:p>
        </w:tc>
        <w:tc>
          <w:tcPr>
            <w:tcW w:w="95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520.38</w:t>
            </w:r>
          </w:p>
        </w:tc>
        <w:tc>
          <w:tcPr>
            <w:tcW w:w="457"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155.38</w:t>
            </w:r>
          </w:p>
        </w:tc>
        <w:tc>
          <w:tcPr>
            <w:tcW w:w="375"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nil"/>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仿宋_GB2312"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rPr>
              <w:t>365</w:t>
            </w:r>
          </w:p>
        </w:tc>
        <w:tc>
          <w:tcPr>
            <w:tcW w:w="37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p>
        </w:tc>
        <w:tc>
          <w:tcPr>
            <w:tcW w:w="95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w:t>
            </w:r>
          </w:p>
        </w:tc>
        <w:tc>
          <w:tcPr>
            <w:tcW w:w="953" w:type="dxa"/>
            <w:tcBorders>
              <w:top w:val="single" w:color="auto" w:sz="4" w:space="0"/>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3284.0</w:t>
            </w:r>
            <w:r>
              <w:rPr>
                <w:rFonts w:hint="default" w:ascii="Times New Roman" w:hAnsi="Times New Roman" w:cs="Times New Roman"/>
                <w:i w:val="0"/>
                <w:iCs w:val="0"/>
                <w:color w:val="000000"/>
                <w:kern w:val="0"/>
                <w:sz w:val="21"/>
                <w:szCs w:val="21"/>
                <w:highlight w:val="none"/>
                <w:u w:val="none"/>
                <w:lang w:val="en-US" w:eastAsia="zh-CN"/>
              </w:rPr>
              <w:t>4</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1024" w:type="dxa"/>
            <w:tcBorders>
              <w:top w:val="single" w:color="auto" w:sz="4" w:space="0"/>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2257.44</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952" w:type="dxa"/>
            <w:tcBorders>
              <w:top w:val="single" w:color="auto" w:sz="4" w:space="0"/>
              <w:left w:val="single" w:color="auto" w:sz="4" w:space="0"/>
              <w:bottom w:val="single" w:color="auto" w:sz="4" w:space="0"/>
              <w:right w:val="single" w:color="auto" w:sz="4" w:space="0"/>
            </w:tcBorders>
            <w:vAlign w:val="top"/>
          </w:tcPr>
          <w:p>
            <w:pPr>
              <w:widowControl/>
              <w:jc w:val="center"/>
              <w:textAlignment w:val="top"/>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rPr>
              <w:t>1026.</w:t>
            </w:r>
            <w:r>
              <w:rPr>
                <w:rFonts w:hint="default" w:ascii="Times New Roman" w:hAnsi="Times New Roman" w:cs="Times New Roman"/>
                <w:i w:val="0"/>
                <w:iCs w:val="0"/>
                <w:color w:val="000000"/>
                <w:kern w:val="0"/>
                <w:sz w:val="21"/>
                <w:szCs w:val="21"/>
                <w:highlight w:val="none"/>
                <w:u w:val="none"/>
                <w:lang w:val="en-US" w:eastAsia="zh-CN"/>
              </w:rPr>
              <w:t>6</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21"/>
                <w:szCs w:val="21"/>
                <w:highlight w:val="none"/>
              </w:rPr>
            </w:pPr>
          </w:p>
        </w:tc>
        <w:tc>
          <w:tcPr>
            <w:tcW w:w="311"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表3</w:t>
      </w:r>
    </w:p>
    <w:p>
      <w:pPr>
        <w:widowControl/>
        <w:jc w:val="center"/>
        <w:textAlignment w:val="bottom"/>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6"/>
        <w:gridCol w:w="417"/>
        <w:gridCol w:w="417"/>
        <w:gridCol w:w="2541"/>
        <w:gridCol w:w="1833"/>
        <w:gridCol w:w="1834"/>
        <w:gridCol w:w="18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8" w:hRule="atLeast"/>
        </w:trPr>
        <w:tc>
          <w:tcPr>
            <w:tcW w:w="3891"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9"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201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jc w:val="center"/>
              <w:textAlignment w:val="top"/>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一般公共服务支出</w:t>
            </w:r>
          </w:p>
        </w:tc>
        <w:tc>
          <w:tcPr>
            <w:tcW w:w="1833" w:type="dxa"/>
            <w:tcBorders>
              <w:top w:val="nil"/>
              <w:left w:val="nil"/>
              <w:bottom w:val="single" w:color="auto" w:sz="4" w:space="0"/>
              <w:right w:val="single" w:color="auto" w:sz="4" w:space="0"/>
            </w:tcBorders>
            <w:vAlign w:val="top"/>
          </w:tcPr>
          <w:p>
            <w:pPr>
              <w:jc w:val="center"/>
              <w:rPr>
                <w:rFonts w:hint="default" w:ascii="Times New Roman" w:hAnsi="Times New Roman" w:eastAsia="方正仿宋_GBK" w:cs="Times New Roman"/>
                <w:b/>
                <w:bCs/>
                <w:color w:val="auto"/>
                <w:kern w:val="0"/>
                <w:sz w:val="21"/>
                <w:szCs w:val="21"/>
                <w:highlight w:val="none"/>
                <w:lang w:val="en-US"/>
              </w:rPr>
            </w:pPr>
            <w:r>
              <w:rPr>
                <w:rFonts w:hint="default" w:ascii="Times New Roman" w:hAnsi="Times New Roman" w:eastAsia="方正仿宋_GBK" w:cs="Times New Roman"/>
                <w:i w:val="0"/>
                <w:iCs w:val="0"/>
                <w:color w:val="000000"/>
                <w:kern w:val="0"/>
                <w:sz w:val="21"/>
                <w:szCs w:val="21"/>
                <w:highlight w:val="none"/>
                <w:u w:val="none"/>
                <w:lang w:val="en-US" w:eastAsia="zh-CN"/>
              </w:rPr>
              <w:t>1939.90</w:t>
            </w:r>
          </w:p>
        </w:tc>
        <w:tc>
          <w:tcPr>
            <w:tcW w:w="1834" w:type="dxa"/>
            <w:tcBorders>
              <w:top w:val="nil"/>
              <w:left w:val="nil"/>
              <w:bottom w:val="single" w:color="auto" w:sz="4" w:space="0"/>
              <w:right w:val="single" w:color="auto" w:sz="4" w:space="0"/>
            </w:tcBorders>
            <w:vAlign w:val="top"/>
          </w:tcPr>
          <w:p>
            <w:pPr>
              <w:jc w:val="center"/>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1939.90</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jc w:val="center"/>
              <w:textAlignment w:val="top"/>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纪检监察事务</w:t>
            </w:r>
          </w:p>
        </w:tc>
        <w:tc>
          <w:tcPr>
            <w:tcW w:w="1833" w:type="dxa"/>
            <w:tcBorders>
              <w:top w:val="nil"/>
              <w:left w:val="nil"/>
              <w:bottom w:val="single" w:color="auto" w:sz="4" w:space="0"/>
              <w:right w:val="single" w:color="auto" w:sz="4" w:space="0"/>
            </w:tcBorders>
            <w:vAlign w:val="top"/>
          </w:tcPr>
          <w:p>
            <w:pPr>
              <w:jc w:val="center"/>
              <w:rPr>
                <w:rFonts w:hint="default" w:ascii="Times New Roman" w:hAnsi="Times New Roman" w:eastAsia="方正仿宋_GBK" w:cs="Times New Roman"/>
                <w:b/>
                <w:bCs/>
                <w:color w:val="auto"/>
                <w:kern w:val="0"/>
                <w:sz w:val="21"/>
                <w:szCs w:val="21"/>
                <w:highlight w:val="none"/>
                <w:lang w:val="en-US"/>
              </w:rPr>
            </w:pPr>
            <w:r>
              <w:rPr>
                <w:rFonts w:hint="default" w:ascii="Times New Roman" w:hAnsi="Times New Roman" w:eastAsia="方正仿宋_GBK" w:cs="Times New Roman"/>
                <w:i w:val="0"/>
                <w:iCs w:val="0"/>
                <w:color w:val="000000"/>
                <w:kern w:val="0"/>
                <w:sz w:val="21"/>
                <w:szCs w:val="21"/>
                <w:highlight w:val="none"/>
                <w:u w:val="none"/>
                <w:lang w:val="en-US" w:eastAsia="zh-CN"/>
              </w:rPr>
              <w:t>1939.90</w:t>
            </w:r>
          </w:p>
        </w:tc>
        <w:tc>
          <w:tcPr>
            <w:tcW w:w="1834" w:type="dxa"/>
            <w:tcBorders>
              <w:top w:val="nil"/>
              <w:left w:val="nil"/>
              <w:bottom w:val="single" w:color="auto" w:sz="4" w:space="0"/>
              <w:right w:val="single" w:color="auto" w:sz="4" w:space="0"/>
            </w:tcBorders>
            <w:vAlign w:val="top"/>
          </w:tcPr>
          <w:p>
            <w:pPr>
              <w:jc w:val="center"/>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1939.90</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01</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行政运行</w:t>
            </w:r>
          </w:p>
        </w:tc>
        <w:tc>
          <w:tcPr>
            <w:tcW w:w="1833" w:type="dxa"/>
            <w:tcBorders>
              <w:top w:val="nil"/>
              <w:left w:val="nil"/>
              <w:bottom w:val="single" w:color="auto" w:sz="4" w:space="0"/>
              <w:right w:val="single" w:color="auto" w:sz="4" w:space="0"/>
            </w:tcBorders>
            <w:vAlign w:val="top"/>
          </w:tcPr>
          <w:p>
            <w:pPr>
              <w:jc w:val="center"/>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1939.90</w:t>
            </w:r>
          </w:p>
        </w:tc>
        <w:tc>
          <w:tcPr>
            <w:tcW w:w="1834" w:type="dxa"/>
            <w:tcBorders>
              <w:top w:val="nil"/>
              <w:left w:val="nil"/>
              <w:bottom w:val="single" w:color="auto" w:sz="4" w:space="0"/>
              <w:right w:val="single" w:color="auto" w:sz="4" w:space="0"/>
            </w:tcBorders>
            <w:vAlign w:val="top"/>
          </w:tcPr>
          <w:p>
            <w:pPr>
              <w:jc w:val="center"/>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1939.90</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社会保障和就业支出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534.73</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534.73</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行政事业单位养老支出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516.89</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516.89</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01</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行政单位离退休</w:t>
            </w:r>
          </w:p>
        </w:tc>
        <w:tc>
          <w:tcPr>
            <w:tcW w:w="1833" w:type="dxa"/>
            <w:tcBorders>
              <w:top w:val="nil"/>
              <w:left w:val="nil"/>
              <w:bottom w:val="single" w:color="auto" w:sz="4" w:space="0"/>
              <w:right w:val="single" w:color="auto" w:sz="4" w:space="0"/>
            </w:tcBorders>
            <w:vAlign w:val="center"/>
          </w:tcPr>
          <w:p>
            <w:pPr>
              <w:jc w:val="center"/>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5.38</w:t>
            </w:r>
          </w:p>
        </w:tc>
        <w:tc>
          <w:tcPr>
            <w:tcW w:w="1834" w:type="dxa"/>
            <w:tcBorders>
              <w:top w:val="nil"/>
              <w:left w:val="nil"/>
              <w:bottom w:val="single" w:color="auto" w:sz="4" w:space="0"/>
              <w:right w:val="single" w:color="auto" w:sz="4" w:space="0"/>
            </w:tcBorders>
            <w:vAlign w:val="center"/>
          </w:tcPr>
          <w:p>
            <w:pPr>
              <w:jc w:val="center"/>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5.38</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02</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事业单位离退休</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8.25</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8.25</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05</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机关事业单位基本养老保险缴费支出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456.11</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456.11</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06</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机关事业单位职业年金缴费支出</w:t>
            </w:r>
          </w:p>
        </w:tc>
        <w:tc>
          <w:tcPr>
            <w:tcW w:w="1833" w:type="dxa"/>
            <w:tcBorders>
              <w:top w:val="nil"/>
              <w:left w:val="nil"/>
              <w:bottom w:val="single" w:color="auto" w:sz="4" w:space="0"/>
              <w:right w:val="single" w:color="auto" w:sz="4" w:space="0"/>
            </w:tcBorders>
            <w:vAlign w:val="center"/>
          </w:tcPr>
          <w:p>
            <w:pPr>
              <w:jc w:val="center"/>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47.15</w:t>
            </w:r>
          </w:p>
        </w:tc>
        <w:tc>
          <w:tcPr>
            <w:tcW w:w="1834" w:type="dxa"/>
            <w:tcBorders>
              <w:top w:val="nil"/>
              <w:left w:val="nil"/>
              <w:bottom w:val="single" w:color="auto" w:sz="4" w:space="0"/>
              <w:right w:val="single" w:color="auto" w:sz="4" w:space="0"/>
            </w:tcBorders>
            <w:vAlign w:val="center"/>
          </w:tcPr>
          <w:p>
            <w:pPr>
              <w:jc w:val="center"/>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47.15</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99</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其他社会保障和就业支出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17.84</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17.84</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kern w:val="2"/>
                <w:sz w:val="20"/>
                <w:szCs w:val="20"/>
                <w:highlight w:val="none"/>
                <w:lang w:val="en-US" w:eastAsia="zh-CN" w:bidi="ar-SA"/>
              </w:rPr>
              <w:t>99</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kern w:val="2"/>
                <w:sz w:val="20"/>
                <w:szCs w:val="20"/>
                <w:highlight w:val="none"/>
                <w:lang w:val="en-US" w:eastAsia="zh-CN" w:bidi="ar-SA"/>
              </w:rPr>
              <w:t>99</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其他社会保障和就业支出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17.84</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17.84</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卫生健康支出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289.03</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289.03</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行政事业单位医疗</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lang w:val="en-US"/>
              </w:rPr>
            </w:pPr>
            <w:r>
              <w:rPr>
                <w:rFonts w:hint="default" w:ascii="Times New Roman" w:hAnsi="Times New Roman" w:eastAsia="方正仿宋_GBK" w:cs="Times New Roman"/>
                <w:i w:val="0"/>
                <w:iCs w:val="0"/>
                <w:color w:val="000000"/>
                <w:kern w:val="0"/>
                <w:sz w:val="21"/>
                <w:szCs w:val="21"/>
                <w:highlight w:val="none"/>
                <w:u w:val="none"/>
                <w:lang w:val="en-US" w:eastAsia="zh-CN"/>
              </w:rPr>
              <w:t>289.03</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289.03</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 w:hAnsi="仿宋" w:eastAsia="仿宋" w:cs="仿宋"/>
                <w:color w:val="000000"/>
                <w:sz w:val="18"/>
                <w:szCs w:val="18"/>
                <w:highlight w:val="none"/>
                <w:lang w:val="en-US" w:eastAsia="zh-CN"/>
              </w:rPr>
              <w:t>01</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行政单位医疗</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230.46</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230.46</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20"/>
                <w:szCs w:val="20"/>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20"/>
                <w:szCs w:val="20"/>
                <w:highlight w:val="none"/>
                <w:lang w:val="en-US" w:eastAsia="zh-CN"/>
              </w:rPr>
              <w:t>03</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公务员医疗补助</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55.50</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55.50</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20"/>
                <w:szCs w:val="20"/>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20"/>
                <w:szCs w:val="20"/>
                <w:highlight w:val="none"/>
                <w:lang w:val="en-US" w:eastAsia="zh-CN"/>
              </w:rPr>
              <w:t>99</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其他行政事业单位医疗支出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3.07</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i w:val="0"/>
                <w:iCs w:val="0"/>
                <w:color w:val="000000"/>
                <w:kern w:val="2"/>
                <w:sz w:val="21"/>
                <w:szCs w:val="21"/>
                <w:highlight w:val="none"/>
                <w:u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3.07</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住房保障支出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520.38</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520.38</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住房改革支出</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520.38</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520.38</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000000"/>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2541" w:type="dxa"/>
            <w:tcBorders>
              <w:top w:val="nil"/>
              <w:left w:val="nil"/>
              <w:bottom w:val="single" w:color="auto" w:sz="4" w:space="0"/>
              <w:right w:val="single" w:color="auto" w:sz="4" w:space="0"/>
            </w:tcBorders>
            <w:vAlign w:val="top"/>
          </w:tcPr>
          <w:p>
            <w:pPr>
              <w:widowControl/>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rPr>
              <w:t>住房公积金</w:t>
            </w:r>
          </w:p>
        </w:tc>
        <w:tc>
          <w:tcPr>
            <w:tcW w:w="1833"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b/>
                <w:bCs/>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520.38</w:t>
            </w:r>
          </w:p>
        </w:tc>
        <w:tc>
          <w:tcPr>
            <w:tcW w:w="1834" w:type="dxa"/>
            <w:tcBorders>
              <w:top w:val="nil"/>
              <w:left w:val="nil"/>
              <w:bottom w:val="single" w:color="auto" w:sz="4" w:space="0"/>
              <w:right w:val="single" w:color="auto" w:sz="4" w:space="0"/>
            </w:tcBorders>
            <w:vAlign w:val="top"/>
          </w:tcPr>
          <w:p>
            <w:pPr>
              <w:widowControl/>
              <w:jc w:val="center"/>
              <w:textAlignment w:val="top"/>
              <w:rPr>
                <w:rFonts w:hint="default" w:ascii="Times New Roman" w:hAnsi="Times New Roman" w:eastAsia="方正仿宋_GBK" w:cs="Times New Roman"/>
                <w:color w:val="auto"/>
                <w:kern w:val="2"/>
                <w:sz w:val="21"/>
                <w:szCs w:val="21"/>
                <w:highlight w:val="none"/>
                <w:lang w:val="en-US" w:eastAsia="zh-CN" w:bidi="ar-SA"/>
              </w:rPr>
            </w:pPr>
            <w:r>
              <w:rPr>
                <w:rFonts w:hint="default" w:ascii="Times New Roman" w:hAnsi="Times New Roman" w:eastAsia="方正仿宋_GBK" w:cs="Times New Roman"/>
                <w:i w:val="0"/>
                <w:iCs w:val="0"/>
                <w:color w:val="000000"/>
                <w:kern w:val="0"/>
                <w:sz w:val="21"/>
                <w:szCs w:val="21"/>
                <w:highlight w:val="none"/>
                <w:u w:val="none"/>
                <w:lang w:val="en-US" w:eastAsia="zh-CN"/>
              </w:rPr>
              <w:t>520.38</w:t>
            </w: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hint="default" w:ascii="Times New Roman" w:hAnsi="Times New Roman" w:eastAsia="方正仿宋_GBK" w:cs="Times New Roman"/>
                <w:b/>
                <w:bCs/>
                <w:color w:val="auto"/>
                <w:kern w:val="0"/>
                <w:sz w:val="21"/>
                <w:szCs w:val="21"/>
                <w:highlight w:val="none"/>
              </w:rPr>
            </w:pPr>
          </w:p>
        </w:tc>
        <w:tc>
          <w:tcPr>
            <w:tcW w:w="1834" w:type="dxa"/>
            <w:tcBorders>
              <w:top w:val="nil"/>
              <w:left w:val="nil"/>
              <w:bottom w:val="single" w:color="auto" w:sz="4" w:space="0"/>
              <w:right w:val="single" w:color="auto" w:sz="4" w:space="0"/>
            </w:tcBorders>
            <w:vAlign w:val="center"/>
          </w:tcPr>
          <w:p>
            <w:pPr>
              <w:widowControl/>
              <w:spacing w:line="280" w:lineRule="exact"/>
              <w:jc w:val="center"/>
              <w:rPr>
                <w:rFonts w:hint="default" w:ascii="Times New Roman" w:hAnsi="Times New Roman" w:eastAsia="方正仿宋_GBK" w:cs="Times New Roman"/>
                <w:b/>
                <w:bCs/>
                <w:color w:val="auto"/>
                <w:kern w:val="0"/>
                <w:sz w:val="21"/>
                <w:szCs w:val="21"/>
                <w:highlight w:val="none"/>
              </w:rPr>
            </w:pPr>
          </w:p>
        </w:tc>
        <w:tc>
          <w:tcPr>
            <w:tcW w:w="18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17" w:type="dxa"/>
            <w:tcBorders>
              <w:top w:val="nil"/>
              <w:left w:val="nil"/>
              <w:bottom w:val="single" w:color="auto" w:sz="4" w:space="0"/>
              <w:right w:val="single" w:color="auto" w:sz="4" w:space="0"/>
            </w:tcBorders>
            <w:vAlign w:val="center"/>
          </w:tcPr>
          <w:p>
            <w:pPr>
              <w:rPr>
                <w:color w:val="auto"/>
                <w:highlight w:val="none"/>
              </w:rPr>
            </w:pPr>
          </w:p>
        </w:tc>
        <w:tc>
          <w:tcPr>
            <w:tcW w:w="417" w:type="dxa"/>
            <w:tcBorders>
              <w:top w:val="nil"/>
              <w:left w:val="nil"/>
              <w:bottom w:val="single" w:color="auto" w:sz="4" w:space="0"/>
              <w:right w:val="single" w:color="auto" w:sz="4" w:space="0"/>
            </w:tcBorders>
            <w:vAlign w:val="center"/>
          </w:tcPr>
          <w:p>
            <w:pPr>
              <w:rPr>
                <w:color w:val="auto"/>
                <w:highlight w:val="none"/>
              </w:rPr>
            </w:pPr>
          </w:p>
        </w:tc>
        <w:tc>
          <w:tcPr>
            <w:tcW w:w="2541" w:type="dxa"/>
            <w:tcBorders>
              <w:top w:val="nil"/>
              <w:left w:val="nil"/>
              <w:bottom w:val="single" w:color="auto" w:sz="4" w:space="0"/>
              <w:right w:val="single" w:color="auto" w:sz="4" w:space="0"/>
            </w:tcBorders>
            <w:vAlign w:val="center"/>
          </w:tcPr>
          <w:p>
            <w:pPr>
              <w:rPr>
                <w:color w:val="auto"/>
                <w:highlight w:val="none"/>
              </w:rPr>
            </w:pPr>
          </w:p>
        </w:tc>
        <w:tc>
          <w:tcPr>
            <w:tcW w:w="1833" w:type="dxa"/>
            <w:tcBorders>
              <w:top w:val="nil"/>
              <w:left w:val="nil"/>
              <w:bottom w:val="single" w:color="auto" w:sz="4" w:space="0"/>
              <w:right w:val="single" w:color="auto" w:sz="4" w:space="0"/>
            </w:tcBorders>
            <w:vAlign w:val="center"/>
          </w:tcPr>
          <w:p>
            <w:pPr>
              <w:jc w:val="center"/>
              <w:rPr>
                <w:rFonts w:hint="default" w:ascii="Times New Roman" w:hAnsi="Times New Roman" w:eastAsia="方正仿宋_GBK" w:cs="Times New Roman"/>
                <w:color w:val="auto"/>
                <w:sz w:val="21"/>
                <w:szCs w:val="21"/>
                <w:highlight w:val="none"/>
              </w:rPr>
            </w:pPr>
          </w:p>
        </w:tc>
        <w:tc>
          <w:tcPr>
            <w:tcW w:w="1834" w:type="dxa"/>
            <w:tcBorders>
              <w:top w:val="nil"/>
              <w:left w:val="nil"/>
              <w:bottom w:val="single" w:color="auto" w:sz="4" w:space="0"/>
              <w:right w:val="single" w:color="auto" w:sz="4" w:space="0"/>
            </w:tcBorders>
            <w:vAlign w:val="center"/>
          </w:tcPr>
          <w:p>
            <w:pPr>
              <w:jc w:val="center"/>
              <w:rPr>
                <w:rFonts w:hint="default" w:ascii="Times New Roman" w:hAnsi="Times New Roman" w:eastAsia="方正仿宋_GBK" w:cs="Times New Roman"/>
                <w:color w:val="auto"/>
                <w:sz w:val="21"/>
                <w:szCs w:val="21"/>
                <w:highlight w:val="none"/>
              </w:rPr>
            </w:pPr>
          </w:p>
        </w:tc>
        <w:tc>
          <w:tcPr>
            <w:tcW w:w="1862" w:type="dxa"/>
            <w:tcBorders>
              <w:top w:val="nil"/>
              <w:left w:val="nil"/>
              <w:bottom w:val="single" w:color="auto" w:sz="4" w:space="0"/>
              <w:right w:val="single" w:color="auto" w:sz="4" w:space="0"/>
            </w:tcBorders>
            <w:vAlign w:val="center"/>
          </w:tcPr>
          <w:p>
            <w:pP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hint="default" w:ascii="Times New Roman" w:hAnsi="Times New Roman" w:eastAsia="方正仿宋_GBK" w:cs="Times New Roman"/>
                <w:color w:val="auto"/>
                <w:kern w:val="0"/>
                <w:sz w:val="21"/>
                <w:szCs w:val="21"/>
                <w:highlight w:val="none"/>
                <w:lang w:val="en-US"/>
              </w:rPr>
            </w:pPr>
            <w:r>
              <w:rPr>
                <w:rFonts w:hint="default" w:ascii="Times New Roman" w:hAnsi="Times New Roman" w:eastAsia="方正仿宋_GBK" w:cs="Times New Roman"/>
                <w:i w:val="0"/>
                <w:iCs w:val="0"/>
                <w:color w:val="000000"/>
                <w:kern w:val="0"/>
                <w:sz w:val="21"/>
                <w:szCs w:val="21"/>
                <w:highlight w:val="none"/>
                <w:u w:val="none"/>
                <w:lang w:val="en-US" w:eastAsia="zh-CN"/>
              </w:rPr>
              <w:t>3284.04</w:t>
            </w:r>
          </w:p>
        </w:tc>
        <w:tc>
          <w:tcPr>
            <w:tcW w:w="1834" w:type="dxa"/>
            <w:tcBorders>
              <w:top w:val="nil"/>
              <w:left w:val="nil"/>
              <w:bottom w:val="single" w:color="auto" w:sz="4" w:space="0"/>
              <w:right w:val="single" w:color="auto" w:sz="4" w:space="0"/>
            </w:tcBorders>
            <w:vAlign w:val="center"/>
          </w:tcPr>
          <w:p>
            <w:pPr>
              <w:widowControl/>
              <w:spacing w:line="280" w:lineRule="exact"/>
              <w:jc w:val="center"/>
              <w:rPr>
                <w:rFonts w:hint="default" w:ascii="Times New Roman" w:hAnsi="Times New Roman" w:eastAsia="方正仿宋_GBK" w:cs="Times New Roman"/>
                <w:color w:val="auto"/>
                <w:kern w:val="0"/>
                <w:sz w:val="21"/>
                <w:szCs w:val="21"/>
                <w:highlight w:val="none"/>
              </w:rPr>
            </w:pPr>
            <w:r>
              <w:rPr>
                <w:rFonts w:hint="default" w:ascii="Times New Roman" w:hAnsi="Times New Roman" w:eastAsia="方正仿宋_GBK" w:cs="Times New Roman"/>
                <w:i w:val="0"/>
                <w:iCs w:val="0"/>
                <w:color w:val="000000"/>
                <w:kern w:val="0"/>
                <w:sz w:val="21"/>
                <w:szCs w:val="21"/>
                <w:highlight w:val="none"/>
                <w:u w:val="none"/>
                <w:lang w:val="en-US" w:eastAsia="zh-CN"/>
              </w:rPr>
              <w:t>3284.04</w:t>
            </w:r>
          </w:p>
        </w:tc>
        <w:tc>
          <w:tcPr>
            <w:tcW w:w="1862"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表4</w:t>
      </w:r>
    </w:p>
    <w:p>
      <w:pPr>
        <w:widowControl/>
        <w:spacing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Lines="50" w:line="280" w:lineRule="exact"/>
        <w:jc w:val="center"/>
        <w:outlineLvl w:val="1"/>
        <w:rPr>
          <w:rFonts w:hint="eastAsia"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49" w:type="dxa"/>
        <w:tblInd w:w="-2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19"/>
        <w:gridCol w:w="1387"/>
        <w:gridCol w:w="1939"/>
        <w:gridCol w:w="1387"/>
        <w:gridCol w:w="1387"/>
        <w:gridCol w:w="915"/>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2906"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43"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519" w:type="dxa"/>
            <w:tcBorders>
              <w:top w:val="nil"/>
              <w:left w:val="single" w:color="auto" w:sz="4" w:space="0"/>
              <w:bottom w:val="single" w:color="auto" w:sz="4" w:space="0"/>
              <w:right w:val="single" w:color="auto" w:sz="4" w:space="0"/>
            </w:tcBorders>
            <w:vAlign w:val="center"/>
          </w:tcPr>
          <w:p>
            <w:pPr>
              <w:widowControl/>
              <w:wordWrap/>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7" w:type="dxa"/>
            <w:tcBorders>
              <w:top w:val="nil"/>
              <w:left w:val="nil"/>
              <w:bottom w:val="single" w:color="auto" w:sz="4" w:space="0"/>
              <w:right w:val="single" w:color="auto" w:sz="4" w:space="0"/>
            </w:tcBorders>
            <w:vAlign w:val="center"/>
          </w:tcPr>
          <w:p>
            <w:pPr>
              <w:widowControl/>
              <w:wordWrap/>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1939" w:type="dxa"/>
            <w:tcBorders>
              <w:top w:val="nil"/>
              <w:left w:val="nil"/>
              <w:bottom w:val="single" w:color="auto" w:sz="4" w:space="0"/>
              <w:right w:val="single" w:color="auto" w:sz="4" w:space="0"/>
            </w:tcBorders>
            <w:vAlign w:val="center"/>
          </w:tcPr>
          <w:p>
            <w:pPr>
              <w:widowControl/>
              <w:wordWrap/>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387" w:type="dxa"/>
            <w:tcBorders>
              <w:top w:val="nil"/>
              <w:left w:val="nil"/>
              <w:bottom w:val="single" w:color="auto" w:sz="4" w:space="0"/>
              <w:right w:val="single" w:color="auto" w:sz="4" w:space="0"/>
            </w:tcBorders>
            <w:vAlign w:val="center"/>
          </w:tcPr>
          <w:p>
            <w:pPr>
              <w:widowControl/>
              <w:wordWrap/>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387" w:type="dxa"/>
            <w:tcBorders>
              <w:top w:val="nil"/>
              <w:left w:val="nil"/>
              <w:bottom w:val="single" w:color="auto" w:sz="4" w:space="0"/>
              <w:right w:val="single" w:color="auto" w:sz="4" w:space="0"/>
            </w:tcBorders>
            <w:vAlign w:val="center"/>
          </w:tcPr>
          <w:p>
            <w:pPr>
              <w:widowControl/>
              <w:wordWrap/>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15" w:type="dxa"/>
            <w:tcBorders>
              <w:top w:val="nil"/>
              <w:left w:val="nil"/>
              <w:bottom w:val="single" w:color="auto" w:sz="4" w:space="0"/>
              <w:right w:val="single" w:color="auto" w:sz="4" w:space="0"/>
            </w:tcBorders>
            <w:vAlign w:val="center"/>
          </w:tcPr>
          <w:p>
            <w:pPr>
              <w:widowControl/>
              <w:wordWrap/>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915" w:type="dxa"/>
            <w:tcBorders>
              <w:top w:val="nil"/>
              <w:left w:val="nil"/>
              <w:bottom w:val="single" w:color="auto" w:sz="4" w:space="0"/>
              <w:right w:val="single" w:color="auto" w:sz="4" w:space="0"/>
            </w:tcBorders>
            <w:vAlign w:val="center"/>
          </w:tcPr>
          <w:p>
            <w:pPr>
              <w:wordWrap/>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rPr>
              <w:t>一、</w:t>
            </w:r>
            <w:r>
              <w:rPr>
                <w:rFonts w:hint="eastAsia" w:ascii="仿宋_GB2312" w:hAnsi="宋体" w:eastAsia="仿宋_GB2312" w:cs="宋体"/>
                <w:color w:val="auto"/>
                <w:kern w:val="0"/>
                <w:sz w:val="18"/>
                <w:szCs w:val="18"/>
                <w:highlight w:val="none"/>
              </w:rPr>
              <w:t>财政拨款（补助）</w:t>
            </w:r>
          </w:p>
        </w:tc>
        <w:tc>
          <w:tcPr>
            <w:tcW w:w="1387" w:type="dxa"/>
            <w:tcBorders>
              <w:top w:val="nil"/>
              <w:left w:val="nil"/>
              <w:bottom w:val="single" w:color="auto" w:sz="4" w:space="0"/>
              <w:right w:val="single" w:color="auto" w:sz="4" w:space="0"/>
            </w:tcBorders>
            <w:vAlign w:val="top"/>
          </w:tcPr>
          <w:p>
            <w:pPr>
              <w:widowControl/>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rPr>
              <w:t>2257.44</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387" w:type="dxa"/>
            <w:tcBorders>
              <w:top w:val="nil"/>
              <w:left w:val="nil"/>
              <w:bottom w:val="single" w:color="auto" w:sz="4" w:space="0"/>
              <w:right w:val="single" w:color="auto" w:sz="4" w:space="0"/>
            </w:tcBorders>
            <w:vAlign w:val="top"/>
          </w:tcPr>
          <w:p>
            <w:pPr>
              <w:widowControl/>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rPr>
              <w:t>1781.6</w:t>
            </w:r>
            <w:r>
              <w:rPr>
                <w:rFonts w:hint="eastAsia" w:ascii="Calibri" w:hAnsi="Calibri" w:cs="Calibri"/>
                <w:i w:val="0"/>
                <w:iCs w:val="0"/>
                <w:color w:val="000000"/>
                <w:kern w:val="0"/>
                <w:sz w:val="22"/>
                <w:szCs w:val="22"/>
                <w:highlight w:val="none"/>
                <w:u w:val="none"/>
                <w:lang w:val="en-US" w:eastAsia="zh-CN"/>
              </w:rPr>
              <w:t>7</w:t>
            </w:r>
          </w:p>
        </w:tc>
        <w:tc>
          <w:tcPr>
            <w:tcW w:w="1387" w:type="dxa"/>
            <w:tcBorders>
              <w:top w:val="nil"/>
              <w:left w:val="nil"/>
              <w:bottom w:val="single" w:color="auto" w:sz="4" w:space="0"/>
              <w:right w:val="single" w:color="auto" w:sz="4" w:space="0"/>
            </w:tcBorders>
            <w:vAlign w:val="top"/>
          </w:tcPr>
          <w:p>
            <w:pPr>
              <w:widowControl/>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rPr>
              <w:t>1781.6</w:t>
            </w:r>
            <w:r>
              <w:rPr>
                <w:rFonts w:hint="eastAsia" w:ascii="Calibri" w:hAnsi="Calibri" w:cs="Calibri"/>
                <w:i w:val="0"/>
                <w:iCs w:val="0"/>
                <w:color w:val="000000"/>
                <w:kern w:val="0"/>
                <w:sz w:val="22"/>
                <w:szCs w:val="22"/>
                <w:highlight w:val="none"/>
                <w:u w:val="none"/>
                <w:lang w:val="en-US" w:eastAsia="zh-CN"/>
              </w:rPr>
              <w:t>7</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387" w:type="dxa"/>
            <w:tcBorders>
              <w:top w:val="nil"/>
              <w:left w:val="nil"/>
              <w:bottom w:val="single" w:color="auto" w:sz="4" w:space="0"/>
              <w:right w:val="single" w:color="auto" w:sz="4" w:space="0"/>
            </w:tcBorders>
            <w:vAlign w:val="top"/>
          </w:tcPr>
          <w:p>
            <w:pPr>
              <w:widowControl/>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rPr>
              <w:t>2257.44</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7"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387" w:type="dxa"/>
            <w:tcBorders>
              <w:top w:val="nil"/>
              <w:left w:val="nil"/>
              <w:bottom w:val="single" w:color="auto" w:sz="4" w:space="0"/>
              <w:right w:val="single" w:color="auto" w:sz="4" w:space="0"/>
            </w:tcBorders>
            <w:vAlign w:val="top"/>
          </w:tcPr>
          <w:p>
            <w:pPr>
              <w:widowControl/>
              <w:jc w:val="righ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200.5</w:t>
            </w:r>
            <w:r>
              <w:rPr>
                <w:rFonts w:hint="eastAsia" w:ascii="宋体" w:hAnsi="宋体" w:cs="宋体"/>
                <w:i w:val="0"/>
                <w:iCs w:val="0"/>
                <w:color w:val="000000"/>
                <w:kern w:val="0"/>
                <w:sz w:val="22"/>
                <w:szCs w:val="22"/>
                <w:highlight w:val="none"/>
                <w:u w:val="none"/>
                <w:lang w:val="en-US" w:eastAsia="zh-CN"/>
              </w:rPr>
              <w:t>4</w:t>
            </w:r>
          </w:p>
        </w:tc>
        <w:tc>
          <w:tcPr>
            <w:tcW w:w="1387" w:type="dxa"/>
            <w:tcBorders>
              <w:top w:val="nil"/>
              <w:left w:val="nil"/>
              <w:bottom w:val="single" w:color="auto" w:sz="4" w:space="0"/>
              <w:right w:val="single" w:color="auto" w:sz="4" w:space="0"/>
            </w:tcBorders>
            <w:vAlign w:val="top"/>
          </w:tcPr>
          <w:p>
            <w:pPr>
              <w:widowControl/>
              <w:jc w:val="righ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200.5</w:t>
            </w:r>
            <w:r>
              <w:rPr>
                <w:rFonts w:hint="eastAsia" w:ascii="宋体" w:hAnsi="宋体" w:cs="宋体"/>
                <w:i w:val="0"/>
                <w:iCs w:val="0"/>
                <w:color w:val="000000"/>
                <w:kern w:val="0"/>
                <w:sz w:val="22"/>
                <w:szCs w:val="22"/>
                <w:highlight w:val="none"/>
                <w:u w:val="none"/>
                <w:lang w:val="en-US" w:eastAsia="zh-CN"/>
              </w:rPr>
              <w:t>4</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387" w:type="dxa"/>
            <w:tcBorders>
              <w:top w:val="nil"/>
              <w:left w:val="nil"/>
              <w:bottom w:val="single" w:color="auto" w:sz="4" w:space="0"/>
              <w:right w:val="single" w:color="auto" w:sz="4" w:space="0"/>
            </w:tcBorders>
            <w:vAlign w:val="top"/>
          </w:tcPr>
          <w:p>
            <w:pPr>
              <w:widowControl/>
              <w:jc w:val="righ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119.85</w:t>
            </w:r>
          </w:p>
        </w:tc>
        <w:tc>
          <w:tcPr>
            <w:tcW w:w="1387" w:type="dxa"/>
            <w:tcBorders>
              <w:top w:val="nil"/>
              <w:left w:val="nil"/>
              <w:bottom w:val="single" w:color="auto" w:sz="4" w:space="0"/>
              <w:right w:val="single" w:color="auto" w:sz="4" w:space="0"/>
            </w:tcBorders>
            <w:vAlign w:val="top"/>
          </w:tcPr>
          <w:p>
            <w:pPr>
              <w:widowControl/>
              <w:jc w:val="righ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119.85</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rPr>
              <w:t>工业</w:t>
            </w:r>
            <w:r>
              <w:rPr>
                <w:rFonts w:hint="eastAsia" w:ascii="仿宋_GB2312" w:hAnsi="宋体" w:eastAsia="仿宋_GB2312" w:cs="宋体"/>
                <w:b w:val="0"/>
                <w:bCs w:val="0"/>
                <w:color w:val="auto"/>
                <w:kern w:val="0"/>
                <w:sz w:val="18"/>
                <w:szCs w:val="18"/>
                <w:highlight w:val="none"/>
              </w:rPr>
              <w:t>信息等支出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387" w:type="dxa"/>
            <w:tcBorders>
              <w:top w:val="nil"/>
              <w:left w:val="nil"/>
              <w:bottom w:val="single" w:color="auto" w:sz="4" w:space="0"/>
              <w:right w:val="single" w:color="auto" w:sz="4" w:space="0"/>
            </w:tcBorders>
            <w:vAlign w:val="top"/>
          </w:tcPr>
          <w:p>
            <w:pPr>
              <w:widowControl/>
              <w:jc w:val="righ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155.38</w:t>
            </w:r>
          </w:p>
        </w:tc>
        <w:tc>
          <w:tcPr>
            <w:tcW w:w="1387" w:type="dxa"/>
            <w:tcBorders>
              <w:top w:val="nil"/>
              <w:left w:val="nil"/>
              <w:bottom w:val="single" w:color="auto" w:sz="4" w:space="0"/>
              <w:right w:val="single" w:color="auto" w:sz="4" w:space="0"/>
            </w:tcBorders>
            <w:vAlign w:val="top"/>
          </w:tcPr>
          <w:p>
            <w:pPr>
              <w:widowControl/>
              <w:jc w:val="righ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rPr>
              <w:t>155.38</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38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2257.4</w:t>
            </w:r>
            <w:r>
              <w:rPr>
                <w:rFonts w:hint="eastAsia" w:ascii="Calibri" w:hAnsi="Calibri" w:cs="Calibri"/>
                <w:i w:val="0"/>
                <w:iCs w:val="0"/>
                <w:color w:val="000000"/>
                <w:kern w:val="0"/>
                <w:sz w:val="22"/>
                <w:szCs w:val="22"/>
                <w:highlight w:val="none"/>
                <w:u w:val="none"/>
                <w:lang w:val="en-US" w:eastAsia="zh-CN"/>
              </w:rPr>
              <w:t>4</w:t>
            </w:r>
            <w:r>
              <w:rPr>
                <w:rFonts w:hint="eastAsia" w:ascii="仿宋_GB2312" w:hAnsi="宋体" w:eastAsia="仿宋_GB2312" w:cs="宋体"/>
                <w:b/>
                <w:bCs/>
                <w:color w:val="auto"/>
                <w:kern w:val="0"/>
                <w:sz w:val="20"/>
                <w:szCs w:val="20"/>
                <w:highlight w:val="none"/>
              </w:rPr>
              <w:t>　</w:t>
            </w:r>
          </w:p>
        </w:tc>
        <w:tc>
          <w:tcPr>
            <w:tcW w:w="193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rPr>
              <w:t>2257.44</w:t>
            </w:r>
            <w:r>
              <w:rPr>
                <w:rFonts w:hint="eastAsia" w:ascii="宋体" w:hAnsi="宋体" w:cs="宋体"/>
                <w:color w:val="auto"/>
                <w:kern w:val="0"/>
                <w:sz w:val="22"/>
                <w:szCs w:val="22"/>
                <w:highlight w:val="none"/>
              </w:rPr>
              <w:t>　</w:t>
            </w:r>
          </w:p>
        </w:tc>
        <w:tc>
          <w:tcPr>
            <w:tcW w:w="138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rPr>
              <w:t>2257.44</w:t>
            </w:r>
            <w:r>
              <w:rPr>
                <w:rFonts w:hint="eastAsia" w:ascii="宋体" w:hAnsi="宋体" w:cs="宋体"/>
                <w:color w:val="auto"/>
                <w:kern w:val="0"/>
                <w:sz w:val="22"/>
                <w:szCs w:val="22"/>
                <w:highlight w:val="none"/>
              </w:rPr>
              <w:t>　</w:t>
            </w:r>
          </w:p>
        </w:tc>
        <w:tc>
          <w:tcPr>
            <w:tcW w:w="1830"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rPr>
          <w:rFonts w:hint="default" w:ascii="宋体" w:hAnsi="宋体" w:eastAsia="宋体" w:cs="宋体"/>
          <w:i w:val="0"/>
          <w:color w:val="auto"/>
          <w:kern w:val="0"/>
          <w:sz w:val="20"/>
          <w:szCs w:val="20"/>
          <w:highlight w:val="none"/>
          <w:u w:val="none"/>
          <w:lang w:val="en-US" w:eastAsia="zh-CN"/>
        </w:rPr>
      </w:pPr>
      <w:r>
        <w:rPr>
          <w:rFonts w:hint="default" w:ascii="宋体" w:hAnsi="宋体" w:eastAsia="宋体" w:cs="宋体"/>
          <w:i w:val="0"/>
          <w:color w:val="auto"/>
          <w:kern w:val="0"/>
          <w:sz w:val="20"/>
          <w:szCs w:val="20"/>
          <w:highlight w:val="none"/>
          <w:u w:val="none"/>
          <w:lang w:val="en-US" w:eastAsia="zh-CN"/>
        </w:rPr>
        <w:br w:type="page"/>
      </w:r>
    </w:p>
    <w:p>
      <w:pPr>
        <w:widowControl/>
        <w:jc w:val="left"/>
        <w:textAlignment w:val="bottom"/>
        <w:rPr>
          <w:rFonts w:hint="default"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表5</w:t>
      </w:r>
    </w:p>
    <w:tbl>
      <w:tblPr>
        <w:tblStyle w:val="5"/>
        <w:tblW w:w="9214"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6"/>
        <w:gridCol w:w="498"/>
        <w:gridCol w:w="501"/>
        <w:gridCol w:w="2459"/>
        <w:gridCol w:w="1712"/>
        <w:gridCol w:w="215"/>
        <w:gridCol w:w="1610"/>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593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c>
        <w:tc>
          <w:tcPr>
            <w:tcW w:w="3283" w:type="dxa"/>
            <w:gridSpan w:val="2"/>
            <w:tcBorders>
              <w:top w:val="nil"/>
              <w:left w:val="nil"/>
              <w:bottom w:val="nil"/>
              <w:right w:val="nil"/>
            </w:tcBorders>
            <w:vAlign w:val="center"/>
          </w:tcPr>
          <w:p>
            <w:pPr>
              <w:widowControl/>
              <w:jc w:val="right"/>
              <w:rPr>
                <w:rFonts w:hint="eastAsia"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0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54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12"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7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4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2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7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201</w:t>
            </w:r>
          </w:p>
        </w:tc>
        <w:tc>
          <w:tcPr>
            <w:tcW w:w="498"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auto"/>
                <w:kern w:val="0"/>
                <w:sz w:val="20"/>
                <w:szCs w:val="20"/>
                <w:highlight w:val="none"/>
              </w:rPr>
            </w:pPr>
          </w:p>
        </w:tc>
        <w:tc>
          <w:tcPr>
            <w:tcW w:w="501"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一般公共服务支出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hint="default" w:ascii="仿宋_GB2312" w:hAnsi="宋体" w:eastAsia="仿宋_GB2312" w:cs="宋体"/>
                <w:b/>
                <w:color w:val="auto"/>
                <w:kern w:val="0"/>
                <w:sz w:val="20"/>
                <w:szCs w:val="20"/>
                <w:highlight w:val="none"/>
                <w:lang w:val="en-US"/>
              </w:rPr>
            </w:pPr>
            <w:r>
              <w:rPr>
                <w:rFonts w:hint="eastAsia" w:ascii="宋体" w:hAnsi="宋体" w:eastAsia="宋体" w:cs="宋体"/>
                <w:i w:val="0"/>
                <w:iCs w:val="0"/>
                <w:color w:val="000000"/>
                <w:kern w:val="0"/>
                <w:sz w:val="22"/>
                <w:szCs w:val="22"/>
                <w:highlight w:val="none"/>
                <w:u w:val="none"/>
                <w:lang w:val="en-US" w:eastAsia="zh-CN"/>
              </w:rPr>
              <w:t>1781.6</w:t>
            </w:r>
            <w:r>
              <w:rPr>
                <w:rFonts w:hint="eastAsia" w:ascii="宋体" w:hAnsi="宋体" w:cs="宋体"/>
                <w:i w:val="0"/>
                <w:iCs w:val="0"/>
                <w:color w:val="000000"/>
                <w:kern w:val="0"/>
                <w:sz w:val="22"/>
                <w:szCs w:val="22"/>
                <w:highlight w:val="none"/>
                <w:u w:val="none"/>
                <w:lang w:val="en-US" w:eastAsia="zh-CN"/>
              </w:rPr>
              <w:t>7</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1781.6</w:t>
            </w:r>
            <w:r>
              <w:rPr>
                <w:rFonts w:hint="eastAsia" w:ascii="宋体" w:hAnsi="宋体" w:cs="宋体"/>
                <w:i w:val="0"/>
                <w:iCs w:val="0"/>
                <w:color w:val="000000"/>
                <w:kern w:val="0"/>
                <w:sz w:val="22"/>
                <w:szCs w:val="22"/>
                <w:highlight w:val="none"/>
                <w:u w:val="none"/>
                <w:lang w:val="en-US" w:eastAsia="zh-CN"/>
              </w:rPr>
              <w:t>7</w:t>
            </w:r>
          </w:p>
        </w:tc>
        <w:tc>
          <w:tcPr>
            <w:tcW w:w="1673"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201</w:t>
            </w:r>
          </w:p>
        </w:tc>
        <w:tc>
          <w:tcPr>
            <w:tcW w:w="498"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w:t>
            </w: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纪检监察事务</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1781.6</w:t>
            </w:r>
            <w:r>
              <w:rPr>
                <w:rFonts w:hint="eastAsia" w:ascii="宋体" w:hAnsi="宋体" w:cs="宋体"/>
                <w:i w:val="0"/>
                <w:iCs w:val="0"/>
                <w:color w:val="000000"/>
                <w:kern w:val="0"/>
                <w:sz w:val="22"/>
                <w:szCs w:val="22"/>
                <w:highlight w:val="none"/>
                <w:u w:val="none"/>
                <w:lang w:val="en-US" w:eastAsia="zh-CN"/>
              </w:rPr>
              <w:t>7</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1781.6</w:t>
            </w:r>
            <w:r>
              <w:rPr>
                <w:rFonts w:hint="eastAsia" w:ascii="宋体" w:hAnsi="宋体" w:cs="宋体"/>
                <w:i w:val="0"/>
                <w:iCs w:val="0"/>
                <w:color w:val="000000"/>
                <w:kern w:val="0"/>
                <w:sz w:val="22"/>
                <w:szCs w:val="22"/>
                <w:highlight w:val="none"/>
                <w:u w:val="none"/>
                <w:lang w:val="en-US" w:eastAsia="zh-CN"/>
              </w:rPr>
              <w:t>7</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201</w:t>
            </w:r>
          </w:p>
        </w:tc>
        <w:tc>
          <w:tcPr>
            <w:tcW w:w="498"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w:t>
            </w:r>
          </w:p>
        </w:tc>
        <w:tc>
          <w:tcPr>
            <w:tcW w:w="501"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行政运行</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1781.6</w:t>
            </w:r>
            <w:r>
              <w:rPr>
                <w:rFonts w:hint="eastAsia" w:ascii="宋体" w:hAnsi="宋体" w:cs="宋体"/>
                <w:i w:val="0"/>
                <w:iCs w:val="0"/>
                <w:color w:val="000000"/>
                <w:kern w:val="0"/>
                <w:sz w:val="22"/>
                <w:szCs w:val="22"/>
                <w:highlight w:val="none"/>
                <w:u w:val="none"/>
                <w:lang w:val="en-US" w:eastAsia="zh-CN"/>
              </w:rPr>
              <w:t>7</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1781.6</w:t>
            </w:r>
            <w:r>
              <w:rPr>
                <w:rFonts w:hint="eastAsia" w:ascii="宋体" w:hAnsi="宋体" w:cs="宋体"/>
                <w:i w:val="0"/>
                <w:iCs w:val="0"/>
                <w:color w:val="000000"/>
                <w:kern w:val="0"/>
                <w:sz w:val="22"/>
                <w:szCs w:val="22"/>
                <w:highlight w:val="none"/>
                <w:u w:val="none"/>
                <w:lang w:val="en-US" w:eastAsia="zh-CN"/>
              </w:rPr>
              <w:t>7</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208</w:t>
            </w:r>
          </w:p>
        </w:tc>
        <w:tc>
          <w:tcPr>
            <w:tcW w:w="498"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社会保障和就业支出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200.5</w:t>
            </w:r>
            <w:r>
              <w:rPr>
                <w:rFonts w:hint="eastAsia" w:ascii="宋体" w:hAnsi="宋体" w:cs="宋体"/>
                <w:i w:val="0"/>
                <w:iCs w:val="0"/>
                <w:color w:val="000000"/>
                <w:kern w:val="0"/>
                <w:sz w:val="22"/>
                <w:szCs w:val="22"/>
                <w:highlight w:val="none"/>
                <w:u w:val="none"/>
                <w:lang w:val="en-US" w:eastAsia="zh-CN"/>
              </w:rPr>
              <w:t>4</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200.5</w:t>
            </w:r>
            <w:r>
              <w:rPr>
                <w:rFonts w:hint="eastAsia" w:ascii="宋体" w:hAnsi="宋体" w:cs="宋体"/>
                <w:i w:val="0"/>
                <w:iCs w:val="0"/>
                <w:color w:val="000000"/>
                <w:kern w:val="0"/>
                <w:sz w:val="22"/>
                <w:szCs w:val="22"/>
                <w:highlight w:val="none"/>
                <w:u w:val="none"/>
                <w:lang w:val="en-US" w:eastAsia="zh-CN"/>
              </w:rPr>
              <w:t>4</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208</w:t>
            </w:r>
          </w:p>
        </w:tc>
        <w:tc>
          <w:tcPr>
            <w:tcW w:w="49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05</w:t>
            </w: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行政事业单位养老支出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200.5</w:t>
            </w:r>
            <w:r>
              <w:rPr>
                <w:rFonts w:hint="eastAsia" w:ascii="宋体" w:hAnsi="宋体" w:cs="宋体"/>
                <w:i w:val="0"/>
                <w:iCs w:val="0"/>
                <w:color w:val="000000"/>
                <w:kern w:val="0"/>
                <w:sz w:val="22"/>
                <w:szCs w:val="22"/>
                <w:highlight w:val="none"/>
                <w:u w:val="none"/>
                <w:lang w:val="en-US" w:eastAsia="zh-CN"/>
              </w:rPr>
              <w:t>4</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200.5</w:t>
            </w:r>
            <w:r>
              <w:rPr>
                <w:rFonts w:hint="eastAsia" w:ascii="宋体" w:hAnsi="宋体" w:cs="宋体"/>
                <w:i w:val="0"/>
                <w:iCs w:val="0"/>
                <w:color w:val="000000"/>
                <w:kern w:val="0"/>
                <w:sz w:val="22"/>
                <w:szCs w:val="22"/>
                <w:highlight w:val="none"/>
                <w:u w:val="none"/>
                <w:lang w:val="en-US" w:eastAsia="zh-CN"/>
              </w:rPr>
              <w:t>4</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208</w:t>
            </w:r>
          </w:p>
        </w:tc>
        <w:tc>
          <w:tcPr>
            <w:tcW w:w="49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05</w:t>
            </w:r>
          </w:p>
        </w:tc>
        <w:tc>
          <w:tcPr>
            <w:tcW w:w="501"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01</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行政单位离退休</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5.3</w:t>
            </w:r>
            <w:r>
              <w:rPr>
                <w:rFonts w:hint="eastAsia" w:ascii="宋体" w:hAnsi="宋体" w:cs="宋体"/>
                <w:i w:val="0"/>
                <w:iCs w:val="0"/>
                <w:color w:val="000000"/>
                <w:kern w:val="0"/>
                <w:sz w:val="22"/>
                <w:szCs w:val="22"/>
                <w:highlight w:val="none"/>
                <w:u w:val="none"/>
                <w:lang w:val="en-US" w:eastAsia="zh-CN"/>
              </w:rPr>
              <w:t>8</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5.3</w:t>
            </w:r>
            <w:r>
              <w:rPr>
                <w:rFonts w:hint="eastAsia" w:ascii="宋体" w:hAnsi="宋体" w:cs="宋体"/>
                <w:i w:val="0"/>
                <w:iCs w:val="0"/>
                <w:color w:val="000000"/>
                <w:kern w:val="0"/>
                <w:sz w:val="22"/>
                <w:szCs w:val="22"/>
                <w:highlight w:val="none"/>
                <w:u w:val="none"/>
                <w:lang w:val="en-US" w:eastAsia="zh-CN"/>
              </w:rPr>
              <w:t>8</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208</w:t>
            </w:r>
          </w:p>
        </w:tc>
        <w:tc>
          <w:tcPr>
            <w:tcW w:w="49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05</w:t>
            </w:r>
          </w:p>
        </w:tc>
        <w:tc>
          <w:tcPr>
            <w:tcW w:w="501"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02</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事业单位离退休</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8.25</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8.25</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208</w:t>
            </w:r>
          </w:p>
        </w:tc>
        <w:tc>
          <w:tcPr>
            <w:tcW w:w="49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05</w:t>
            </w:r>
          </w:p>
        </w:tc>
        <w:tc>
          <w:tcPr>
            <w:tcW w:w="501"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机关事业单位基本养老保险缴费支出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186.91</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186.91</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210</w:t>
            </w:r>
          </w:p>
        </w:tc>
        <w:tc>
          <w:tcPr>
            <w:tcW w:w="498"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卫生健康支出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119.85</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119.85</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210</w:t>
            </w:r>
          </w:p>
        </w:tc>
        <w:tc>
          <w:tcPr>
            <w:tcW w:w="498"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w:t>
            </w: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行政事业单位医疗</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119.85</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119.85</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210</w:t>
            </w:r>
          </w:p>
        </w:tc>
        <w:tc>
          <w:tcPr>
            <w:tcW w:w="498"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w:t>
            </w:r>
          </w:p>
        </w:tc>
        <w:tc>
          <w:tcPr>
            <w:tcW w:w="501"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01</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行政单位医疗</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93.4</w:t>
            </w:r>
            <w:r>
              <w:rPr>
                <w:rFonts w:hint="eastAsia" w:ascii="宋体" w:hAnsi="宋体" w:cs="宋体"/>
                <w:i w:val="0"/>
                <w:iCs w:val="0"/>
                <w:color w:val="000000"/>
                <w:kern w:val="0"/>
                <w:sz w:val="22"/>
                <w:szCs w:val="22"/>
                <w:highlight w:val="none"/>
                <w:u w:val="none"/>
                <w:lang w:val="en-US" w:eastAsia="zh-CN"/>
              </w:rPr>
              <w:t>6</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93.4</w:t>
            </w:r>
            <w:r>
              <w:rPr>
                <w:rFonts w:hint="eastAsia" w:ascii="宋体" w:hAnsi="宋体" w:cs="宋体"/>
                <w:i w:val="0"/>
                <w:iCs w:val="0"/>
                <w:color w:val="000000"/>
                <w:kern w:val="0"/>
                <w:sz w:val="22"/>
                <w:szCs w:val="22"/>
                <w:highlight w:val="none"/>
                <w:u w:val="none"/>
                <w:lang w:val="en-US" w:eastAsia="zh-CN"/>
              </w:rPr>
              <w:t>6</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210</w:t>
            </w:r>
          </w:p>
        </w:tc>
        <w:tc>
          <w:tcPr>
            <w:tcW w:w="498"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w:t>
            </w:r>
          </w:p>
        </w:tc>
        <w:tc>
          <w:tcPr>
            <w:tcW w:w="501"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03</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公务员医疗补助</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25.70</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25.70</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210</w:t>
            </w:r>
          </w:p>
        </w:tc>
        <w:tc>
          <w:tcPr>
            <w:tcW w:w="498"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w:t>
            </w:r>
          </w:p>
        </w:tc>
        <w:tc>
          <w:tcPr>
            <w:tcW w:w="501"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99</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其他行政事业单位医疗支出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0.69</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0.69</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221</w:t>
            </w:r>
          </w:p>
        </w:tc>
        <w:tc>
          <w:tcPr>
            <w:tcW w:w="498"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住房保障支出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155.38</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155.38</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221</w:t>
            </w:r>
          </w:p>
        </w:tc>
        <w:tc>
          <w:tcPr>
            <w:tcW w:w="49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02</w:t>
            </w: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住房改革支出</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w:t>
            </w:r>
            <w:r>
              <w:rPr>
                <w:rFonts w:hint="eastAsia" w:ascii="宋体" w:hAnsi="宋体" w:cs="宋体"/>
                <w:i w:val="0"/>
                <w:iCs w:val="0"/>
                <w:color w:val="000000"/>
                <w:kern w:val="0"/>
                <w:sz w:val="22"/>
                <w:szCs w:val="22"/>
                <w:highlight w:val="none"/>
                <w:u w:val="none"/>
                <w:lang w:val="en-US" w:eastAsia="zh-CN"/>
              </w:rPr>
              <w:t>8</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w:t>
            </w:r>
            <w:r>
              <w:rPr>
                <w:rFonts w:hint="eastAsia" w:ascii="宋体" w:hAnsi="宋体" w:cs="宋体"/>
                <w:i w:val="0"/>
                <w:iCs w:val="0"/>
                <w:color w:val="000000"/>
                <w:kern w:val="0"/>
                <w:sz w:val="22"/>
                <w:szCs w:val="22"/>
                <w:highlight w:val="none"/>
                <w:u w:val="none"/>
                <w:lang w:val="en-US" w:eastAsia="zh-CN"/>
              </w:rPr>
              <w:t>8</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221</w:t>
            </w:r>
          </w:p>
        </w:tc>
        <w:tc>
          <w:tcPr>
            <w:tcW w:w="49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02</w:t>
            </w:r>
          </w:p>
        </w:tc>
        <w:tc>
          <w:tcPr>
            <w:tcW w:w="501"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cs="宋体"/>
                <w:color w:val="auto"/>
                <w:kern w:val="0"/>
                <w:sz w:val="20"/>
                <w:szCs w:val="20"/>
                <w:highlight w:val="none"/>
                <w:lang w:val="en-US"/>
              </w:rPr>
            </w:pPr>
            <w:r>
              <w:rPr>
                <w:rFonts w:hint="eastAsia" w:ascii="宋体" w:hAnsi="宋体" w:cs="宋体"/>
                <w:i w:val="0"/>
                <w:iCs w:val="0"/>
                <w:color w:val="000000"/>
                <w:kern w:val="0"/>
                <w:sz w:val="22"/>
                <w:szCs w:val="22"/>
                <w:highlight w:val="none"/>
                <w:u w:val="none"/>
                <w:lang w:val="en-US" w:eastAsia="zh-CN"/>
              </w:rPr>
              <w:t>01</w:t>
            </w: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住房公积金</w:t>
            </w:r>
          </w:p>
        </w:tc>
        <w:tc>
          <w:tcPr>
            <w:tcW w:w="171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155.38</w:t>
            </w:r>
          </w:p>
        </w:tc>
        <w:tc>
          <w:tcPr>
            <w:tcW w:w="1825"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155.38</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auto"/>
                <w:kern w:val="0"/>
                <w:sz w:val="20"/>
                <w:szCs w:val="20"/>
                <w:highlight w:val="none"/>
              </w:rPr>
            </w:pPr>
          </w:p>
        </w:tc>
        <w:tc>
          <w:tcPr>
            <w:tcW w:w="17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825"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45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1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2257.44</w:t>
            </w:r>
          </w:p>
        </w:tc>
        <w:tc>
          <w:tcPr>
            <w:tcW w:w="1825"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2257.44</w:t>
            </w:r>
          </w:p>
        </w:tc>
        <w:tc>
          <w:tcPr>
            <w:tcW w:w="167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bl>
    <w:p>
      <w:pPr>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br w:type="page"/>
      </w: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表6</w:t>
      </w:r>
    </w:p>
    <w:tbl>
      <w:tblPr>
        <w:tblStyle w:val="5"/>
        <w:tblW w:w="9328" w:type="dxa"/>
        <w:tblInd w:w="-1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
        <w:gridCol w:w="643"/>
        <w:gridCol w:w="577"/>
        <w:gridCol w:w="2891"/>
        <w:gridCol w:w="995"/>
        <w:gridCol w:w="706"/>
        <w:gridCol w:w="119"/>
        <w:gridCol w:w="857"/>
        <w:gridCol w:w="725"/>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9328" w:type="dxa"/>
            <w:gridSpan w:val="10"/>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114" w:type="dxa"/>
          <w:trHeight w:val="285" w:hRule="atLeast"/>
        </w:trPr>
        <w:tc>
          <w:tcPr>
            <w:tcW w:w="593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c>
        <w:tc>
          <w:tcPr>
            <w:tcW w:w="3283" w:type="dxa"/>
            <w:gridSpan w:val="3"/>
            <w:tcBorders>
              <w:top w:val="nil"/>
              <w:left w:val="nil"/>
              <w:bottom w:val="nil"/>
              <w:right w:val="nil"/>
            </w:tcBorders>
            <w:vAlign w:val="center"/>
          </w:tcPr>
          <w:p>
            <w:pPr>
              <w:widowControl/>
              <w:jc w:val="right"/>
              <w:rPr>
                <w:rFonts w:hint="eastAsia"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225" w:type="dxa"/>
            <w:gridSpan w:val="4"/>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4" w:hRule="atLeast"/>
        </w:trPr>
        <w:tc>
          <w:tcPr>
            <w:tcW w:w="422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6"/>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334" w:type="dxa"/>
            <w:gridSpan w:val="3"/>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757" w:type="dxa"/>
            <w:gridSpan w:val="2"/>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3"/>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top"/>
          </w:tcPr>
          <w:p>
            <w:pPr>
              <w:widowControl/>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0"/>
                <w:szCs w:val="20"/>
                <w:highlight w:val="none"/>
                <w:lang w:val="en-US"/>
              </w:rPr>
            </w:pPr>
            <w:r>
              <w:rPr>
                <w:rFonts w:hint="eastAsia" w:ascii="宋体" w:hAnsi="宋体" w:eastAsia="宋体" w:cs="宋体"/>
                <w:i w:val="0"/>
                <w:iCs w:val="0"/>
                <w:color w:val="000000"/>
                <w:kern w:val="0"/>
                <w:sz w:val="22"/>
                <w:szCs w:val="22"/>
                <w:highlight w:val="none"/>
                <w:u w:val="none"/>
                <w:lang w:val="en-US" w:eastAsia="zh-CN"/>
              </w:rPr>
              <w:t>1814.4</w:t>
            </w:r>
            <w:r>
              <w:rPr>
                <w:rFonts w:hint="eastAsia" w:ascii="宋体" w:hAnsi="宋体" w:cs="宋体"/>
                <w:i w:val="0"/>
                <w:iCs w:val="0"/>
                <w:color w:val="000000"/>
                <w:kern w:val="0"/>
                <w:sz w:val="22"/>
                <w:szCs w:val="22"/>
                <w:highlight w:val="none"/>
                <w:u w:val="none"/>
                <w:lang w:val="en-US" w:eastAsia="zh-CN"/>
              </w:rPr>
              <w:t>5</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1814.4</w:t>
            </w:r>
            <w:r>
              <w:rPr>
                <w:rFonts w:hint="eastAsia" w:ascii="宋体" w:hAnsi="宋体" w:cs="宋体"/>
                <w:i w:val="0"/>
                <w:iCs w:val="0"/>
                <w:color w:val="000000"/>
                <w:kern w:val="0"/>
                <w:sz w:val="22"/>
                <w:szCs w:val="22"/>
                <w:highlight w:val="none"/>
                <w:u w:val="none"/>
                <w:lang w:val="en-US" w:eastAsia="zh-CN"/>
              </w:rPr>
              <w:t>5</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highlight w:val="none"/>
                <w:u w:val="none"/>
                <w:lang w:val="en-US" w:eastAsia="zh-CN"/>
              </w:rPr>
              <w:t>01</w:t>
            </w:r>
          </w:p>
        </w:tc>
        <w:tc>
          <w:tcPr>
            <w:tcW w:w="2891" w:type="dxa"/>
            <w:tcBorders>
              <w:top w:val="nil"/>
              <w:left w:val="nil"/>
              <w:bottom w:val="single" w:color="auto" w:sz="4" w:space="0"/>
              <w:right w:val="single" w:color="auto" w:sz="4" w:space="0"/>
            </w:tcBorders>
            <w:vAlign w:val="top"/>
          </w:tcPr>
          <w:p>
            <w:pPr>
              <w:widowControl/>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基本工资</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450.6</w:t>
            </w:r>
            <w:r>
              <w:rPr>
                <w:rFonts w:hint="eastAsia" w:ascii="宋体" w:hAnsi="宋体" w:cs="宋体"/>
                <w:i w:val="0"/>
                <w:iCs w:val="0"/>
                <w:color w:val="000000"/>
                <w:kern w:val="0"/>
                <w:sz w:val="22"/>
                <w:szCs w:val="22"/>
                <w:highlight w:val="none"/>
                <w:u w:val="none"/>
                <w:lang w:val="en-US" w:eastAsia="zh-CN"/>
              </w:rPr>
              <w:t>0</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450.6</w:t>
            </w:r>
            <w:r>
              <w:rPr>
                <w:rFonts w:hint="eastAsia" w:ascii="宋体" w:hAnsi="宋体" w:cs="宋体"/>
                <w:i w:val="0"/>
                <w:iCs w:val="0"/>
                <w:color w:val="000000"/>
                <w:kern w:val="0"/>
                <w:sz w:val="22"/>
                <w:szCs w:val="22"/>
                <w:highlight w:val="none"/>
                <w:u w:val="none"/>
                <w:lang w:val="en-US" w:eastAsia="zh-CN"/>
              </w:rPr>
              <w:t>0</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default" w:ascii="Calibri" w:hAnsi="Calibri" w:eastAsia="宋体" w:cs="Calibri"/>
                <w:i w:val="0"/>
                <w:iCs w:val="0"/>
                <w:color w:val="000000"/>
                <w:kern w:val="0"/>
                <w:sz w:val="22"/>
                <w:szCs w:val="22"/>
                <w:highlight w:val="none"/>
                <w:u w:val="none"/>
                <w:lang w:val="en-US" w:eastAsia="zh-CN"/>
              </w:rPr>
              <w:t>02</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津贴补贴</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461.4</w:t>
            </w:r>
            <w:r>
              <w:rPr>
                <w:rFonts w:hint="eastAsia" w:ascii="宋体" w:hAnsi="宋体" w:cs="宋体"/>
                <w:i w:val="0"/>
                <w:iCs w:val="0"/>
                <w:color w:val="000000"/>
                <w:kern w:val="0"/>
                <w:sz w:val="22"/>
                <w:szCs w:val="22"/>
                <w:highlight w:val="none"/>
                <w:u w:val="none"/>
                <w:lang w:val="en-US" w:eastAsia="zh-CN"/>
              </w:rPr>
              <w:t>8</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461.4</w:t>
            </w:r>
            <w:r>
              <w:rPr>
                <w:rFonts w:hint="eastAsia" w:ascii="宋体" w:hAnsi="宋体" w:cs="宋体"/>
                <w:i w:val="0"/>
                <w:iCs w:val="0"/>
                <w:color w:val="000000"/>
                <w:kern w:val="0"/>
                <w:sz w:val="22"/>
                <w:szCs w:val="22"/>
                <w:highlight w:val="none"/>
                <w:u w:val="none"/>
                <w:lang w:val="en-US" w:eastAsia="zh-CN"/>
              </w:rPr>
              <w:t>8</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奖金</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378.67</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378.67</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绩效工资</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35.13</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35.13</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186.91</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186.91</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93.4</w:t>
            </w:r>
            <w:r>
              <w:rPr>
                <w:rFonts w:hint="eastAsia" w:ascii="宋体" w:hAnsi="宋体" w:cs="宋体"/>
                <w:i w:val="0"/>
                <w:iCs w:val="0"/>
                <w:color w:val="000000"/>
                <w:kern w:val="0"/>
                <w:sz w:val="22"/>
                <w:szCs w:val="22"/>
                <w:highlight w:val="none"/>
                <w:u w:val="none"/>
                <w:lang w:val="en-US" w:eastAsia="zh-CN"/>
              </w:rPr>
              <w:t>6</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93.4</w:t>
            </w:r>
            <w:r>
              <w:rPr>
                <w:rFonts w:hint="eastAsia" w:ascii="宋体" w:hAnsi="宋体" w:cs="宋体"/>
                <w:i w:val="0"/>
                <w:iCs w:val="0"/>
                <w:color w:val="000000"/>
                <w:kern w:val="0"/>
                <w:sz w:val="22"/>
                <w:szCs w:val="22"/>
                <w:highlight w:val="none"/>
                <w:u w:val="none"/>
                <w:lang w:val="en-US" w:eastAsia="zh-CN"/>
              </w:rPr>
              <w:t>6</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25.7</w:t>
            </w:r>
            <w:r>
              <w:rPr>
                <w:rFonts w:hint="eastAsia" w:ascii="宋体" w:hAnsi="宋体" w:cs="宋体"/>
                <w:i w:val="0"/>
                <w:iCs w:val="0"/>
                <w:color w:val="000000"/>
                <w:kern w:val="0"/>
                <w:sz w:val="22"/>
                <w:szCs w:val="22"/>
                <w:highlight w:val="none"/>
                <w:u w:val="none"/>
                <w:lang w:val="en-US" w:eastAsia="zh-CN"/>
              </w:rPr>
              <w:t>0</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25.7</w:t>
            </w:r>
            <w:r>
              <w:rPr>
                <w:rFonts w:hint="eastAsia" w:ascii="宋体" w:hAnsi="宋体" w:cs="宋体"/>
                <w:i w:val="0"/>
                <w:iCs w:val="0"/>
                <w:color w:val="000000"/>
                <w:kern w:val="0"/>
                <w:sz w:val="22"/>
                <w:szCs w:val="22"/>
                <w:highlight w:val="none"/>
                <w:u w:val="none"/>
                <w:lang w:val="en-US" w:eastAsia="zh-CN"/>
              </w:rPr>
              <w:t>0</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6.0</w:t>
            </w:r>
            <w:r>
              <w:rPr>
                <w:rFonts w:hint="eastAsia" w:ascii="宋体" w:hAnsi="宋体" w:cs="宋体"/>
                <w:i w:val="0"/>
                <w:iCs w:val="0"/>
                <w:color w:val="000000"/>
                <w:kern w:val="0"/>
                <w:sz w:val="22"/>
                <w:szCs w:val="22"/>
                <w:highlight w:val="none"/>
                <w:u w:val="none"/>
                <w:lang w:val="en-US" w:eastAsia="zh-CN"/>
              </w:rPr>
              <w:t>1</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6.0</w:t>
            </w:r>
            <w:r>
              <w:rPr>
                <w:rFonts w:hint="eastAsia" w:ascii="宋体" w:hAnsi="宋体" w:cs="宋体"/>
                <w:i w:val="0"/>
                <w:iCs w:val="0"/>
                <w:color w:val="000000"/>
                <w:kern w:val="0"/>
                <w:sz w:val="22"/>
                <w:szCs w:val="22"/>
                <w:highlight w:val="none"/>
                <w:u w:val="none"/>
                <w:lang w:val="en-US" w:eastAsia="zh-CN"/>
              </w:rPr>
              <w:t>1</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155.38</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155.38</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21.1</w:t>
            </w:r>
            <w:r>
              <w:rPr>
                <w:rFonts w:hint="eastAsia" w:ascii="宋体" w:hAnsi="宋体" w:cs="宋体"/>
                <w:i w:val="0"/>
                <w:iCs w:val="0"/>
                <w:color w:val="000000"/>
                <w:kern w:val="0"/>
                <w:sz w:val="22"/>
                <w:szCs w:val="22"/>
                <w:highlight w:val="none"/>
                <w:u w:val="none"/>
                <w:lang w:val="en-US" w:eastAsia="zh-CN"/>
              </w:rPr>
              <w:t>1</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21.1</w:t>
            </w:r>
            <w:r>
              <w:rPr>
                <w:rFonts w:hint="eastAsia" w:ascii="宋体" w:hAnsi="宋体" w:cs="宋体"/>
                <w:i w:val="0"/>
                <w:iCs w:val="0"/>
                <w:color w:val="000000"/>
                <w:kern w:val="0"/>
                <w:sz w:val="22"/>
                <w:szCs w:val="22"/>
                <w:highlight w:val="none"/>
                <w:u w:val="none"/>
                <w:lang w:val="en-US" w:eastAsia="zh-CN"/>
              </w:rPr>
              <w:t>1</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429.23</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429.23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办公费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100</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印刷费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咨询费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0.5</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水费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1.67</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电费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8.3</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邮电费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7.2</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取暖费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9.43</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物业管理费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0.5</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widowControl/>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差旅费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5</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维修（护）费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租赁费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6</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培训费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7.2</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公务接待费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6</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劳务费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84</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工会经费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23.23</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26.4</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其他交通费用</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2.4</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其他商品和服务支出</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97.</w:t>
            </w:r>
            <w:r>
              <w:rPr>
                <w:rFonts w:hint="eastAsia" w:ascii="宋体" w:hAnsi="宋体" w:cs="宋体"/>
                <w:i w:val="0"/>
                <w:iCs w:val="0"/>
                <w:color w:val="000000"/>
                <w:kern w:val="0"/>
                <w:sz w:val="22"/>
                <w:szCs w:val="22"/>
                <w:highlight w:val="none"/>
                <w:u w:val="none"/>
                <w:lang w:val="en-US" w:eastAsia="zh-CN"/>
              </w:rPr>
              <w:t>4</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97.</w:t>
            </w:r>
            <w:r>
              <w:rPr>
                <w:rFonts w:hint="eastAsia" w:ascii="宋体" w:hAnsi="宋体" w:cs="宋体"/>
                <w:i w:val="0"/>
                <w:iCs w:val="0"/>
                <w:color w:val="000000"/>
                <w:kern w:val="0"/>
                <w:sz w:val="22"/>
                <w:szCs w:val="22"/>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13.76</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13.76</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退休费</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12.45</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12.45</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奖励金</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1.17</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1.17</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widowControl/>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rPr>
              <w:t>其他对个人和家庭的补助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0.1</w:t>
            </w:r>
            <w:r>
              <w:rPr>
                <w:rFonts w:hint="eastAsia" w:ascii="宋体" w:hAnsi="宋体" w:cs="宋体"/>
                <w:i w:val="0"/>
                <w:iCs w:val="0"/>
                <w:color w:val="000000"/>
                <w:kern w:val="0"/>
                <w:sz w:val="22"/>
                <w:szCs w:val="22"/>
                <w:highlight w:val="none"/>
                <w:u w:val="none"/>
                <w:lang w:val="en-US" w:eastAsia="zh-CN"/>
              </w:rPr>
              <w:t>4</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0.1</w:t>
            </w:r>
            <w:r>
              <w:rPr>
                <w:rFonts w:hint="eastAsia" w:ascii="宋体" w:hAnsi="宋体" w:cs="宋体"/>
                <w:i w:val="0"/>
                <w:iCs w:val="0"/>
                <w:color w:val="000000"/>
                <w:kern w:val="0"/>
                <w:sz w:val="22"/>
                <w:szCs w:val="22"/>
                <w:highlight w:val="none"/>
                <w:u w:val="none"/>
                <w:lang w:val="en-US" w:eastAsia="zh-CN"/>
              </w:rPr>
              <w:t>4</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757" w:type="dxa"/>
            <w:gridSpan w:val="2"/>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2257.44</w:t>
            </w:r>
          </w:p>
        </w:tc>
        <w:tc>
          <w:tcPr>
            <w:tcW w:w="1701" w:type="dxa"/>
            <w:gridSpan w:val="3"/>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1828.2</w:t>
            </w:r>
            <w:r>
              <w:rPr>
                <w:rFonts w:hint="eastAsia" w:ascii="宋体" w:hAnsi="宋体" w:cs="宋体"/>
                <w:i w:val="0"/>
                <w:iCs w:val="0"/>
                <w:color w:val="000000"/>
                <w:kern w:val="0"/>
                <w:sz w:val="22"/>
                <w:szCs w:val="22"/>
                <w:highlight w:val="none"/>
                <w:u w:val="none"/>
                <w:lang w:val="en-US" w:eastAsia="zh-CN"/>
              </w:rPr>
              <w:t>1</w:t>
            </w:r>
          </w:p>
        </w:tc>
        <w:tc>
          <w:tcPr>
            <w:tcW w:w="170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rPr>
              <w:t>429.23</w:t>
            </w:r>
          </w:p>
        </w:tc>
      </w:tr>
    </w:tbl>
    <w:p>
      <w:pPr>
        <w:widowControl/>
        <w:wordWrap/>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widowControl/>
        <w:wordWrap/>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br w:type="page"/>
      </w:r>
    </w:p>
    <w:p>
      <w:pPr>
        <w:widowControl/>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表7</w:t>
      </w:r>
    </w:p>
    <w:tbl>
      <w:tblPr>
        <w:tblStyle w:val="5"/>
        <w:tblW w:w="954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8" w:type="dxa"/>
          <w:wAfter w:w="77" w:type="dxa"/>
          <w:trHeight w:val="405" w:hRule="atLeast"/>
        </w:trPr>
        <w:tc>
          <w:tcPr>
            <w:tcW w:w="6976" w:type="dxa"/>
            <w:gridSpan w:val="11"/>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c>
        <w:tc>
          <w:tcPr>
            <w:tcW w:w="2479" w:type="dxa"/>
            <w:gridSpan w:val="6"/>
            <w:tcBorders>
              <w:top w:val="nil"/>
              <w:left w:val="nil"/>
              <w:bottom w:val="nil"/>
              <w:right w:val="nil"/>
            </w:tcBorders>
            <w:vAlign w:val="center"/>
          </w:tcPr>
          <w:p>
            <w:pPr>
              <w:widowControl/>
              <w:jc w:val="right"/>
              <w:rPr>
                <w:rFonts w:hint="eastAsia"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本单位2024年没有一般公共预算项目支出，此表为空表</w:t>
      </w:r>
      <w:r>
        <w:rPr>
          <w:rFonts w:hint="eastAsia" w:ascii="仿宋_GB2312" w:hAnsi="宋体" w:eastAsia="仿宋_GB2312"/>
          <w:b/>
          <w:color w:val="auto"/>
          <w:kern w:val="0"/>
          <w:sz w:val="28"/>
          <w:szCs w:val="32"/>
          <w:highlight w:val="none"/>
        </w:rPr>
        <w:t>。</w:t>
      </w:r>
    </w:p>
    <w:p>
      <w:pPr>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br w:type="page"/>
      </w:r>
    </w:p>
    <w:p>
      <w:pPr>
        <w:widowControl/>
        <w:jc w:val="left"/>
        <w:textAlignment w:val="bottom"/>
        <w:rPr>
          <w:rFonts w:hint="default" w:ascii="宋体" w:hAnsi="宋体" w:eastAsia="宋体" w:cs="宋体"/>
          <w:i w:val="0"/>
          <w:color w:val="auto"/>
          <w:kern w:val="0"/>
          <w:sz w:val="20"/>
          <w:szCs w:val="20"/>
          <w:highlight w:val="none"/>
          <w:u w:val="none"/>
          <w:lang w:eastAsia="zh-CN"/>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outlineLvl w:val="1"/>
        <w:rPr>
          <w:rFonts w:hint="eastAsia" w:ascii="宋体" w:hAnsi="宋体" w:eastAsia="宋体" w:cs="宋体"/>
          <w:i w:val="0"/>
          <w:color w:val="auto"/>
          <w:kern w:val="0"/>
          <w:sz w:val="20"/>
          <w:szCs w:val="20"/>
          <w:highlight w:val="none"/>
          <w:u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w:t>
      </w: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28"/>
          <w:szCs w:val="32"/>
          <w:highlight w:val="none"/>
          <w:lang w:val="en-US" w:eastAsia="zh-CN"/>
        </w:rPr>
        <w:t>，此表为空表</w:t>
      </w:r>
      <w:r>
        <w:rPr>
          <w:rFonts w:hint="eastAsia" w:ascii="仿宋_GB2312" w:hAnsi="宋体" w:eastAsia="仿宋_GB2312"/>
          <w:b/>
          <w:color w:val="auto"/>
          <w:kern w:val="0"/>
          <w:sz w:val="28"/>
          <w:szCs w:val="32"/>
          <w:highlight w:val="none"/>
        </w:rPr>
        <w:t>。</w:t>
      </w:r>
    </w:p>
    <w:p>
      <w:pPr>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br w:type="page"/>
      </w:r>
    </w:p>
    <w:p>
      <w:pPr>
        <w:widowControl/>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rPr>
        <w:t>表</w:t>
      </w:r>
      <w:r>
        <w:rPr>
          <w:rFonts w:hint="eastAsia" w:ascii="宋体" w:hAnsi="宋体" w:cs="宋体"/>
          <w:i w:val="0"/>
          <w:color w:val="auto"/>
          <w:kern w:val="0"/>
          <w:sz w:val="20"/>
          <w:szCs w:val="20"/>
          <w:highlight w:val="none"/>
          <w:u w:val="none"/>
          <w:lang w:val="en-US" w:eastAsia="zh-CN"/>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outlineLvl w:val="1"/>
        <w:rPr>
          <w:rFonts w:hint="eastAsia" w:ascii="宋体" w:hAnsi="宋体" w:eastAsia="宋体" w:cs="宋体"/>
          <w:i w:val="0"/>
          <w:color w:val="auto"/>
          <w:kern w:val="0"/>
          <w:sz w:val="20"/>
          <w:szCs w:val="20"/>
          <w:highlight w:val="none"/>
          <w:u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本单位2024年没有国有资本经营预算</w:t>
      </w:r>
      <w:r>
        <w:rPr>
          <w:rFonts w:hint="eastAsia" w:ascii="仿宋_GB2312" w:hAnsi="宋体" w:eastAsia="仿宋_GB2312"/>
          <w:b/>
          <w:color w:val="auto"/>
          <w:kern w:val="0"/>
          <w:sz w:val="32"/>
          <w:szCs w:val="32"/>
          <w:highlight w:val="none"/>
          <w:lang w:val="en-US" w:eastAsia="zh-CN"/>
        </w:rPr>
        <w:t>支出</w:t>
      </w:r>
      <w:r>
        <w:rPr>
          <w:rFonts w:hint="eastAsia" w:ascii="仿宋_GB2312" w:hAnsi="宋体" w:eastAsia="仿宋_GB2312"/>
          <w:b/>
          <w:color w:val="auto"/>
          <w:kern w:val="0"/>
          <w:sz w:val="28"/>
          <w:szCs w:val="32"/>
          <w:highlight w:val="none"/>
          <w:lang w:val="en-US" w:eastAsia="zh-CN"/>
        </w:rPr>
        <w:t>，此表为空表</w:t>
      </w:r>
      <w:r>
        <w:rPr>
          <w:rFonts w:hint="eastAsia" w:ascii="仿宋_GB2312" w:hAnsi="宋体" w:eastAsia="仿宋_GB2312"/>
          <w:b/>
          <w:color w:val="auto"/>
          <w:kern w:val="0"/>
          <w:sz w:val="28"/>
          <w:szCs w:val="32"/>
          <w:highlight w:val="none"/>
        </w:rPr>
        <w:t>。</w:t>
      </w:r>
    </w:p>
    <w:p>
      <w:pPr>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br w:type="page"/>
      </w:r>
    </w:p>
    <w:p>
      <w:pPr>
        <w:widowControl/>
        <w:jc w:val="left"/>
        <w:textAlignment w:val="bottom"/>
        <w:rPr>
          <w:rFonts w:hint="eastAsia" w:ascii="宋体" w:hAnsi="宋体" w:eastAsia="宋体" w:cs="宋体"/>
          <w:i w:val="0"/>
          <w:color w:val="auto"/>
          <w:kern w:val="0"/>
          <w:sz w:val="20"/>
          <w:szCs w:val="20"/>
          <w:highlight w:val="none"/>
          <w:u w:val="none"/>
          <w:lang w:val="en-US" w:eastAsia="zh-CN"/>
        </w:rPr>
      </w:pPr>
    </w:p>
    <w:p>
      <w:pPr>
        <w:widowControl/>
        <w:jc w:val="left"/>
        <w:textAlignment w:val="bottom"/>
        <w:rPr>
          <w:rFonts w:hint="default" w:ascii="宋体" w:hAnsi="宋体" w:eastAsia="宋体" w:cs="宋体"/>
          <w:i w:val="0"/>
          <w:color w:val="auto"/>
          <w:kern w:val="0"/>
          <w:sz w:val="20"/>
          <w:szCs w:val="20"/>
          <w:highlight w:val="none"/>
          <w:u w:val="none"/>
          <w:lang w:eastAsia="zh-CN"/>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rPr>
        <w:t>财政拨款</w:t>
      </w:r>
      <w:r>
        <w:rPr>
          <w:rFonts w:hint="eastAsia" w:ascii="仿宋_GB2312" w:hAnsi="宋体" w:eastAsia="仿宋_GB2312"/>
          <w:b/>
          <w:color w:val="auto"/>
          <w:kern w:val="0"/>
          <w:sz w:val="32"/>
          <w:szCs w:val="32"/>
          <w:highlight w:val="none"/>
        </w:rPr>
        <w:t>“三公”经费支出情况表</w:t>
      </w:r>
    </w:p>
    <w:p>
      <w:pPr>
        <w:widowControl/>
        <w:spacing w:line="280" w:lineRule="exact"/>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编制单位：中国共产党呼图壁县纪律检查委员会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lang w:eastAsia="zh-CN"/>
              </w:rPr>
              <w:t>“</w:t>
            </w:r>
            <w:r>
              <w:rPr>
                <w:rFonts w:hint="eastAsia" w:ascii="仿宋_GB2312" w:hAnsi="宋体" w:eastAsia="仿宋_GB2312"/>
                <w:b/>
                <w:color w:val="auto"/>
                <w:kern w:val="0"/>
                <w:sz w:val="28"/>
                <w:szCs w:val="32"/>
                <w:highlight w:val="none"/>
              </w:rPr>
              <w:t>三公</w:t>
            </w:r>
            <w:r>
              <w:rPr>
                <w:rFonts w:hint="eastAsia" w:ascii="仿宋_GB2312" w:hAnsi="宋体" w:eastAsia="仿宋_GB2312"/>
                <w:b/>
                <w:color w:val="auto"/>
                <w:kern w:val="0"/>
                <w:sz w:val="28"/>
                <w:szCs w:val="32"/>
                <w:highlight w:val="none"/>
                <w:lang w:eastAsia="zh-CN"/>
              </w:rPr>
              <w:t>”</w:t>
            </w:r>
            <w:r>
              <w:rPr>
                <w:rFonts w:hint="eastAsia" w:ascii="仿宋_GB2312" w:hAnsi="宋体" w:eastAsia="仿宋_GB2312"/>
                <w:b/>
                <w:color w:val="auto"/>
                <w:kern w:val="0"/>
                <w:sz w:val="28"/>
                <w:szCs w:val="32"/>
                <w:highlight w:val="none"/>
                <w:lang w:val="en-US" w:eastAsia="zh-CN"/>
              </w:rPr>
              <w:t>经费</w:t>
            </w:r>
            <w:r>
              <w:rPr>
                <w:rFonts w:hint="eastAsia" w:ascii="仿宋_GB2312" w:hAnsi="宋体" w:eastAsia="仿宋_GB2312"/>
                <w:b/>
                <w:color w:val="auto"/>
                <w:kern w:val="0"/>
                <w:sz w:val="28"/>
                <w:szCs w:val="32"/>
                <w:highlight w:val="no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lang w:val="en-US"/>
              </w:rPr>
            </w:pPr>
            <w:r>
              <w:rPr>
                <w:rFonts w:hint="eastAsia" w:ascii="仿宋_GB2312" w:hAnsi="宋体" w:eastAsia="仿宋_GB2312"/>
                <w:b/>
                <w:color w:val="auto"/>
                <w:kern w:val="0"/>
                <w:sz w:val="28"/>
                <w:szCs w:val="32"/>
                <w:highlight w:val="none"/>
                <w:lang w:val="en-U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lang w:val="en-US"/>
              </w:rPr>
            </w:pPr>
            <w:r>
              <w:rPr>
                <w:rFonts w:hint="eastAsia" w:ascii="仿宋_GB2312" w:hAnsi="宋体" w:eastAsia="仿宋_GB2312"/>
                <w:b/>
                <w:color w:val="auto"/>
                <w:kern w:val="0"/>
                <w:sz w:val="28"/>
                <w:szCs w:val="32"/>
                <w:highlight w:val="none"/>
                <w:lang w:val="en-U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lang w:val="en-US"/>
              </w:rPr>
            </w:pPr>
            <w:r>
              <w:rPr>
                <w:rFonts w:hint="eastAsia" w:ascii="仿宋_GB2312" w:hAnsi="宋体" w:eastAsia="仿宋_GB2312"/>
                <w:b/>
                <w:color w:val="auto"/>
                <w:kern w:val="0"/>
                <w:sz w:val="28"/>
                <w:szCs w:val="32"/>
                <w:highlight w:val="none"/>
                <w:lang w:val="en-U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1215" w:type="dxa"/>
            <w:vAlign w:val="top"/>
          </w:tcPr>
          <w:p>
            <w:pPr>
              <w:widowControl/>
              <w:outlineLvl w:val="1"/>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32.4</w:t>
            </w:r>
          </w:p>
        </w:tc>
        <w:tc>
          <w:tcPr>
            <w:tcW w:w="1314" w:type="dxa"/>
            <w:vAlign w:val="top"/>
          </w:tcPr>
          <w:p>
            <w:pPr>
              <w:widowControl/>
              <w:outlineLvl w:val="1"/>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32.4</w:t>
            </w:r>
          </w:p>
        </w:tc>
        <w:tc>
          <w:tcPr>
            <w:tcW w:w="1595" w:type="dxa"/>
            <w:vAlign w:val="top"/>
          </w:tcPr>
          <w:p>
            <w:pPr>
              <w:widowControl/>
              <w:outlineLvl w:val="1"/>
              <w:rPr>
                <w:rFonts w:hint="eastAsia" w:ascii="仿宋_GB2312" w:hAnsi="宋体" w:eastAsia="仿宋_GB2312"/>
                <w:b/>
                <w:color w:val="auto"/>
                <w:kern w:val="0"/>
                <w:sz w:val="28"/>
                <w:szCs w:val="32"/>
                <w:highlight w:val="none"/>
              </w:rPr>
            </w:pPr>
          </w:p>
        </w:tc>
        <w:tc>
          <w:tcPr>
            <w:tcW w:w="1621" w:type="dxa"/>
            <w:vAlign w:val="top"/>
          </w:tcPr>
          <w:p>
            <w:pPr>
              <w:widowControl/>
              <w:outlineLvl w:val="1"/>
              <w:rPr>
                <w:rFonts w:hint="eastAsia"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1215" w:type="dxa"/>
            <w:vAlign w:val="top"/>
          </w:tcPr>
          <w:p>
            <w:pPr>
              <w:widowControl/>
              <w:outlineLvl w:val="1"/>
              <w:rPr>
                <w:rFonts w:hint="eastAsia" w:ascii="仿宋_GB2312" w:hAnsi="宋体" w:eastAsia="仿宋_GB2312"/>
                <w:b/>
                <w:color w:val="auto"/>
                <w:kern w:val="0"/>
                <w:sz w:val="28"/>
                <w:szCs w:val="28"/>
                <w:highlight w:val="none"/>
              </w:rPr>
            </w:pPr>
          </w:p>
        </w:tc>
        <w:tc>
          <w:tcPr>
            <w:tcW w:w="1314" w:type="dxa"/>
            <w:vAlign w:val="top"/>
          </w:tcPr>
          <w:p>
            <w:pPr>
              <w:widowControl/>
              <w:outlineLvl w:val="1"/>
              <w:rPr>
                <w:rFonts w:hint="eastAsia" w:ascii="仿宋_GB2312" w:hAnsi="宋体" w:eastAsia="仿宋_GB2312"/>
                <w:b/>
                <w:color w:val="auto"/>
                <w:kern w:val="0"/>
                <w:sz w:val="28"/>
                <w:szCs w:val="28"/>
                <w:highlight w:val="none"/>
              </w:rPr>
            </w:pPr>
          </w:p>
        </w:tc>
        <w:tc>
          <w:tcPr>
            <w:tcW w:w="1595" w:type="dxa"/>
            <w:vAlign w:val="top"/>
          </w:tcPr>
          <w:p>
            <w:pPr>
              <w:widowControl/>
              <w:outlineLvl w:val="1"/>
              <w:rPr>
                <w:rFonts w:hint="eastAsia" w:ascii="仿宋_GB2312" w:hAnsi="宋体" w:eastAsia="仿宋_GB2312"/>
                <w:b/>
                <w:color w:val="auto"/>
                <w:kern w:val="0"/>
                <w:sz w:val="28"/>
                <w:szCs w:val="32"/>
                <w:highlight w:val="none"/>
              </w:rPr>
            </w:pPr>
          </w:p>
        </w:tc>
        <w:tc>
          <w:tcPr>
            <w:tcW w:w="1621" w:type="dxa"/>
            <w:vAlign w:val="top"/>
          </w:tcPr>
          <w:p>
            <w:pPr>
              <w:widowControl/>
              <w:outlineLvl w:val="1"/>
              <w:rPr>
                <w:rFonts w:hint="eastAsia"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1215" w:type="dxa"/>
            <w:vAlign w:val="top"/>
          </w:tcPr>
          <w:p>
            <w:pPr>
              <w:widowControl/>
              <w:outlineLvl w:val="1"/>
              <w:rPr>
                <w:rFonts w:hint="eastAsia"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6</w:t>
            </w:r>
          </w:p>
        </w:tc>
        <w:tc>
          <w:tcPr>
            <w:tcW w:w="1314" w:type="dxa"/>
            <w:vAlign w:val="top"/>
          </w:tcPr>
          <w:p>
            <w:pPr>
              <w:widowControl/>
              <w:outlineLvl w:val="1"/>
              <w:rPr>
                <w:rFonts w:hint="eastAsia"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6</w:t>
            </w:r>
          </w:p>
        </w:tc>
        <w:tc>
          <w:tcPr>
            <w:tcW w:w="1595" w:type="dxa"/>
            <w:vAlign w:val="top"/>
          </w:tcPr>
          <w:p>
            <w:pPr>
              <w:widowControl/>
              <w:outlineLvl w:val="1"/>
              <w:rPr>
                <w:rFonts w:hint="eastAsia" w:ascii="仿宋_GB2312" w:hAnsi="宋体" w:eastAsia="仿宋_GB2312"/>
                <w:b/>
                <w:color w:val="auto"/>
                <w:kern w:val="0"/>
                <w:sz w:val="28"/>
                <w:szCs w:val="32"/>
                <w:highlight w:val="none"/>
              </w:rPr>
            </w:pPr>
          </w:p>
        </w:tc>
        <w:tc>
          <w:tcPr>
            <w:tcW w:w="1621" w:type="dxa"/>
            <w:vAlign w:val="top"/>
          </w:tcPr>
          <w:p>
            <w:pPr>
              <w:widowControl/>
              <w:outlineLvl w:val="1"/>
              <w:rPr>
                <w:rFonts w:hint="eastAsia"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w:t>
            </w:r>
          </w:p>
          <w:p>
            <w:pPr>
              <w:widowControl/>
              <w:jc w:val="cente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（小计）</w:t>
            </w:r>
          </w:p>
        </w:tc>
        <w:tc>
          <w:tcPr>
            <w:tcW w:w="1215" w:type="dxa"/>
            <w:vAlign w:val="top"/>
          </w:tcPr>
          <w:p>
            <w:pPr>
              <w:widowControl/>
              <w:outlineLvl w:val="1"/>
              <w:rPr>
                <w:rFonts w:hint="default" w:ascii="仿宋_GB2312" w:hAnsi="宋体" w:eastAsia="仿宋_GB2312"/>
                <w:b/>
                <w:color w:val="auto"/>
                <w:kern w:val="0"/>
                <w:sz w:val="28"/>
                <w:szCs w:val="28"/>
                <w:highlight w:val="none"/>
              </w:rPr>
            </w:pPr>
          </w:p>
        </w:tc>
        <w:tc>
          <w:tcPr>
            <w:tcW w:w="1314" w:type="dxa"/>
            <w:vAlign w:val="top"/>
          </w:tcPr>
          <w:p>
            <w:pPr>
              <w:widowControl/>
              <w:outlineLvl w:val="1"/>
              <w:rPr>
                <w:rFonts w:hint="default" w:ascii="仿宋_GB2312" w:hAnsi="宋体" w:eastAsia="仿宋_GB2312"/>
                <w:b/>
                <w:color w:val="auto"/>
                <w:kern w:val="0"/>
                <w:sz w:val="28"/>
                <w:szCs w:val="28"/>
                <w:highlight w:val="none"/>
              </w:rPr>
            </w:pPr>
          </w:p>
        </w:tc>
        <w:tc>
          <w:tcPr>
            <w:tcW w:w="1595" w:type="dxa"/>
            <w:vAlign w:val="top"/>
          </w:tcPr>
          <w:p>
            <w:pPr>
              <w:widowControl/>
              <w:outlineLvl w:val="1"/>
              <w:rPr>
                <w:rFonts w:hint="eastAsia" w:ascii="仿宋_GB2312" w:hAnsi="宋体" w:eastAsia="仿宋_GB2312"/>
                <w:b/>
                <w:color w:val="auto"/>
                <w:kern w:val="0"/>
                <w:sz w:val="28"/>
                <w:szCs w:val="32"/>
                <w:highlight w:val="none"/>
              </w:rPr>
            </w:pPr>
          </w:p>
        </w:tc>
        <w:tc>
          <w:tcPr>
            <w:tcW w:w="1621" w:type="dxa"/>
            <w:vAlign w:val="top"/>
          </w:tcPr>
          <w:p>
            <w:pPr>
              <w:widowControl/>
              <w:outlineLvl w:val="1"/>
              <w:rPr>
                <w:rFonts w:hint="eastAsia"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1215" w:type="dxa"/>
            <w:vAlign w:val="top"/>
          </w:tcPr>
          <w:p>
            <w:pPr>
              <w:widowControl/>
              <w:outlineLvl w:val="1"/>
              <w:rPr>
                <w:rFonts w:hint="default" w:ascii="仿宋_GB2312" w:hAnsi="宋体" w:eastAsia="仿宋_GB2312"/>
                <w:b/>
                <w:color w:val="auto"/>
                <w:kern w:val="0"/>
                <w:sz w:val="28"/>
                <w:szCs w:val="28"/>
                <w:highlight w:val="none"/>
              </w:rPr>
            </w:pPr>
          </w:p>
        </w:tc>
        <w:tc>
          <w:tcPr>
            <w:tcW w:w="1314" w:type="dxa"/>
            <w:vAlign w:val="top"/>
          </w:tcPr>
          <w:p>
            <w:pPr>
              <w:widowControl/>
              <w:outlineLvl w:val="1"/>
              <w:rPr>
                <w:rFonts w:hint="default" w:ascii="仿宋_GB2312" w:hAnsi="宋体" w:eastAsia="仿宋_GB2312"/>
                <w:b/>
                <w:color w:val="auto"/>
                <w:kern w:val="0"/>
                <w:sz w:val="28"/>
                <w:szCs w:val="28"/>
                <w:highlight w:val="none"/>
              </w:rPr>
            </w:pPr>
          </w:p>
        </w:tc>
        <w:tc>
          <w:tcPr>
            <w:tcW w:w="1595" w:type="dxa"/>
            <w:vAlign w:val="top"/>
          </w:tcPr>
          <w:p>
            <w:pPr>
              <w:widowControl/>
              <w:outlineLvl w:val="1"/>
              <w:rPr>
                <w:rFonts w:hint="eastAsia" w:ascii="仿宋_GB2312" w:hAnsi="宋体" w:eastAsia="仿宋_GB2312"/>
                <w:b/>
                <w:color w:val="auto"/>
                <w:kern w:val="0"/>
                <w:sz w:val="28"/>
                <w:szCs w:val="32"/>
                <w:highlight w:val="none"/>
              </w:rPr>
            </w:pPr>
          </w:p>
        </w:tc>
        <w:tc>
          <w:tcPr>
            <w:tcW w:w="1621" w:type="dxa"/>
            <w:vAlign w:val="top"/>
          </w:tcPr>
          <w:p>
            <w:pPr>
              <w:widowControl/>
              <w:outlineLvl w:val="1"/>
              <w:rPr>
                <w:rFonts w:hint="eastAsia"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 xml:space="preserve">     </w:t>
            </w:r>
            <w:r>
              <w:rPr>
                <w:rFonts w:hint="default" w:ascii="仿宋_GB2312" w:hAnsi="宋体" w:eastAsia="仿宋_GB2312"/>
                <w:b/>
                <w:color w:val="auto"/>
                <w:kern w:val="0"/>
                <w:sz w:val="28"/>
                <w:szCs w:val="32"/>
                <w:highlight w:val="none"/>
              </w:rPr>
              <w:t xml:space="preserve">  </w:t>
            </w:r>
            <w:r>
              <w:rPr>
                <w:rFonts w:hint="eastAsia" w:ascii="仿宋_GB2312" w:hAnsi="宋体" w:eastAsia="仿宋_GB2312"/>
                <w:b/>
                <w:color w:val="auto"/>
                <w:kern w:val="0"/>
                <w:sz w:val="28"/>
                <w:szCs w:val="32"/>
                <w:highlight w:val="no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26.4</w:t>
            </w:r>
          </w:p>
        </w:tc>
        <w:tc>
          <w:tcPr>
            <w:tcW w:w="1314" w:type="dxa"/>
            <w:vAlign w:val="top"/>
          </w:tcPr>
          <w:p>
            <w:pPr>
              <w:widowControl/>
              <w:outlineLvl w:val="1"/>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26.4</w:t>
            </w:r>
          </w:p>
        </w:tc>
        <w:tc>
          <w:tcPr>
            <w:tcW w:w="1595" w:type="dxa"/>
            <w:vAlign w:val="top"/>
          </w:tcPr>
          <w:p>
            <w:pPr>
              <w:widowControl/>
              <w:outlineLvl w:val="1"/>
              <w:rPr>
                <w:rFonts w:hint="eastAsia" w:ascii="仿宋_GB2312" w:hAnsi="宋体" w:eastAsia="仿宋_GB2312"/>
                <w:b/>
                <w:color w:val="auto"/>
                <w:kern w:val="0"/>
                <w:sz w:val="28"/>
                <w:szCs w:val="32"/>
                <w:highlight w:val="none"/>
              </w:rPr>
            </w:pPr>
          </w:p>
        </w:tc>
        <w:tc>
          <w:tcPr>
            <w:tcW w:w="1621" w:type="dxa"/>
            <w:vAlign w:val="top"/>
          </w:tcPr>
          <w:p>
            <w:pPr>
              <w:widowControl/>
              <w:outlineLvl w:val="1"/>
              <w:rPr>
                <w:rFonts w:hint="eastAsia" w:ascii="仿宋_GB2312" w:hAnsi="宋体" w:eastAsia="仿宋_GB2312"/>
                <w:b/>
                <w:color w:val="auto"/>
                <w:kern w:val="0"/>
                <w:sz w:val="28"/>
                <w:szCs w:val="32"/>
                <w:highlight w:val="no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widowControl/>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1</w:t>
      </w:r>
      <w:r>
        <w:rPr>
          <w:rFonts w:hint="eastAsia" w:ascii="宋体" w:hAnsi="宋体" w:cs="宋体"/>
          <w:i w:val="0"/>
          <w:color w:val="auto"/>
          <w:kern w:val="0"/>
          <w:sz w:val="20"/>
          <w:szCs w:val="20"/>
          <w:highlight w:val="none"/>
          <w:u w:val="none"/>
          <w:lang w:val="en-US" w:eastAsia="zh-CN"/>
        </w:rPr>
        <w:t>1</w:t>
      </w:r>
    </w:p>
    <w:p>
      <w:pPr>
        <w:widowControl/>
        <w:jc w:val="center"/>
        <w:rPr>
          <w:rFonts w:hint="eastAsia" w:ascii="仿宋_GB2312" w:hAnsi="宋体" w:eastAsia="仿宋_GB2312"/>
          <w:b/>
          <w:color w:val="auto"/>
          <w:kern w:val="0"/>
          <w:sz w:val="32"/>
          <w:szCs w:val="32"/>
          <w:highlight w:val="none"/>
          <w:lang w:val="en-US"/>
        </w:rPr>
      </w:pPr>
      <w:r>
        <w:rPr>
          <w:rFonts w:hint="eastAsia" w:ascii="仿宋_GB2312" w:hAnsi="宋体" w:eastAsia="仿宋_GB2312"/>
          <w:b/>
          <w:color w:val="auto"/>
          <w:kern w:val="0"/>
          <w:sz w:val="32"/>
          <w:szCs w:val="32"/>
          <w:highlight w:val="none"/>
          <w:lang w:val="en-U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rPr>
        <w:t>情况明细表</w:t>
      </w:r>
    </w:p>
    <w:tbl>
      <w:tblPr>
        <w:tblStyle w:val="5"/>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eastAsia" w:ascii="宋体" w:hAnsi="宋体" w:eastAsia="宋体" w:cs="宋体"/>
          <w:i w:val="0"/>
          <w:color w:val="auto"/>
          <w:kern w:val="0"/>
          <w:sz w:val="20"/>
          <w:szCs w:val="20"/>
          <w:highlight w:val="none"/>
          <w:u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本单位2024年没有上年结转结余</w:t>
      </w:r>
      <w:r>
        <w:rPr>
          <w:rFonts w:hint="eastAsia" w:ascii="仿宋_GB2312" w:hAnsi="宋体" w:eastAsia="仿宋_GB2312"/>
          <w:b/>
          <w:color w:val="auto"/>
          <w:kern w:val="0"/>
          <w:sz w:val="32"/>
          <w:szCs w:val="32"/>
          <w:highlight w:val="none"/>
          <w:lang w:val="en-US" w:eastAsia="zh-CN"/>
        </w:rPr>
        <w:t>情况</w:t>
      </w:r>
      <w:r>
        <w:rPr>
          <w:rFonts w:hint="eastAsia" w:ascii="仿宋_GB2312" w:hAnsi="宋体" w:eastAsia="仿宋_GB2312"/>
          <w:b/>
          <w:color w:val="auto"/>
          <w:kern w:val="0"/>
          <w:sz w:val="28"/>
          <w:szCs w:val="32"/>
          <w:highlight w:val="none"/>
          <w:lang w:val="en-US" w:eastAsia="zh-CN"/>
        </w:rPr>
        <w:t>，此表为空表</w:t>
      </w:r>
      <w:r>
        <w:rPr>
          <w:rFonts w:hint="eastAsia" w:ascii="仿宋_GB2312" w:hAnsi="宋体" w:eastAsia="仿宋_GB2312"/>
          <w:b/>
          <w:color w:val="auto"/>
          <w:kern w:val="0"/>
          <w:sz w:val="28"/>
          <w:szCs w:val="32"/>
          <w:highlight w:val="none"/>
        </w:rPr>
        <w:t>。</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widowControl w:val="0"/>
        <w:wordWrap/>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widowControl w:val="0"/>
        <w:wordWrap/>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val="0"/>
          <w:color w:val="auto"/>
          <w:kern w:val="0"/>
          <w:sz w:val="32"/>
          <w:szCs w:val="32"/>
          <w:highlight w:val="none"/>
        </w:rPr>
        <w:t>收支预算情况的总体说明</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中国共产党呼图壁县纪律检查委员会2024年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3284.04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w:t>
      </w:r>
    </w:p>
    <w:p>
      <w:pPr>
        <w:widowControl w:val="0"/>
        <w:wordWrap/>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rPr>
        <w:t>收入预算情况说明</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3284.04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2257.44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68.74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101.27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4.70%，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工资结构调整，预算安排增加，人员较去年增加，所需费用增加</w:t>
      </w:r>
      <w:r>
        <w:rPr>
          <w:rFonts w:hint="eastAsia" w:ascii="仿宋_GB2312" w:hAnsi="宋体" w:eastAsia="仿宋_GB2312" w:cs="宋体"/>
          <w:color w:val="auto"/>
          <w:kern w:val="0"/>
          <w:sz w:val="32"/>
          <w:szCs w:val="32"/>
          <w:highlight w:val="none"/>
        </w:rPr>
        <w:t xml:space="preserve">；    </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rPr>
        <w:t>安排的转移支付资金</w:t>
      </w:r>
      <w:r>
        <w:rPr>
          <w:rFonts w:hint="eastAsia" w:ascii="仿宋_GB2312" w:hAnsi="宋体" w:eastAsia="仿宋_GB2312" w:cs="宋体"/>
          <w:color w:val="auto"/>
          <w:kern w:val="0"/>
          <w:sz w:val="32"/>
          <w:szCs w:val="32"/>
          <w:highlight w:val="none"/>
        </w:rPr>
        <w:t>未安排。</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rPr>
        <w:t>上级政府性基金安排的转移支付资金</w:t>
      </w:r>
      <w:r>
        <w:rPr>
          <w:rFonts w:hint="eastAsia" w:ascii="仿宋_GB2312" w:hAnsi="宋体" w:eastAsia="仿宋_GB2312" w:cs="宋体"/>
          <w:color w:val="auto"/>
          <w:kern w:val="0"/>
          <w:sz w:val="32"/>
          <w:szCs w:val="32"/>
          <w:highlight w:val="none"/>
        </w:rPr>
        <w:t>未安排。</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财政专户（教育收费）资金未安排。</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rPr>
        <w:t>单位资金</w:t>
      </w:r>
      <w:r>
        <w:rPr>
          <w:rFonts w:hint="eastAsia" w:ascii="仿宋_GB2312" w:hAnsi="宋体" w:eastAsia="仿宋_GB2312" w:cs="宋体"/>
          <w:color w:val="auto"/>
          <w:kern w:val="0"/>
          <w:sz w:val="32"/>
          <w:szCs w:val="32"/>
          <w:highlight w:val="none"/>
          <w:lang w:val="en-US" w:eastAsia="zh-CN"/>
        </w:rPr>
        <w:t>1026.6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31.26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387.75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60.70%，</w:t>
      </w:r>
      <w:r>
        <w:rPr>
          <w:rFonts w:hint="eastAsia" w:ascii="仿宋_GB2312" w:hAnsi="宋体" w:eastAsia="仿宋_GB2312" w:cs="宋体"/>
          <w:kern w:val="0"/>
          <w:sz w:val="32"/>
          <w:szCs w:val="32"/>
          <w:highlight w:val="none"/>
          <w:lang w:val="en-US" w:eastAsia="zh-CN"/>
        </w:rPr>
        <w:t>按财政要求将单位资金包含全年各类支出列入预算，统筹管理</w:t>
      </w:r>
      <w:r>
        <w:rPr>
          <w:rFonts w:hint="eastAsia" w:ascii="仿宋_GB2312" w:hAnsi="宋体" w:eastAsia="仿宋_GB2312" w:cs="宋体"/>
          <w:color w:val="auto"/>
          <w:kern w:val="0"/>
          <w:sz w:val="32"/>
          <w:szCs w:val="32"/>
          <w:highlight w:val="none"/>
          <w:lang w:eastAsia="zh-CN"/>
        </w:rPr>
        <w:t>。</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rPr>
        <w:t>支出预算情况说明</w:t>
      </w:r>
    </w:p>
    <w:p>
      <w:pPr>
        <w:widowControl w:val="0"/>
        <w:wordWrap/>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3284.04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widowControl w:val="0"/>
        <w:wordWrap/>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3284.04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489.03</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17.50%，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本年包含了单位资金的各类支出</w:t>
      </w:r>
      <w:r>
        <w:rPr>
          <w:rFonts w:hint="eastAsia" w:ascii="仿宋_GB2312" w:hAnsi="宋体" w:eastAsia="仿宋_GB2312" w:cs="宋体"/>
          <w:color w:val="auto"/>
          <w:kern w:val="0"/>
          <w:sz w:val="32"/>
          <w:szCs w:val="32"/>
          <w:highlight w:val="none"/>
        </w:rPr>
        <w:t>。</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lang w:eastAsia="zh-CN"/>
        </w:rPr>
        <w:t>，主要原因是上年度和本年度均未安排项目支出。</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rPr>
        <w:t>财政拨款收支预算情况的总体说明</w:t>
      </w:r>
    </w:p>
    <w:p>
      <w:pPr>
        <w:widowControl w:val="0"/>
        <w:wordWrap/>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财政拨款收支总预算 </w:t>
      </w:r>
      <w:r>
        <w:rPr>
          <w:rFonts w:hint="eastAsia" w:ascii="仿宋_GB2312" w:hAnsi="宋体" w:eastAsia="仿宋_GB2312" w:cs="宋体"/>
          <w:color w:val="auto"/>
          <w:kern w:val="0"/>
          <w:sz w:val="32"/>
          <w:szCs w:val="32"/>
          <w:highlight w:val="none"/>
          <w:lang w:val="en-US" w:eastAsia="zh-CN"/>
        </w:rPr>
        <w:t>2257.44</w:t>
      </w:r>
      <w:r>
        <w:rPr>
          <w:rFonts w:hint="eastAsia" w:ascii="仿宋_GB2312" w:hAnsi="宋体" w:eastAsia="仿宋_GB2312" w:cs="宋体"/>
          <w:color w:val="auto"/>
          <w:kern w:val="0"/>
          <w:sz w:val="32"/>
          <w:szCs w:val="32"/>
          <w:highlight w:val="none"/>
        </w:rPr>
        <w:t>万元。</w:t>
      </w:r>
    </w:p>
    <w:p>
      <w:pPr>
        <w:widowControl w:val="0"/>
        <w:wordWrap/>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2257.44</w:t>
      </w:r>
      <w:r>
        <w:rPr>
          <w:rFonts w:hint="eastAsia" w:ascii="仿宋_GB2312" w:hAnsi="宋体" w:eastAsia="仿宋_GB2312" w:cs="宋体"/>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一般公共预算支出包括：一般公共服务支出</w:t>
      </w:r>
      <w:r>
        <w:rPr>
          <w:rFonts w:hint="eastAsia" w:ascii="仿宋_GB2312" w:hAnsi="宋体" w:eastAsia="仿宋_GB2312" w:cs="宋体"/>
          <w:kern w:val="0"/>
          <w:sz w:val="32"/>
          <w:szCs w:val="32"/>
          <w:highlight w:val="none"/>
          <w:lang w:val="en-US" w:eastAsia="zh-CN"/>
        </w:rPr>
        <w:t>1781.67</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sz w:val="32"/>
          <w:highlight w:val="none"/>
        </w:rPr>
        <w:t>主要用于人员经费</w:t>
      </w:r>
      <w:r>
        <w:rPr>
          <w:rFonts w:hint="eastAsia" w:ascii="仿宋_GB2312" w:hAnsi="仿宋_GB2312" w:eastAsia="仿宋_GB2312" w:cs="仿宋_GB2312"/>
          <w:sz w:val="32"/>
          <w:highlight w:val="none"/>
          <w:lang w:eastAsia="zh-CN"/>
        </w:rPr>
        <w:t>，</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200.54万元，</w:t>
      </w:r>
      <w:r>
        <w:rPr>
          <w:rFonts w:hint="eastAsia" w:ascii="仿宋_GB2312" w:hAnsi="仿宋_GB2312" w:eastAsia="仿宋_GB2312" w:cs="仿宋_GB2312"/>
          <w:sz w:val="32"/>
          <w:highlight w:val="none"/>
        </w:rPr>
        <w:t>主要用于</w:t>
      </w:r>
      <w:r>
        <w:rPr>
          <w:rFonts w:hint="eastAsia" w:ascii="仿宋_GB2312" w:hAnsi="仿宋_GB2312" w:eastAsia="仿宋_GB2312" w:cs="仿宋_GB2312"/>
          <w:sz w:val="32"/>
          <w:highlight w:val="none"/>
          <w:lang w:val="en-US" w:eastAsia="zh-CN"/>
        </w:rPr>
        <w:t>人员社保支出</w:t>
      </w:r>
      <w:r>
        <w:rPr>
          <w:rFonts w:hint="eastAsia" w:ascii="仿宋_GB2312" w:hAnsi="仿宋_GB2312" w:eastAsia="仿宋_GB2312" w:cs="仿宋_GB2312"/>
          <w:sz w:val="32"/>
          <w:highlight w:val="none"/>
          <w:lang w:eastAsia="zh-CN"/>
        </w:rPr>
        <w:t>，</w:t>
      </w:r>
      <w:r>
        <w:rPr>
          <w:rFonts w:hint="eastAsia" w:ascii="仿宋_GB2312" w:hAnsi="宋体" w:eastAsia="仿宋_GB2312" w:cs="宋体"/>
          <w:kern w:val="0"/>
          <w:sz w:val="32"/>
          <w:szCs w:val="32"/>
          <w:highlight w:val="none"/>
        </w:rPr>
        <w:t>医疗卫生健康支出</w:t>
      </w:r>
      <w:r>
        <w:rPr>
          <w:rFonts w:hint="eastAsia" w:ascii="仿宋_GB2312" w:hAnsi="宋体" w:eastAsia="仿宋_GB2312" w:cs="宋体"/>
          <w:kern w:val="0"/>
          <w:sz w:val="32"/>
          <w:szCs w:val="32"/>
          <w:highlight w:val="none"/>
          <w:lang w:val="en-US" w:eastAsia="zh-CN"/>
        </w:rPr>
        <w:t>119.85万元，</w:t>
      </w:r>
      <w:r>
        <w:rPr>
          <w:rFonts w:hint="eastAsia" w:ascii="仿宋_GB2312" w:hAnsi="仿宋_GB2312" w:eastAsia="仿宋_GB2312" w:cs="仿宋_GB2312"/>
          <w:sz w:val="32"/>
          <w:highlight w:val="none"/>
        </w:rPr>
        <w:t>主要用于</w:t>
      </w:r>
      <w:r>
        <w:rPr>
          <w:rFonts w:hint="eastAsia" w:ascii="仿宋_GB2312" w:hAnsi="仿宋_GB2312" w:eastAsia="仿宋_GB2312" w:cs="仿宋_GB2312"/>
          <w:sz w:val="32"/>
          <w:highlight w:val="none"/>
          <w:lang w:val="en-US" w:eastAsia="zh-CN"/>
        </w:rPr>
        <w:t>人员医保支出</w:t>
      </w:r>
      <w:r>
        <w:rPr>
          <w:rFonts w:hint="eastAsia" w:ascii="仿宋_GB2312" w:hAnsi="仿宋_GB2312" w:eastAsia="仿宋_GB2312" w:cs="仿宋_GB2312"/>
          <w:sz w:val="32"/>
          <w:highlight w:val="none"/>
          <w:lang w:eastAsia="zh-CN"/>
        </w:rPr>
        <w:t>，</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155.38万元，</w:t>
      </w:r>
      <w:r>
        <w:rPr>
          <w:rFonts w:hint="eastAsia" w:ascii="仿宋_GB2312" w:hAnsi="仿宋_GB2312" w:eastAsia="仿宋_GB2312" w:cs="仿宋_GB2312"/>
          <w:sz w:val="32"/>
          <w:highlight w:val="none"/>
        </w:rPr>
        <w:t>主要用于</w:t>
      </w:r>
      <w:r>
        <w:rPr>
          <w:rFonts w:hint="eastAsia" w:ascii="仿宋_GB2312" w:hAnsi="仿宋_GB2312" w:eastAsia="仿宋_GB2312" w:cs="仿宋_GB2312"/>
          <w:sz w:val="32"/>
          <w:highlight w:val="none"/>
          <w:lang w:val="en-US" w:eastAsia="zh-CN"/>
        </w:rPr>
        <w:t>人员住房公积金支出</w:t>
      </w:r>
      <w:r>
        <w:rPr>
          <w:rFonts w:hint="eastAsia" w:ascii="仿宋_GB2312" w:hAnsi="仿宋_GB2312" w:eastAsia="仿宋_GB2312" w:cs="仿宋_GB2312"/>
          <w:sz w:val="32"/>
          <w:highlight w:val="none"/>
          <w:lang w:eastAsia="zh-CN"/>
        </w:rPr>
        <w:t>。</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2257.44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2257.44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101.27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4.70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主</w:t>
      </w:r>
      <w:r>
        <w:rPr>
          <w:rFonts w:hint="eastAsia" w:ascii="仿宋_GB2312" w:hAnsi="宋体" w:eastAsia="仿宋_GB2312" w:cs="宋体"/>
          <w:color w:val="auto"/>
          <w:kern w:val="0"/>
          <w:sz w:val="32"/>
          <w:szCs w:val="32"/>
          <w:highlight w:val="none"/>
        </w:rPr>
        <w:t>要原因是</w:t>
      </w:r>
      <w:r>
        <w:rPr>
          <w:rFonts w:hint="eastAsia" w:ascii="仿宋_GB2312" w:hAnsi="宋体" w:eastAsia="仿宋_GB2312" w:cs="宋体"/>
          <w:kern w:val="0"/>
          <w:sz w:val="32"/>
          <w:szCs w:val="32"/>
          <w:highlight w:val="none"/>
          <w:lang w:val="en-US" w:eastAsia="zh-CN"/>
        </w:rPr>
        <w:t>工资结构调整，预算安排增加，人员较去年增加，所需费用增加</w:t>
      </w:r>
      <w:r>
        <w:rPr>
          <w:rFonts w:hint="eastAsia" w:ascii="仿宋_GB2312" w:hAnsi="仿宋_GB2312" w:eastAsia="仿宋_GB2312" w:cs="仿宋_GB2312"/>
          <w:color w:val="auto"/>
          <w:kern w:val="0"/>
          <w:sz w:val="32"/>
          <w:szCs w:val="32"/>
          <w:highlight w:val="none"/>
        </w:rPr>
        <w:t>。</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eastAsia="zh-CN"/>
        </w:rPr>
        <w:t>主要原因是上年度和本年度均未安排项目支出。</w:t>
      </w:r>
      <w:r>
        <w:rPr>
          <w:rFonts w:hint="eastAsia" w:ascii="仿宋_GB2312" w:hAnsi="仿宋_GB2312" w:eastAsia="仿宋_GB2312" w:cs="仿宋_GB2312"/>
          <w:color w:val="auto"/>
          <w:kern w:val="0"/>
          <w:sz w:val="32"/>
          <w:szCs w:val="32"/>
          <w:highlight w:val="none"/>
        </w:rPr>
        <w:t>。</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sz w:val="32"/>
          <w:highlight w:val="none"/>
        </w:rPr>
        <w:t>一般公共服务</w:t>
      </w:r>
      <w:r>
        <w:rPr>
          <w:rFonts w:hint="eastAsia" w:ascii="仿宋_GB2312" w:eastAsia="仿宋_GB2312"/>
          <w:sz w:val="32"/>
          <w:szCs w:val="32"/>
          <w:highlight w:val="none"/>
        </w:rPr>
        <w:t>（类）</w:t>
      </w:r>
      <w:r>
        <w:rPr>
          <w:rFonts w:hint="eastAsia" w:ascii="仿宋_GB2312" w:hAnsi="仿宋_GB2312" w:eastAsia="仿宋_GB2312" w:cs="仿宋_GB2312"/>
          <w:sz w:val="32"/>
          <w:highlight w:val="none"/>
          <w:lang w:val="en-US" w:eastAsia="zh-CN"/>
        </w:rPr>
        <w:t>1781.67</w:t>
      </w:r>
      <w:r>
        <w:rPr>
          <w:rFonts w:hint="eastAsia" w:ascii="仿宋_GB2312" w:eastAsia="仿宋_GB2312"/>
          <w:sz w:val="32"/>
          <w:szCs w:val="32"/>
          <w:highlight w:val="none"/>
        </w:rPr>
        <w:t>万元，</w:t>
      </w:r>
      <w:r>
        <w:rPr>
          <w:rFonts w:hint="eastAsia" w:ascii="仿宋_GB2312" w:hAnsi="仿宋_GB2312" w:eastAsia="仿宋_GB2312" w:cs="仿宋_GB2312"/>
          <w:sz w:val="32"/>
          <w:highlight w:val="none"/>
        </w:rPr>
        <w:t>占</w:t>
      </w:r>
      <w:r>
        <w:rPr>
          <w:rFonts w:hint="eastAsia" w:ascii="仿宋_GB2312" w:hAnsi="仿宋_GB2312" w:eastAsia="仿宋_GB2312" w:cs="仿宋_GB2312"/>
          <w:sz w:val="32"/>
          <w:highlight w:val="none"/>
          <w:lang w:val="en-US" w:eastAsia="zh-CN"/>
        </w:rPr>
        <w:t>78.92</w:t>
      </w:r>
      <w:r>
        <w:rPr>
          <w:rFonts w:hint="eastAsia" w:ascii="仿宋_GB2312" w:hAnsi="仿宋_GB2312" w:eastAsia="仿宋_GB2312" w:cs="仿宋_GB2312"/>
          <w:sz w:val="32"/>
          <w:highlight w:val="none"/>
        </w:rPr>
        <w:t>%</w:t>
      </w:r>
      <w:r>
        <w:rPr>
          <w:rFonts w:hint="eastAsia" w:ascii="仿宋_GB2312" w:hAnsi="仿宋_GB2312" w:eastAsia="仿宋_GB2312" w:cs="仿宋_GB2312"/>
          <w:sz w:val="32"/>
          <w:highlight w:val="none"/>
          <w:lang w:eastAsia="zh-CN"/>
        </w:rPr>
        <w:t>；</w:t>
      </w:r>
    </w:p>
    <w:p>
      <w:pPr>
        <w:spacing w:line="560" w:lineRule="exact"/>
        <w:ind w:firstLine="640" w:firstLineChars="200"/>
        <w:rPr>
          <w:rFonts w:hint="eastAsia" w:ascii="仿宋_GB2312" w:eastAsia="仿宋_GB2312"/>
          <w:sz w:val="32"/>
          <w:szCs w:val="32"/>
          <w:highlight w:val="none"/>
          <w:lang w:eastAsia="zh-CN"/>
        </w:rPr>
      </w:pPr>
      <w:r>
        <w:rPr>
          <w:rFonts w:hint="eastAsia" w:ascii="仿宋_GB2312" w:hAnsi="仿宋_GB2312" w:eastAsia="仿宋_GB2312" w:cs="仿宋_GB2312"/>
          <w:sz w:val="32"/>
          <w:highlight w:val="none"/>
        </w:rPr>
        <w:t>2.</w:t>
      </w:r>
      <w:r>
        <w:rPr>
          <w:rFonts w:hint="eastAsia" w:ascii="仿宋_GB2312" w:eastAsia="仿宋_GB2312"/>
          <w:sz w:val="32"/>
          <w:szCs w:val="32"/>
          <w:highlight w:val="none"/>
        </w:rPr>
        <w:t>社会保障和就业（类）</w:t>
      </w:r>
      <w:r>
        <w:rPr>
          <w:rFonts w:hint="eastAsia" w:ascii="仿宋_GB2312" w:hAnsi="仿宋_GB2312" w:eastAsia="仿宋_GB2312" w:cs="仿宋_GB2312"/>
          <w:sz w:val="32"/>
          <w:highlight w:val="none"/>
          <w:lang w:val="en-US" w:eastAsia="zh-CN"/>
        </w:rPr>
        <w:t>200.54</w:t>
      </w:r>
      <w:r>
        <w:rPr>
          <w:rFonts w:hint="eastAsia" w:ascii="仿宋_GB2312" w:hAnsi="仿宋_GB2312" w:eastAsia="仿宋_GB2312" w:cs="仿宋_GB2312"/>
          <w:sz w:val="32"/>
          <w:highlight w:val="none"/>
        </w:rPr>
        <w:t>万元，占</w:t>
      </w:r>
      <w:r>
        <w:rPr>
          <w:rFonts w:hint="eastAsia" w:ascii="仿宋_GB2312" w:hAnsi="仿宋_GB2312" w:eastAsia="仿宋_GB2312" w:cs="仿宋_GB2312"/>
          <w:sz w:val="32"/>
          <w:highlight w:val="none"/>
          <w:lang w:val="en-US" w:eastAsia="zh-CN"/>
        </w:rPr>
        <w:t>8.89</w:t>
      </w:r>
      <w:r>
        <w:rPr>
          <w:rFonts w:hint="eastAsia" w:ascii="仿宋_GB2312" w:hAnsi="仿宋_GB2312" w:eastAsia="仿宋_GB2312" w:cs="仿宋_GB2312"/>
          <w:sz w:val="32"/>
          <w:highlight w:val="none"/>
        </w:rPr>
        <w:t>%</w:t>
      </w:r>
      <w:r>
        <w:rPr>
          <w:rFonts w:hint="eastAsia" w:ascii="仿宋_GB2312" w:hAnsi="仿宋_GB2312" w:eastAsia="仿宋_GB2312" w:cs="仿宋_GB2312"/>
          <w:sz w:val="32"/>
          <w:highlight w:val="none"/>
          <w:lang w:eastAsia="zh-CN"/>
        </w:rPr>
        <w:t>；</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仿宋_GB2312" w:eastAsia="仿宋_GB2312" w:cs="仿宋_GB2312"/>
          <w:sz w:val="32"/>
          <w:highlight w:val="none"/>
          <w:lang w:val="en-US" w:eastAsia="zh-CN"/>
        </w:rPr>
        <w:t>3.</w:t>
      </w:r>
      <w:r>
        <w:rPr>
          <w:rFonts w:hint="eastAsia" w:ascii="仿宋_GB2312" w:eastAsia="仿宋_GB2312"/>
          <w:sz w:val="32"/>
          <w:szCs w:val="32"/>
          <w:highlight w:val="none"/>
        </w:rPr>
        <w:t>卫生健康（类）</w:t>
      </w:r>
      <w:r>
        <w:rPr>
          <w:rFonts w:hint="eastAsia" w:ascii="仿宋_GB2312" w:eastAsia="仿宋_GB2312"/>
          <w:sz w:val="32"/>
          <w:szCs w:val="32"/>
          <w:highlight w:val="none"/>
          <w:lang w:val="en-US" w:eastAsia="zh-CN"/>
        </w:rPr>
        <w:t>119.85万元，占5.31%；</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宋体" w:eastAsia="仿宋_GB2312" w:cs="宋体"/>
          <w:kern w:val="0"/>
          <w:sz w:val="32"/>
          <w:szCs w:val="32"/>
          <w:highlight w:val="none"/>
          <w:lang w:val="en-US" w:eastAsia="zh-CN"/>
        </w:rPr>
        <w:t>4.</w:t>
      </w:r>
      <w:r>
        <w:rPr>
          <w:rFonts w:hint="eastAsia" w:ascii="仿宋_GB2312" w:eastAsia="仿宋_GB2312"/>
          <w:sz w:val="32"/>
          <w:szCs w:val="32"/>
          <w:highlight w:val="none"/>
          <w:lang w:eastAsia="zh-CN"/>
        </w:rPr>
        <w:t>住房保障</w:t>
      </w:r>
      <w:r>
        <w:rPr>
          <w:rFonts w:hint="eastAsia" w:ascii="仿宋_GB2312" w:eastAsia="仿宋_GB2312"/>
          <w:sz w:val="32"/>
          <w:szCs w:val="32"/>
          <w:highlight w:val="none"/>
        </w:rPr>
        <w:t>（类）</w:t>
      </w:r>
      <w:r>
        <w:rPr>
          <w:rFonts w:hint="eastAsia" w:ascii="仿宋_GB2312" w:hAnsi="宋体" w:eastAsia="仿宋_GB2312" w:cs="宋体"/>
          <w:kern w:val="0"/>
          <w:sz w:val="32"/>
          <w:szCs w:val="32"/>
          <w:highlight w:val="none"/>
          <w:lang w:val="en-US" w:eastAsia="zh-CN"/>
        </w:rPr>
        <w:t>155.38万元，</w:t>
      </w:r>
      <w:r>
        <w:rPr>
          <w:rFonts w:hint="eastAsia" w:ascii="仿宋_GB2312" w:hAnsi="仿宋_GB2312" w:eastAsia="仿宋_GB2312" w:cs="仿宋_GB2312"/>
          <w:sz w:val="32"/>
          <w:highlight w:val="none"/>
        </w:rPr>
        <w:t>占</w:t>
      </w:r>
      <w:r>
        <w:rPr>
          <w:rFonts w:hint="eastAsia" w:ascii="仿宋_GB2312" w:hAnsi="仿宋_GB2312" w:eastAsia="仿宋_GB2312" w:cs="仿宋_GB2312"/>
          <w:sz w:val="32"/>
          <w:highlight w:val="none"/>
          <w:lang w:val="en-US" w:eastAsia="zh-CN"/>
        </w:rPr>
        <w:t>6.88</w:t>
      </w:r>
      <w:r>
        <w:rPr>
          <w:rFonts w:hint="eastAsia" w:ascii="仿宋_GB2312" w:hAnsi="仿宋_GB2312" w:eastAsia="仿宋_GB2312" w:cs="仿宋_GB2312"/>
          <w:sz w:val="32"/>
          <w:highlight w:val="none"/>
        </w:rPr>
        <w:t>%。</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w:t>
      </w:r>
      <w:r>
        <w:rPr>
          <w:rFonts w:ascii="仿宋_GB2312" w:hAnsi="宋体" w:eastAsia="仿宋_GB2312" w:cs="宋体"/>
          <w:kern w:val="0"/>
          <w:sz w:val="32"/>
          <w:szCs w:val="32"/>
          <w:highlight w:val="none"/>
        </w:rPr>
        <w:t>一般公共服务（类）财政事务（款）行政运行（项）: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lang w:eastAsia="zh-CN"/>
        </w:rPr>
        <w:t>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1781.67</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增加68.78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增长4.02</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人员增加，费用增加</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仿宋_GB2312" w:eastAsia="仿宋_GB2312" w:cs="仿宋_GB2312"/>
          <w:sz w:val="32"/>
          <w:highlight w:val="none"/>
        </w:rPr>
        <w:t>2.社会保障和就业支出（类）</w:t>
      </w:r>
      <w:r>
        <w:rPr>
          <w:rFonts w:hint="eastAsia" w:ascii="仿宋_GB2312" w:hAnsi="宋体" w:eastAsia="仿宋_GB2312" w:cs="宋体"/>
          <w:kern w:val="0"/>
          <w:sz w:val="32"/>
          <w:szCs w:val="32"/>
          <w:highlight w:val="none"/>
        </w:rPr>
        <w:t>行政事业单位养老支出（款）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支出（项）</w:t>
      </w:r>
      <w:r>
        <w:rPr>
          <w:rFonts w:hint="eastAsia" w:ascii="仿宋_GB2312" w:hAnsi="仿宋_GB2312" w:eastAsia="仿宋_GB2312" w:cs="仿宋_GB2312"/>
          <w:sz w:val="32"/>
          <w:highlight w:val="none"/>
          <w:lang w:val="en-US" w:eastAsia="zh-CN"/>
        </w:rPr>
        <w:t>5.38</w:t>
      </w:r>
      <w:r>
        <w:rPr>
          <w:rFonts w:hint="eastAsia" w:ascii="仿宋_GB2312" w:hAnsi="仿宋_GB2312" w:eastAsia="仿宋_GB2312" w:cs="仿宋_GB2312"/>
          <w:sz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增加5.38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今年严格按照经济分类执行，将行政人员保险按照行政单位离退休</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eastAsia="zh-CN"/>
        </w:rPr>
        <w:t>执行。</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仿宋_GB2312" w:eastAsia="仿宋_GB2312" w:cs="仿宋_GB2312"/>
          <w:sz w:val="32"/>
          <w:highlight w:val="none"/>
          <w:lang w:val="en-US" w:eastAsia="zh-CN"/>
        </w:rPr>
        <w:t>3</w:t>
      </w:r>
      <w:r>
        <w:rPr>
          <w:rFonts w:hint="eastAsia" w:ascii="仿宋_GB2312" w:hAnsi="仿宋_GB2312" w:eastAsia="仿宋_GB2312" w:cs="仿宋_GB2312"/>
          <w:sz w:val="32"/>
          <w:highlight w:val="none"/>
        </w:rPr>
        <w:t>.社会保障和就业支出（类）</w:t>
      </w:r>
      <w:r>
        <w:rPr>
          <w:rFonts w:hint="eastAsia" w:ascii="仿宋_GB2312" w:hAnsi="宋体" w:eastAsia="仿宋_GB2312" w:cs="宋体"/>
          <w:kern w:val="0"/>
          <w:sz w:val="32"/>
          <w:szCs w:val="32"/>
          <w:highlight w:val="none"/>
        </w:rPr>
        <w:t>行政事业单位养老支出（款）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支出（项）</w:t>
      </w:r>
      <w:r>
        <w:rPr>
          <w:rFonts w:hint="eastAsia" w:ascii="仿宋_GB2312" w:hAnsi="仿宋_GB2312" w:eastAsia="仿宋_GB2312" w:cs="仿宋_GB2312"/>
          <w:sz w:val="32"/>
          <w:highlight w:val="none"/>
          <w:lang w:val="en-US" w:eastAsia="zh-CN"/>
        </w:rPr>
        <w:t>8.25</w:t>
      </w:r>
      <w:r>
        <w:rPr>
          <w:rFonts w:hint="eastAsia" w:ascii="仿宋_GB2312" w:hAnsi="仿宋_GB2312" w:eastAsia="仿宋_GB2312" w:cs="仿宋_GB2312"/>
          <w:sz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增加8.25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今年严格按照经济分类执行，将事业人员保险按照行政单位离退休</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eastAsia="zh-CN"/>
        </w:rPr>
        <w:t>执行。</w:t>
      </w:r>
    </w:p>
    <w:p>
      <w:pPr>
        <w:spacing w:line="560" w:lineRule="exact"/>
        <w:ind w:firstLine="640" w:firstLineChars="200"/>
        <w:rPr>
          <w:rFonts w:hint="default"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rPr>
        <w:t>.社会保障和就业支出（类）</w:t>
      </w:r>
      <w:r>
        <w:rPr>
          <w:rFonts w:hint="eastAsia" w:ascii="仿宋_GB2312" w:hAnsi="宋体" w:eastAsia="仿宋_GB2312" w:cs="宋体"/>
          <w:kern w:val="0"/>
          <w:sz w:val="32"/>
          <w:szCs w:val="32"/>
          <w:highlight w:val="none"/>
        </w:rPr>
        <w:t>行政事业单位养老支出（款）机关事业单位基本养老保险缴费支出（项）</w:t>
      </w:r>
      <w:r>
        <w:rPr>
          <w:rFonts w:hint="eastAsia" w:ascii="仿宋_GB2312" w:hAnsi="仿宋_GB2312" w:eastAsia="仿宋_GB2312" w:cs="仿宋_GB2312"/>
          <w:sz w:val="32"/>
          <w:highlight w:val="none"/>
          <w:lang w:val="en-US" w:eastAsia="zh-CN"/>
        </w:rPr>
        <w:t>186.91</w:t>
      </w:r>
      <w:r>
        <w:rPr>
          <w:rFonts w:hint="eastAsia" w:ascii="仿宋_GB2312" w:hAnsi="仿宋_GB2312" w:eastAsia="仿宋_GB2312" w:cs="仿宋_GB2312"/>
          <w:sz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增加9.94</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增长5.62%</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人员增加，费用增加。</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仿宋_GB2312" w:eastAsia="仿宋_GB2312" w:cs="仿宋_GB2312"/>
          <w:sz w:val="32"/>
          <w:highlight w:val="none"/>
          <w:lang w:val="en-US" w:eastAsia="zh-CN"/>
        </w:rPr>
        <w:t>5.</w:t>
      </w:r>
      <w:r>
        <w:rPr>
          <w:rFonts w:hint="eastAsia" w:ascii="仿宋_GB2312" w:hAnsi="宋体" w:eastAsia="仿宋_GB2312" w:cs="宋体"/>
          <w:kern w:val="0"/>
          <w:sz w:val="32"/>
          <w:szCs w:val="32"/>
          <w:highlight w:val="none"/>
        </w:rPr>
        <w:t>医疗卫生健康支出</w:t>
      </w:r>
      <w:r>
        <w:rPr>
          <w:rFonts w:hint="eastAsia" w:ascii="仿宋_GB2312" w:hAnsi="仿宋_GB2312" w:eastAsia="仿宋_GB2312" w:cs="仿宋_GB2312"/>
          <w:sz w:val="32"/>
          <w:highlight w:val="none"/>
        </w:rPr>
        <w:t>（类）</w:t>
      </w:r>
      <w:r>
        <w:rPr>
          <w:rFonts w:hint="eastAsia" w:ascii="仿宋_GB2312" w:hAnsi="宋体" w:eastAsia="仿宋_GB2312" w:cs="宋体"/>
          <w:kern w:val="0"/>
          <w:sz w:val="32"/>
          <w:szCs w:val="32"/>
          <w:highlight w:val="none"/>
        </w:rPr>
        <w:t>行政事业</w:t>
      </w:r>
      <w:r>
        <w:rPr>
          <w:rFonts w:hint="eastAsia" w:ascii="仿宋_GB2312" w:hAnsi="宋体" w:eastAsia="仿宋_GB2312" w:cs="宋体"/>
          <w:kern w:val="0"/>
          <w:sz w:val="32"/>
          <w:szCs w:val="32"/>
          <w:highlight w:val="none"/>
          <w:lang w:val="en-US" w:eastAsia="zh-CN"/>
        </w:rPr>
        <w:t>单位医疗</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行政单位医疗</w:t>
      </w:r>
      <w:r>
        <w:rPr>
          <w:rFonts w:hint="eastAsia"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93.45万元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减少2.75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下降2.86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今年严格按照经济分类执行，将部分其他类型保险按照其他行政事业单位医疗支出执行。</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w:t>
      </w:r>
      <w:r>
        <w:rPr>
          <w:rFonts w:hint="eastAsia" w:ascii="仿宋_GB2312" w:hAnsi="宋体" w:eastAsia="仿宋_GB2312" w:cs="宋体"/>
          <w:kern w:val="0"/>
          <w:sz w:val="32"/>
          <w:szCs w:val="32"/>
          <w:highlight w:val="none"/>
        </w:rPr>
        <w:t>医疗卫生健康支出</w:t>
      </w:r>
      <w:r>
        <w:rPr>
          <w:rFonts w:hint="eastAsia" w:ascii="仿宋_GB2312" w:hAnsi="仿宋_GB2312" w:eastAsia="仿宋_GB2312" w:cs="仿宋_GB2312"/>
          <w:sz w:val="32"/>
          <w:highlight w:val="none"/>
        </w:rPr>
        <w:t>（类）</w:t>
      </w:r>
      <w:r>
        <w:rPr>
          <w:rFonts w:hint="eastAsia" w:ascii="仿宋_GB2312" w:hAnsi="宋体" w:eastAsia="仿宋_GB2312" w:cs="宋体"/>
          <w:kern w:val="0"/>
          <w:sz w:val="32"/>
          <w:szCs w:val="32"/>
          <w:highlight w:val="none"/>
        </w:rPr>
        <w:t>行政事业</w:t>
      </w:r>
      <w:r>
        <w:rPr>
          <w:rFonts w:hint="eastAsia" w:ascii="仿宋_GB2312" w:hAnsi="宋体" w:eastAsia="仿宋_GB2312" w:cs="宋体"/>
          <w:kern w:val="0"/>
          <w:sz w:val="32"/>
          <w:szCs w:val="32"/>
          <w:highlight w:val="none"/>
          <w:lang w:val="en-US" w:eastAsia="zh-CN"/>
        </w:rPr>
        <w:t>单位医疗</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公务员医疗补助</w:t>
      </w:r>
      <w:r>
        <w:rPr>
          <w:rFonts w:hint="eastAsia"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25.7万元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减少0.75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下降2.84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今年严格按照经济分类执行，将部分其他类型保险按照其他行政事业单位医疗支出执行。</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医疗卫生健康支出</w:t>
      </w:r>
      <w:r>
        <w:rPr>
          <w:rFonts w:hint="eastAsia" w:ascii="仿宋_GB2312" w:hAnsi="仿宋_GB2312" w:eastAsia="仿宋_GB2312" w:cs="仿宋_GB2312"/>
          <w:sz w:val="32"/>
          <w:highlight w:val="none"/>
        </w:rPr>
        <w:t>（类）</w:t>
      </w:r>
      <w:r>
        <w:rPr>
          <w:rFonts w:hint="eastAsia" w:ascii="仿宋_GB2312" w:hAnsi="宋体" w:eastAsia="仿宋_GB2312" w:cs="宋体"/>
          <w:kern w:val="0"/>
          <w:sz w:val="32"/>
          <w:szCs w:val="32"/>
          <w:highlight w:val="none"/>
        </w:rPr>
        <w:t>行政事业</w:t>
      </w:r>
      <w:r>
        <w:rPr>
          <w:rFonts w:hint="eastAsia" w:ascii="仿宋_GB2312" w:hAnsi="宋体" w:eastAsia="仿宋_GB2312" w:cs="宋体"/>
          <w:kern w:val="0"/>
          <w:sz w:val="32"/>
          <w:szCs w:val="32"/>
          <w:highlight w:val="none"/>
          <w:lang w:val="en-US" w:eastAsia="zh-CN"/>
        </w:rPr>
        <w:t>单位医疗</w:t>
      </w:r>
      <w:r>
        <w:rPr>
          <w:rFonts w:hint="eastAsia" w:ascii="仿宋_GB2312" w:hAnsi="宋体" w:eastAsia="仿宋_GB2312" w:cs="宋体"/>
          <w:kern w:val="0"/>
          <w:sz w:val="32"/>
          <w:szCs w:val="32"/>
          <w:highlight w:val="none"/>
        </w:rPr>
        <w:t>（款）</w:t>
      </w:r>
      <w:r>
        <w:rPr>
          <w:rFonts w:hint="eastAsia" w:ascii="仿宋_GB2312" w:eastAsia="仿宋_GB2312"/>
          <w:sz w:val="32"/>
          <w:szCs w:val="32"/>
          <w:highlight w:val="none"/>
          <w:lang w:val="en-US" w:eastAsia="zh-CN"/>
        </w:rPr>
        <w:t>其他行政事业单位医疗支出</w:t>
      </w:r>
      <w:r>
        <w:rPr>
          <w:rFonts w:hint="eastAsia"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0.7万元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增加0.63</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增加900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今年严格按照经济分类执行，将部分其他类型保险按照其他行政事业单位医疗支出执行。</w:t>
      </w:r>
    </w:p>
    <w:p>
      <w:pPr>
        <w:spacing w:line="560" w:lineRule="exact"/>
        <w:ind w:firstLine="640" w:firstLineChars="200"/>
        <w:rPr>
          <w:rFonts w:hint="default" w:ascii="仿宋_GB2312" w:hAnsi="仿宋_GB2312" w:eastAsia="仿宋_GB2312" w:cs="仿宋_GB2312"/>
          <w:sz w:val="32"/>
          <w:highlight w:val="none"/>
          <w:lang w:val="en-US"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住房保障支出</w:t>
      </w:r>
      <w:r>
        <w:rPr>
          <w:rFonts w:hint="eastAsia" w:ascii="仿宋_GB2312" w:hAnsi="仿宋_GB2312" w:eastAsia="仿宋_GB2312" w:cs="仿宋_GB2312"/>
          <w:sz w:val="32"/>
          <w:highlight w:val="none"/>
        </w:rPr>
        <w:t>（类）</w:t>
      </w:r>
      <w:r>
        <w:rPr>
          <w:rFonts w:hint="eastAsia" w:ascii="仿宋_GB2312" w:hAnsi="宋体" w:eastAsia="仿宋_GB2312" w:cs="宋体"/>
          <w:kern w:val="0"/>
          <w:sz w:val="32"/>
          <w:szCs w:val="32"/>
          <w:highlight w:val="none"/>
          <w:lang w:val="en-US" w:eastAsia="zh-CN"/>
        </w:rPr>
        <w:t>住房改革支出</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住房公积金</w:t>
      </w:r>
      <w:r>
        <w:rPr>
          <w:rFonts w:hint="eastAsia"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155.38万元，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增加11.79</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增加8.21</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人员增加，费用增加。</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widowControl w:val="0"/>
        <w:wordWrap/>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2257.44</w:t>
      </w:r>
      <w:r>
        <w:rPr>
          <w:rFonts w:hint="eastAsia" w:ascii="仿宋_GB2312" w:hAnsi="宋体" w:eastAsia="仿宋_GB2312" w:cs="宋体"/>
          <w:color w:val="auto"/>
          <w:spacing w:val="-6"/>
          <w:kern w:val="0"/>
          <w:sz w:val="32"/>
          <w:szCs w:val="32"/>
          <w:highlight w:val="none"/>
        </w:rPr>
        <w:t>万元， 其中：</w:t>
      </w:r>
    </w:p>
    <w:p>
      <w:pPr>
        <w:pStyle w:val="4"/>
        <w:widowControl/>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1828.21</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450.6万元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461.48万元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378.67万元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35.13万元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186.91万元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93.46万元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25.7万元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6.01万元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155.38万元、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21.11万元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12.45万元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1.17万元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0.14万元</w:t>
      </w:r>
      <w:r>
        <w:rPr>
          <w:rFonts w:hint="eastAsia" w:ascii="仿宋_GB2312" w:hAnsi="宋体" w:eastAsia="仿宋_GB2312" w:cs="宋体"/>
          <w:color w:val="auto"/>
          <w:kern w:val="0"/>
          <w:sz w:val="32"/>
          <w:szCs w:val="32"/>
          <w:highlight w:val="none"/>
        </w:rPr>
        <w:t>。</w:t>
      </w:r>
    </w:p>
    <w:p>
      <w:pPr>
        <w:widowControl w:val="0"/>
        <w:wordWrap/>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429.23</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100万元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22万元</w:t>
      </w:r>
      <w:r>
        <w:rPr>
          <w:rFonts w:hint="eastAsia" w:ascii="仿宋_GB2312" w:hAnsi="宋体" w:eastAsia="仿宋_GB2312" w:cs="宋体"/>
          <w:color w:val="auto"/>
          <w:kern w:val="0"/>
          <w:sz w:val="32"/>
          <w:szCs w:val="32"/>
          <w:highlight w:val="none"/>
        </w:rPr>
        <w:t>、咨询费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1.67万元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8.3万元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7.2万元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9.43万元</w:t>
      </w:r>
      <w:r>
        <w:rPr>
          <w:rFonts w:hint="eastAsia" w:ascii="仿宋_GB2312" w:hAnsi="宋体" w:eastAsia="仿宋_GB2312" w:cs="宋体"/>
          <w:color w:val="auto"/>
          <w:kern w:val="0"/>
          <w:sz w:val="32"/>
          <w:szCs w:val="32"/>
          <w:highlight w:val="none"/>
        </w:rPr>
        <w:t>、物业管理费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5万元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22万元</w:t>
      </w:r>
      <w:r>
        <w:rPr>
          <w:rFonts w:hint="eastAsia" w:ascii="仿宋_GB2312" w:hAnsi="宋体" w:eastAsia="仿宋_GB2312" w:cs="宋体"/>
          <w:color w:val="auto"/>
          <w:kern w:val="0"/>
          <w:sz w:val="32"/>
          <w:szCs w:val="32"/>
          <w:highlight w:val="none"/>
        </w:rPr>
        <w:t>、租赁费</w:t>
      </w:r>
      <w:r>
        <w:rPr>
          <w:rFonts w:hint="eastAsia" w:ascii="仿宋_GB2312" w:hAnsi="宋体" w:eastAsia="仿宋_GB2312" w:cs="宋体"/>
          <w:color w:val="auto"/>
          <w:kern w:val="0"/>
          <w:sz w:val="32"/>
          <w:szCs w:val="32"/>
          <w:highlight w:val="none"/>
          <w:lang w:val="en-US" w:eastAsia="zh-CN"/>
        </w:rPr>
        <w:t>6万元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7.2万元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6万元</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84万元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23.23万元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26.4万元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2.4万元</w:t>
      </w:r>
      <w:r>
        <w:rPr>
          <w:rFonts w:hint="eastAsia" w:ascii="仿宋_GB2312" w:hAnsi="宋体" w:eastAsia="仿宋_GB2312" w:cs="宋体"/>
          <w:color w:val="auto"/>
          <w:kern w:val="0"/>
          <w:sz w:val="32"/>
          <w:szCs w:val="32"/>
          <w:highlight w:val="none"/>
        </w:rPr>
        <w:t>、其他商品和服务支出</w:t>
      </w:r>
      <w:r>
        <w:rPr>
          <w:rFonts w:hint="eastAsia" w:ascii="仿宋_GB2312" w:hAnsi="宋体" w:eastAsia="仿宋_GB2312" w:cs="宋体"/>
          <w:color w:val="auto"/>
          <w:kern w:val="0"/>
          <w:sz w:val="32"/>
          <w:szCs w:val="32"/>
          <w:highlight w:val="none"/>
          <w:lang w:val="en-US" w:eastAsia="zh-CN"/>
        </w:rPr>
        <w:t>97.4万元</w:t>
      </w:r>
      <w:r>
        <w:rPr>
          <w:rFonts w:hint="eastAsia" w:ascii="仿宋_GB2312" w:hAnsi="宋体" w:eastAsia="仿宋_GB2312" w:cs="宋体"/>
          <w:color w:val="auto"/>
          <w:kern w:val="0"/>
          <w:sz w:val="32"/>
          <w:szCs w:val="32"/>
          <w:highlight w:val="none"/>
        </w:rPr>
        <w:t>。</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widowControl w:val="0"/>
        <w:wordWrap/>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rPr>
        <w:t>政府性基金预算拨款情况说明</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rPr>
        <w:t>国有资本经营预算拨款情况说明</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lang w:val="en-US"/>
        </w:rPr>
        <w:t>财政拨款</w:t>
      </w:r>
      <w:r>
        <w:rPr>
          <w:rFonts w:hint="eastAsia" w:ascii="楷体_GB2312" w:hAnsi="楷体_GB2312" w:eastAsia="楷体_GB2312" w:cs="楷体_GB2312"/>
          <w:b/>
          <w:bCs/>
          <w:color w:val="auto"/>
          <w:kern w:val="0"/>
          <w:sz w:val="32"/>
          <w:szCs w:val="32"/>
          <w:highlight w:val="none"/>
        </w:rPr>
        <w:t>“三公”经费预算情况说明</w:t>
      </w:r>
    </w:p>
    <w:p>
      <w:pPr>
        <w:widowControl w:val="0"/>
        <w:wordWrap/>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中国共产党呼图壁县纪律检查委员会2024年</w:t>
      </w:r>
      <w:r>
        <w:rPr>
          <w:rFonts w:hint="eastAsia" w:ascii="仿宋_GB2312" w:hAnsi="宋体" w:eastAsia="仿宋_GB2312" w:cs="宋体"/>
          <w:color w:val="auto"/>
          <w:kern w:val="0"/>
          <w:sz w:val="32"/>
          <w:szCs w:val="32"/>
          <w:highlight w:val="none"/>
          <w:lang w:val="en-U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32.4</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26.4</w:t>
      </w:r>
      <w:r>
        <w:rPr>
          <w:rFonts w:hint="eastAsia" w:ascii="仿宋_GB2312" w:hAnsi="宋体" w:eastAsia="仿宋_GB2312" w:cs="宋体"/>
          <w:color w:val="auto"/>
          <w:kern w:val="0"/>
          <w:sz w:val="32"/>
          <w:szCs w:val="32"/>
          <w:highlight w:val="none"/>
        </w:rPr>
        <w:t xml:space="preserve"> 万元，公务接待费</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8.48%，</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未安排相关预算；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未安排相关预算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严格执行厉行节约，降低公务用车运行费用</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严格按照预算要求执行</w:t>
      </w:r>
      <w:r>
        <w:rPr>
          <w:rFonts w:hint="eastAsia" w:ascii="仿宋_GB2312" w:hAnsi="宋体" w:eastAsia="仿宋_GB2312" w:cs="宋体"/>
          <w:color w:val="auto"/>
          <w:kern w:val="0"/>
          <w:sz w:val="32"/>
          <w:szCs w:val="32"/>
          <w:highlight w:val="none"/>
        </w:rPr>
        <w:t>。</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widowControl w:val="0"/>
        <w:wordWrap/>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中国共产党呼图壁县纪律检查委员会2024年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宋体" w:eastAsia="仿宋_GB2312" w:cs="宋体"/>
          <w:color w:val="auto"/>
          <w:kern w:val="0"/>
          <w:sz w:val="32"/>
          <w:szCs w:val="32"/>
          <w:highlight w:val="none"/>
          <w:lang w:val="en-US" w:eastAsia="zh-CN"/>
        </w:rPr>
        <w:t>429.23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 xml:space="preserve">减少8.7 </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下降1.99</w:t>
      </w:r>
      <w:r>
        <w:rPr>
          <w:rFonts w:hint="eastAsia" w:ascii="仿宋_GB2312" w:hAnsi="仿宋_GB2312" w:eastAsia="仿宋_GB2312" w:cs="仿宋_GB2312"/>
          <w:color w:val="auto"/>
          <w:kern w:val="0"/>
          <w:sz w:val="32"/>
          <w:szCs w:val="32"/>
          <w:highlight w:val="none"/>
        </w:rPr>
        <w:t>%。主要</w:t>
      </w:r>
      <w:r>
        <w:rPr>
          <w:rFonts w:hint="eastAsia" w:ascii="仿宋_GB2312" w:hAnsi="仿宋_GB2312" w:eastAsia="仿宋_GB2312" w:cs="仿宋_GB2312"/>
          <w:color w:val="auto"/>
          <w:kern w:val="0"/>
          <w:sz w:val="32"/>
          <w:szCs w:val="32"/>
          <w:highlight w:val="none"/>
          <w:lang w:eastAsia="zh-CN"/>
        </w:rPr>
        <w:t>原因是严格细化机关运行经费预算，厉行节约</w:t>
      </w:r>
      <w:r>
        <w:rPr>
          <w:rFonts w:hint="eastAsia" w:ascii="仿宋_GB2312" w:hAnsi="仿宋_GB2312" w:eastAsia="仿宋_GB2312" w:cs="仿宋_GB2312"/>
          <w:color w:val="auto"/>
          <w:kern w:val="0"/>
          <w:sz w:val="32"/>
          <w:szCs w:val="32"/>
          <w:highlight w:val="none"/>
        </w:rPr>
        <w:t>。</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中国共产党呼图壁县纪律检查委员会</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249.92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172.48</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77.44</w:t>
      </w:r>
      <w:r>
        <w:rPr>
          <w:rFonts w:hint="eastAsia" w:ascii="仿宋_GB2312" w:hAnsi="仿宋_GB2312" w:eastAsia="仿宋_GB2312" w:cs="仿宋_GB2312"/>
          <w:color w:val="auto"/>
          <w:kern w:val="0"/>
          <w:sz w:val="32"/>
          <w:szCs w:val="32"/>
          <w:highlight w:val="none"/>
        </w:rPr>
        <w:t>万元。</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中国共产党呼图壁县纪律检查委员会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249.92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249.92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widowControl w:val="0"/>
        <w:wordWrap/>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中国共产党呼图壁县纪律检查委员会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sz w:val="32"/>
          <w:highlight w:val="none"/>
        </w:rPr>
        <w:t>房屋2301平方米，价值498.38万元</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2.车辆</w:t>
      </w:r>
      <w:r>
        <w:rPr>
          <w:rFonts w:hint="eastAsia" w:ascii="仿宋_GB2312" w:hAnsi="仿宋_GB2312" w:eastAsia="仿宋_GB2312" w:cs="仿宋_GB2312"/>
          <w:sz w:val="32"/>
          <w:highlight w:val="none"/>
          <w:lang w:val="en-US" w:eastAsia="zh-CN"/>
        </w:rPr>
        <w:t>11</w:t>
      </w:r>
      <w:r>
        <w:rPr>
          <w:rFonts w:hint="eastAsia" w:ascii="仿宋_GB2312" w:hAnsi="仿宋_GB2312" w:eastAsia="仿宋_GB2312" w:cs="仿宋_GB2312"/>
          <w:sz w:val="32"/>
          <w:highlight w:val="none"/>
        </w:rPr>
        <w:t>辆，价值</w:t>
      </w:r>
      <w:r>
        <w:rPr>
          <w:rFonts w:hint="eastAsia" w:ascii="仿宋_GB2312" w:hAnsi="仿宋_GB2312" w:eastAsia="仿宋_GB2312" w:cs="仿宋_GB2312"/>
          <w:sz w:val="32"/>
          <w:highlight w:val="none"/>
          <w:lang w:val="en-US" w:eastAsia="zh-CN"/>
        </w:rPr>
        <w:t>153.92</w:t>
      </w:r>
      <w:r>
        <w:rPr>
          <w:rFonts w:hint="eastAsia" w:ascii="仿宋_GB2312" w:hAnsi="仿宋_GB2312" w:eastAsia="仿宋_GB2312" w:cs="仿宋_GB2312"/>
          <w:sz w:val="32"/>
          <w:highlight w:val="none"/>
        </w:rPr>
        <w:t>万元；其中：一般公务用车0辆，价值0万元；执法执勤用车0辆，价值0万元；其他车辆</w:t>
      </w:r>
      <w:r>
        <w:rPr>
          <w:rFonts w:hint="eastAsia" w:ascii="仿宋_GB2312" w:hAnsi="仿宋_GB2312" w:eastAsia="仿宋_GB2312" w:cs="仿宋_GB2312"/>
          <w:sz w:val="32"/>
          <w:highlight w:val="none"/>
          <w:lang w:val="en-US" w:eastAsia="zh-CN"/>
        </w:rPr>
        <w:t>11</w:t>
      </w:r>
      <w:r>
        <w:rPr>
          <w:rFonts w:hint="eastAsia" w:ascii="仿宋_GB2312" w:hAnsi="仿宋_GB2312" w:eastAsia="仿宋_GB2312" w:cs="仿宋_GB2312"/>
          <w:sz w:val="32"/>
          <w:highlight w:val="none"/>
        </w:rPr>
        <w:t>辆，价值</w:t>
      </w:r>
      <w:r>
        <w:rPr>
          <w:rFonts w:hint="eastAsia" w:ascii="仿宋_GB2312" w:hAnsi="仿宋_GB2312" w:eastAsia="仿宋_GB2312" w:cs="仿宋_GB2312"/>
          <w:sz w:val="32"/>
          <w:highlight w:val="none"/>
          <w:lang w:val="en-US" w:eastAsia="zh-CN"/>
        </w:rPr>
        <w:t>153.92</w:t>
      </w:r>
      <w:r>
        <w:rPr>
          <w:rFonts w:hint="eastAsia" w:ascii="仿宋_GB2312" w:hAnsi="仿宋_GB2312" w:eastAsia="仿宋_GB2312" w:cs="仿宋_GB2312"/>
          <w:sz w:val="32"/>
          <w:highlight w:val="none"/>
        </w:rPr>
        <w:t>万元。</w:t>
      </w:r>
      <w:r>
        <w:rPr>
          <w:rFonts w:hint="eastAsia" w:ascii="仿宋_GB2312" w:hAnsi="仿宋_GB2312" w:eastAsia="仿宋_GB2312" w:cs="仿宋_GB2312"/>
          <w:kern w:val="2"/>
          <w:sz w:val="32"/>
          <w:szCs w:val="24"/>
          <w:highlight w:val="none"/>
          <w:lang w:val="en-US" w:eastAsia="zh-CN" w:bidi="ar-SA"/>
        </w:rPr>
        <w:drawing>
          <wp:inline distT="0" distB="0" distL="114300" distR="114300">
            <wp:extent cx="6350" cy="8890"/>
            <wp:effectExtent l="0" t="0" r="0" b="0"/>
            <wp:docPr id="1" name="图片框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框 1027"/>
                    <pic:cNvPicPr>
                      <a:picLocks noChangeAspect="1"/>
                    </pic:cNvPicPr>
                  </pic:nvPicPr>
                  <pic:blipFill>
                    <a:blip r:embed="rId6">
                      <a:lum/>
                    </a:blip>
                    <a:stretch>
                      <a:fillRect/>
                    </a:stretch>
                  </pic:blipFill>
                  <pic:spPr>
                    <a:xfrm>
                      <a:off x="0" y="0"/>
                      <a:ext cx="6350" cy="8890"/>
                    </a:xfrm>
                    <a:prstGeom prst="rect">
                      <a:avLst/>
                    </a:prstGeom>
                    <a:noFill/>
                    <a:ln>
                      <a:noFill/>
                    </a:ln>
                  </pic:spPr>
                </pic:pic>
              </a:graphicData>
            </a:graphic>
          </wp:inline>
        </w:drawing>
      </w:r>
    </w:p>
    <w:p>
      <w:pPr>
        <w:spacing w:line="560" w:lineRule="exact"/>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3.办公家具价值96.31万元。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200.54</w:t>
      </w:r>
      <w:r>
        <w:rPr>
          <w:rFonts w:hint="eastAsia" w:ascii="仿宋_GB2312" w:hAnsi="仿宋_GB2312" w:eastAsia="仿宋_GB2312" w:cs="仿宋_GB2312"/>
          <w:kern w:val="0"/>
          <w:sz w:val="32"/>
          <w:szCs w:val="32"/>
          <w:highlight w:val="none"/>
        </w:rPr>
        <w:t>万元。</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widowControl w:val="0"/>
        <w:wordWrap/>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widowControl w:val="0"/>
        <w:wordWrap/>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rPr>
        <w:t>（四）</w:t>
      </w:r>
      <w:r>
        <w:rPr>
          <w:rFonts w:hint="eastAsia" w:ascii="仿宋_GB2312" w:hAnsi="仿宋_GB2312" w:eastAsia="仿宋_GB2312" w:cs="仿宋_GB2312"/>
          <w:b/>
          <w:color w:val="auto"/>
          <w:kern w:val="0"/>
          <w:sz w:val="32"/>
          <w:szCs w:val="32"/>
          <w:highlight w:val="none"/>
        </w:rPr>
        <w:t>预算绩效情况</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整体预算绩效目标1个，涉及金额3284.04万元；</w:t>
      </w:r>
      <w:r>
        <w:rPr>
          <w:rFonts w:hint="eastAsia" w:ascii="仿宋_GB2312" w:hAnsi="仿宋_GB2312" w:eastAsia="仿宋_GB2312" w:cs="仿宋_GB2312"/>
          <w:kern w:val="0"/>
          <w:sz w:val="32"/>
          <w:szCs w:val="32"/>
          <w:highlight w:val="none"/>
        </w:rPr>
        <w:t>本年度预算绩效管理的财政拨款项目</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个，涉及预算金额</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万元；非财政拨款项目</w:t>
      </w:r>
      <w:r>
        <w:rPr>
          <w:rFonts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个，涉及预算金额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hint="eastAsia" w:ascii="仿宋_GB2312" w:hAnsi="宋体" w:eastAsia="仿宋_GB2312" w:cs="仿宋_GB2312"/>
                <w:b/>
                <w:color w:val="000000"/>
                <w:kern w:val="0"/>
                <w:sz w:val="32"/>
                <w:szCs w:val="32"/>
                <w:highlight w:val="none"/>
                <w:lang w:val="en-US" w:eastAsia="zh-CN"/>
              </w:rPr>
            </w:pPr>
            <w:r>
              <w:rPr>
                <w:rFonts w:hint="eastAsia" w:ascii="仿宋_GB2312" w:hAnsi="宋体" w:eastAsia="仿宋_GB2312" w:cs="仿宋_GB2312"/>
                <w:b/>
                <w:color w:val="000000"/>
                <w:kern w:val="0"/>
                <w:sz w:val="32"/>
                <w:szCs w:val="32"/>
                <w:highlight w:val="none"/>
                <w:lang w:val="en-US" w:eastAsia="zh-CN"/>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hint="eastAsia" w:ascii="仿宋_GB2312" w:hAnsi="宋体" w:eastAsia="仿宋_GB2312" w:cs="仿宋_GB2312"/>
                <w:b/>
                <w:color w:val="000000"/>
                <w:kern w:val="0"/>
                <w:sz w:val="32"/>
                <w:szCs w:val="32"/>
                <w:highlight w:val="none"/>
                <w:lang w:val="en-US" w:eastAsia="zh-CN"/>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中国共产党呼图壁县纪律检查委员会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马晓丹</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18690805110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widowControl/>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br w:type="textWrapping"/>
            </w:r>
            <w:r>
              <w:rPr>
                <w:rFonts w:hint="eastAsia" w:ascii="宋体" w:hAnsi="宋体" w:eastAsia="宋体" w:cs="宋体"/>
                <w:i w:val="0"/>
                <w:iCs w:val="0"/>
                <w:color w:val="000000"/>
                <w:kern w:val="0"/>
                <w:sz w:val="20"/>
                <w:szCs w:val="20"/>
                <w:highlight w:val="none"/>
                <w:u w:val="none"/>
                <w:lang w:val="en-US" w:eastAsia="zh-CN"/>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1、持续抓好财政收入；2、强化综合管理，提升运营效率；3、优化支出结构，强化支撑保障；4、全面实施预算绩效管理；5、完善财政内控机制建设。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rPr>
              <w:t>上级</w:t>
            </w:r>
            <w:r>
              <w:rPr>
                <w:rFonts w:hint="eastAsia" w:ascii="宋体" w:hAnsi="宋体" w:eastAsia="宋体" w:cs="宋体"/>
                <w:i w:val="0"/>
                <w:iCs w:val="0"/>
                <w:color w:val="000000"/>
                <w:kern w:val="0"/>
                <w:sz w:val="20"/>
                <w:szCs w:val="20"/>
                <w:highlight w:val="none"/>
                <w:u w:val="none"/>
                <w:lang w:val="en-US" w:eastAsia="zh-CN"/>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rPr>
              <w:t>本级</w:t>
            </w:r>
            <w:r>
              <w:rPr>
                <w:rFonts w:hint="eastAsia" w:ascii="宋体" w:hAnsi="宋体" w:eastAsia="宋体" w:cs="宋体"/>
                <w:i w:val="0"/>
                <w:iCs w:val="0"/>
                <w:color w:val="000000"/>
                <w:kern w:val="0"/>
                <w:sz w:val="20"/>
                <w:szCs w:val="20"/>
                <w:highlight w:val="none"/>
                <w:u w:val="none"/>
                <w:lang w:val="en-US" w:eastAsia="zh-CN"/>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2257.44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2"/>
                <w:szCs w:val="22"/>
                <w:highlight w:val="none"/>
                <w:u w:val="none"/>
                <w:lang w:val="en-US" w:eastAsia="zh-CN"/>
              </w:rPr>
              <w:t>1026.</w:t>
            </w:r>
            <w:r>
              <w:rPr>
                <w:rFonts w:hint="eastAsia" w:ascii="宋体" w:hAnsi="宋体" w:cs="宋体"/>
                <w:i w:val="0"/>
                <w:iCs w:val="0"/>
                <w:color w:val="000000"/>
                <w:kern w:val="0"/>
                <w:sz w:val="22"/>
                <w:szCs w:val="22"/>
                <w:highlight w:val="none"/>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开展法定节假日落实中央八项规定精神专项督查次数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中国共产党呼图壁县第十三届纪律检查委员会第四次全体会议公报</w:t>
            </w:r>
          </w:p>
        </w:tc>
        <w:tc>
          <w:tcPr>
            <w:tcW w:w="18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kern w:val="0"/>
                <w:sz w:val="20"/>
                <w:szCs w:val="20"/>
                <w:highlight w:val="none"/>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督促乡镇纪委和派驻（派出）机构做好所辖区域监督单位个数</w:t>
            </w:r>
          </w:p>
        </w:tc>
        <w:tc>
          <w:tcPr>
            <w:tcW w:w="12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&gt;=14个</w:t>
            </w:r>
          </w:p>
        </w:tc>
        <w:tc>
          <w:tcPr>
            <w:tcW w:w="211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中国共产党呼图壁县第十三届纪律检查委员会第四次全体会议公报</w:t>
            </w:r>
          </w:p>
        </w:tc>
        <w:tc>
          <w:tcPr>
            <w:tcW w:w="18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kern w:val="0"/>
                <w:sz w:val="20"/>
                <w:szCs w:val="20"/>
                <w:highlight w:val="none"/>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2024年巡察轮次数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&gt;=3轮次</w:t>
            </w:r>
          </w:p>
        </w:tc>
        <w:tc>
          <w:tcPr>
            <w:tcW w:w="211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中国共产党呼图壁县第十三届纪律检查委员会第四次全体会议公报</w:t>
            </w:r>
          </w:p>
        </w:tc>
        <w:tc>
          <w:tcPr>
            <w:tcW w:w="18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kern w:val="0"/>
                <w:sz w:val="20"/>
                <w:szCs w:val="20"/>
                <w:highlight w:val="none"/>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2024年巡察县直行政、事业单位个数</w:t>
            </w:r>
          </w:p>
        </w:tc>
        <w:tc>
          <w:tcPr>
            <w:tcW w:w="12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&gt;=12个</w:t>
            </w:r>
          </w:p>
        </w:tc>
        <w:tc>
          <w:tcPr>
            <w:tcW w:w="211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中国共产党呼图壁县第十三届纪律检查委员会第四次全体会议公报</w:t>
            </w:r>
          </w:p>
        </w:tc>
        <w:tc>
          <w:tcPr>
            <w:tcW w:w="18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kern w:val="0"/>
                <w:sz w:val="20"/>
                <w:szCs w:val="20"/>
                <w:highlight w:val="none"/>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纪委监委新闻稿件上稿量</w:t>
            </w:r>
          </w:p>
        </w:tc>
        <w:tc>
          <w:tcPr>
            <w:tcW w:w="12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&gt;=12篇</w:t>
            </w:r>
          </w:p>
        </w:tc>
        <w:tc>
          <w:tcPr>
            <w:tcW w:w="211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中国共产党呼图壁县第十三届纪律检查委员会第四次全体会议公报</w:t>
            </w:r>
          </w:p>
        </w:tc>
        <w:tc>
          <w:tcPr>
            <w:tcW w:w="18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kern w:val="0"/>
                <w:sz w:val="20"/>
                <w:szCs w:val="20"/>
                <w:highlight w:val="none"/>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2024年回访督查被巡单位轮次</w:t>
            </w:r>
          </w:p>
        </w:tc>
        <w:tc>
          <w:tcPr>
            <w:tcW w:w="12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&gt;=2轮次</w:t>
            </w:r>
          </w:p>
        </w:tc>
        <w:tc>
          <w:tcPr>
            <w:tcW w:w="211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中国共产党呼图壁县第十三届纪律检查委员会第四次全体会议公报</w:t>
            </w:r>
          </w:p>
        </w:tc>
        <w:tc>
          <w:tcPr>
            <w:tcW w:w="18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仿宋" w:hAnsi="仿宋" w:eastAsia="仿宋" w:cs="仿宋"/>
                <w:b w:val="0"/>
                <w:bCs/>
                <w:i w:val="0"/>
                <w:iCs w:val="0"/>
                <w:color w:val="000000"/>
                <w:sz w:val="15"/>
                <w:szCs w:val="15"/>
                <w:highlight w:val="none"/>
                <w:u w:val="none"/>
              </w:rPr>
            </w:pPr>
            <w:r>
              <w:rPr>
                <w:rFonts w:hint="eastAsia" w:ascii="仿宋" w:hAnsi="仿宋" w:eastAsia="仿宋" w:cs="仿宋"/>
                <w:b w:val="0"/>
                <w:bCs/>
                <w:i w:val="0"/>
                <w:color w:val="000000"/>
                <w:sz w:val="15"/>
                <w:szCs w:val="15"/>
                <w:highlight w:val="none"/>
                <w:u w:val="none"/>
                <w:lang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bl>
    <w:p>
      <w:pPr>
        <w:widowControl w:val="0"/>
        <w:wordWrap/>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widowControl w:val="0"/>
        <w:wordWrap/>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widowControl w:val="0"/>
        <w:wordWrap/>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widowControl w:val="0"/>
        <w:wordWrap/>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widowControl w:val="0"/>
        <w:numPr>
          <w:ilvl w:val="0"/>
          <w:numId w:val="1"/>
        </w:numPr>
        <w:wordWrap/>
        <w:adjustRightInd/>
        <w:snapToGrid/>
        <w:spacing w:before="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widowControl w:val="0"/>
        <w:numPr>
          <w:ilvl w:val="0"/>
          <w:numId w:val="0"/>
        </w:numPr>
        <w:wordWrap/>
        <w:adjustRightInd/>
        <w:snapToGrid/>
        <w:spacing w:before="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kern w:val="0"/>
          <w:sz w:val="32"/>
          <w:szCs w:val="32"/>
          <w:highlight w:val="none"/>
        </w:rPr>
        <w:t>非财政拨款项目</w:t>
      </w:r>
      <w:r>
        <w:rPr>
          <w:rFonts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个，涉及预算金额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bookmarkStart w:id="0" w:name="_GoBack"/>
      <w:bookmarkEnd w:id="0"/>
    </w:p>
    <w:p>
      <w:pPr>
        <w:widowControl w:val="0"/>
        <w:wordWrap/>
        <w:adjustRightInd/>
        <w:snapToGrid/>
        <w:spacing w:before="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widowControl w:val="0"/>
        <w:wordWrap/>
        <w:adjustRightInd/>
        <w:snapToGrid/>
        <w:spacing w:before="0" w:line="600" w:lineRule="exact"/>
        <w:ind w:firstLine="640" w:firstLineChars="200"/>
        <w:jc w:val="both"/>
        <w:textAlignment w:val="auto"/>
        <w:outlineLvl w:val="9"/>
        <w:rPr>
          <w:rFonts w:hint="eastAsia" w:ascii="黑体" w:hAnsi="黑体" w:eastAsia="黑体"/>
          <w:sz w:val="32"/>
          <w:szCs w:val="32"/>
          <w:highlight w:val="none"/>
        </w:rPr>
      </w:pPr>
    </w:p>
    <w:p>
      <w:pPr>
        <w:widowControl w:val="0"/>
        <w:wordWrap/>
        <w:adjustRightInd/>
        <w:snapToGrid/>
        <w:spacing w:before="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widowControl w:val="0"/>
        <w:wordWrap/>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widowControl w:val="0"/>
        <w:wordWrap/>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widowControl w:val="0"/>
        <w:wordWrap/>
        <w:adjustRightInd/>
        <w:snapToGrid/>
        <w:spacing w:before="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widowControl w:val="0"/>
        <w:wordWrap/>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widowControl w:val="0"/>
        <w:wordWrap/>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widowControl w:val="0"/>
        <w:wordWrap/>
        <w:adjustRightInd/>
        <w:snapToGrid/>
        <w:spacing w:before="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widowControl w:val="0"/>
        <w:wordWrap/>
        <w:adjustRightInd/>
        <w:snapToGrid/>
        <w:spacing w:before="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widowControl w:val="0"/>
        <w:wordWrap/>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pPr>
        <w:widowControl w:val="0"/>
        <w:wordWrap/>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pPr>
        <w:widowControl w:val="0"/>
        <w:wordWrap/>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pPr>
        <w:widowControl w:val="0"/>
        <w:wordWrap/>
        <w:adjustRightInd/>
        <w:snapToGrid/>
        <w:spacing w:before="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中国共产党呼图壁县纪律检查委员会</w:t>
      </w:r>
    </w:p>
    <w:p>
      <w:pPr>
        <w:widowControl w:val="0"/>
        <w:wordWrap/>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Times New Roman" w:hAnsi="Times New Roman" w:eastAsia="黑体" w:cs="Times New Roman"/>
        <w:snapToGrid w:val="0"/>
        <w:kern w:val="0"/>
        <w:sz w:val="2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5dblS0AAAAAUBAAAPAAAAAAAA&#10;AAEAIAAAACIAAABkcnMvZG93bnJldi54bWxQSwECFAAUAAAACACHTuJAyNADs6gBAABBAwAADgAA&#10;AAAAAAABACAAAAAfAQAAZHJzL2Uyb0RvYy54bWxQSwUGAAAAAAYABgBZAQAAOQ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rect>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rFonts w:ascii="Times New Roman" w:hAnsi="Times New Roman" w:eastAsia="黑体" w:cs="Times New Roman"/>
        <w:snapToGrid w:val="0"/>
        <w:kern w:val="0"/>
        <w:sz w:val="2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- 56 -</w:t>
                          </w:r>
                          <w:r>
                            <w:fldChar w:fldCharType="end"/>
                          </w: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XW5UtAAAAAFAQAADwAAAAAA&#10;AAABACAAAAAiAAAAZHJzL2Rvd25yZXYueG1sUEsBAhQAFAAAAAgAh07iQHl3hMWpAQAAQQMAAA4A&#10;AAAAAAAAAQAgAAAAHwEAAGRycy9lMm9Eb2MueG1sUEsFBgAAAAAGAAYAWQEAADo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rect>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890D7A"/>
    <w:rsid w:val="0955654B"/>
    <w:rsid w:val="0D7A75AF"/>
    <w:rsid w:val="10964454"/>
    <w:rsid w:val="1694429A"/>
    <w:rsid w:val="1944613E"/>
    <w:rsid w:val="1C962B1C"/>
    <w:rsid w:val="1D5C173A"/>
    <w:rsid w:val="2E9C0381"/>
    <w:rsid w:val="33813C61"/>
    <w:rsid w:val="3DED5AA7"/>
    <w:rsid w:val="3F4022D4"/>
    <w:rsid w:val="43F850B9"/>
    <w:rsid w:val="44C97D74"/>
    <w:rsid w:val="4BB96D23"/>
    <w:rsid w:val="5607269E"/>
    <w:rsid w:val="5D2031A1"/>
    <w:rsid w:val="5DB82020"/>
    <w:rsid w:val="5F3E402E"/>
    <w:rsid w:val="5F946409"/>
    <w:rsid w:val="64700769"/>
    <w:rsid w:val="6B200101"/>
    <w:rsid w:val="6DE90B62"/>
    <w:rsid w:val="7BDC680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rPr>
  </w:style>
  <w:style w:type="character" w:customStyle="1" w:styleId="7">
    <w:name w:val="font11"/>
    <w:basedOn w:val="6"/>
    <w:qFormat/>
    <w:uiPriority w:val="0"/>
    <w:rPr>
      <w:rFonts w:hint="eastAsia" w:ascii="宋体" w:hAnsi="宋体" w:eastAsia="宋体" w:cs="宋体"/>
      <w:color w:val="000000"/>
      <w:sz w:val="24"/>
      <w:szCs w:val="24"/>
      <w:u w:val="none"/>
    </w:rPr>
  </w:style>
  <w:style w:type="character" w:customStyle="1" w:styleId="8">
    <w:name w:val="font51"/>
    <w:basedOn w:val="6"/>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2024-02-29T10:51:00Z</cp:lastPrinted>
  <dcterms:modified xsi:type="dcterms:W3CDTF">2024-07-31T02:48:19Z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