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呼图壁县</w:t>
      </w:r>
      <w:r>
        <w:rPr>
          <w:rFonts w:hint="eastAsia" w:ascii="方正小标宋_GBK" w:hAnsi="宋体" w:eastAsia="方正小标宋_GBK"/>
          <w:kern w:val="0"/>
          <w:sz w:val="44"/>
          <w:szCs w:val="44"/>
          <w:lang w:val="en-US" w:eastAsia="zh-CN"/>
        </w:rPr>
        <w:t>第四中</w:t>
      </w:r>
      <w:r>
        <w:rPr>
          <w:rFonts w:hint="eastAsia" w:ascii="方正小标宋_GBK" w:hAnsi="宋体" w:eastAsia="方正小标宋_GBK"/>
          <w:kern w:val="0"/>
          <w:sz w:val="44"/>
          <w:szCs w:val="44"/>
        </w:rPr>
        <w:t>学</w:t>
      </w:r>
      <w:r>
        <w:rPr>
          <w:rFonts w:hint="eastAsia" w:ascii="方正小标宋_GBK" w:hAnsi="宋体" w:eastAsia="方正小标宋_GBK"/>
          <w:kern w:val="0"/>
          <w:sz w:val="44"/>
          <w:szCs w:val="44"/>
          <w:lang w:val="en-US" w:eastAsia="zh-CN"/>
        </w:rPr>
        <w:t>2024</w:t>
      </w:r>
      <w:r>
        <w:rPr>
          <w:rFonts w:hint="eastAsia" w:ascii="方正小标宋_GBK" w:hAnsi="宋体" w:eastAsia="方正小标宋_GBK"/>
          <w:kern w:val="0"/>
          <w:sz w:val="44"/>
          <w:szCs w:val="44"/>
        </w:rPr>
        <w:t>年</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2024年呼图壁县第四中学</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2024年呼图壁县第四中学</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呼图壁县第四中学</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呼图壁县第四中学</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呼图壁县第四中学</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2024年呼图壁县第四中学</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2024年呼图壁县第四中学</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我校全面贯彻党的教育方针，深入实施素质教育，全面推进基础教育课程改革，遵循“以人为本，面向全体，培养特长，和谐发展”的办学思想，努力把学校办成一所现代化、高质量，学生向往、家长放心、社会声誉好的学校。以提高教学质量为核心，以安全工作为重点，科学管理、依法管理、从严管理，加强学校内涵建设，实施</w:t>
      </w:r>
      <w:r>
        <w:rPr>
          <w:rFonts w:hint="eastAsia" w:ascii="仿宋_GB2312" w:hAnsi="黑体" w:eastAsia="仿宋_GB2312" w:cs="宋体"/>
          <w:bCs/>
          <w:kern w:val="0"/>
          <w:sz w:val="32"/>
          <w:szCs w:val="32"/>
          <w:lang w:val="en-US" w:eastAsia="zh-CN"/>
        </w:rPr>
        <w:t>初中</w:t>
      </w:r>
      <w:r>
        <w:rPr>
          <w:rFonts w:hint="eastAsia" w:ascii="仿宋_GB2312" w:hAnsi="黑体" w:eastAsia="仿宋_GB2312" w:cs="宋体"/>
          <w:bCs/>
          <w:kern w:val="0"/>
          <w:sz w:val="32"/>
          <w:szCs w:val="32"/>
        </w:rPr>
        <w:t>义务教育，促进基础教育发展。</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呼图壁县</w:t>
      </w:r>
      <w:r>
        <w:rPr>
          <w:rFonts w:hint="eastAsia" w:ascii="仿宋_GB2312" w:hAnsi="黑体" w:eastAsia="仿宋_GB2312" w:cs="宋体"/>
          <w:bCs/>
          <w:kern w:val="0"/>
          <w:sz w:val="32"/>
          <w:szCs w:val="32"/>
          <w:lang w:val="en-US" w:eastAsia="zh-CN"/>
        </w:rPr>
        <w:t>第四中学</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5</w:t>
      </w:r>
      <w:r>
        <w:rPr>
          <w:rFonts w:hint="eastAsia" w:ascii="仿宋_GB2312" w:hAnsi="黑体" w:eastAsia="仿宋_GB2312" w:cs="宋体"/>
          <w:bCs/>
          <w:kern w:val="0"/>
          <w:sz w:val="32"/>
          <w:szCs w:val="32"/>
        </w:rPr>
        <w:t>个处室，分别为：总务处、</w:t>
      </w:r>
      <w:r>
        <w:rPr>
          <w:rFonts w:hint="eastAsia" w:ascii="仿宋_GB2312" w:hAnsi="黑体" w:eastAsia="仿宋_GB2312" w:cs="宋体"/>
          <w:bCs/>
          <w:kern w:val="0"/>
          <w:sz w:val="32"/>
          <w:szCs w:val="32"/>
          <w:lang w:val="en-US" w:eastAsia="zh-CN"/>
        </w:rPr>
        <w:t>德育处</w:t>
      </w:r>
      <w:r>
        <w:rPr>
          <w:rFonts w:hint="eastAsia" w:ascii="仿宋_GB2312" w:hAnsi="黑体" w:eastAsia="仿宋_GB2312" w:cs="宋体"/>
          <w:bCs/>
          <w:kern w:val="0"/>
          <w:sz w:val="32"/>
          <w:szCs w:val="32"/>
        </w:rPr>
        <w:t>、教务处</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财务室</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lang w:val="en-US" w:eastAsia="zh-CN"/>
        </w:rPr>
        <w:t>保卫科和三个年级部</w:t>
      </w:r>
      <w:r>
        <w:rPr>
          <w:rFonts w:hint="eastAsia" w:ascii="仿宋_GB2312" w:hAnsi="黑体" w:eastAsia="仿宋_GB2312" w:cs="宋体"/>
          <w:bCs/>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呼图壁县第四中学</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172人</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 xml:space="preserve">，实有人数 </w:t>
      </w:r>
      <w:r>
        <w:rPr>
          <w:rFonts w:hint="eastAsia" w:ascii="仿宋_GB2312" w:hAnsi="宋体" w:eastAsia="仿宋_GB2312" w:cs="宋体"/>
          <w:color w:val="auto"/>
          <w:kern w:val="0"/>
          <w:sz w:val="32"/>
          <w:szCs w:val="32"/>
          <w:highlight w:val="none"/>
          <w:lang w:val="en-US" w:eastAsia="zh-CN"/>
        </w:rPr>
        <w:t>261</w:t>
      </w:r>
      <w:r>
        <w:rPr>
          <w:rFonts w:hint="eastAsia" w:ascii="仿宋_GB2312" w:hAnsi="宋体" w:eastAsia="仿宋_GB2312" w:cs="宋体"/>
          <w:color w:val="auto"/>
          <w:kern w:val="0"/>
          <w:sz w:val="32"/>
          <w:szCs w:val="32"/>
          <w:highlight w:val="none"/>
        </w:rPr>
        <w:t xml:space="preserve"> 人，其中：在职  </w:t>
      </w:r>
      <w:r>
        <w:rPr>
          <w:rFonts w:hint="eastAsia" w:ascii="仿宋_GB2312" w:hAnsi="宋体" w:eastAsia="仿宋_GB2312" w:cs="宋体"/>
          <w:color w:val="auto"/>
          <w:kern w:val="0"/>
          <w:sz w:val="32"/>
          <w:szCs w:val="32"/>
          <w:highlight w:val="none"/>
          <w:lang w:val="en-US" w:eastAsia="zh-CN"/>
        </w:rPr>
        <w:t>206</w:t>
      </w:r>
      <w:r>
        <w:rPr>
          <w:rFonts w:hint="eastAsia" w:ascii="仿宋_GB2312" w:hAnsi="宋体" w:eastAsia="仿宋_GB2312" w:cs="宋体"/>
          <w:color w:val="auto"/>
          <w:kern w:val="0"/>
          <w:sz w:val="32"/>
          <w:szCs w:val="32"/>
          <w:highlight w:val="none"/>
        </w:rPr>
        <w:t xml:space="preserve">人，减少  </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 xml:space="preserve">  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增加3人</w:t>
      </w:r>
      <w:r>
        <w:rPr>
          <w:rFonts w:hint="eastAsia" w:ascii="仿宋_GB2312" w:hAnsi="宋体" w:eastAsia="仿宋_GB2312" w:cs="宋体"/>
          <w:color w:val="auto"/>
          <w:kern w:val="0"/>
          <w:sz w:val="32"/>
          <w:szCs w:val="32"/>
          <w:highlight w:val="none"/>
        </w:rPr>
        <w:t xml:space="preserve">； 退休  </w:t>
      </w:r>
      <w:r>
        <w:rPr>
          <w:rFonts w:hint="eastAsia" w:ascii="仿宋_GB2312" w:hAnsi="宋体" w:eastAsia="仿宋_GB2312" w:cs="宋体"/>
          <w:color w:val="auto"/>
          <w:kern w:val="0"/>
          <w:sz w:val="32"/>
          <w:szCs w:val="32"/>
          <w:highlight w:val="none"/>
          <w:lang w:val="en-US" w:eastAsia="zh-CN"/>
        </w:rPr>
        <w:t>55</w:t>
      </w:r>
      <w:r>
        <w:rPr>
          <w:rFonts w:hint="eastAsia" w:ascii="仿宋_GB2312" w:hAnsi="宋体" w:eastAsia="仿宋_GB2312" w:cs="宋体"/>
          <w:color w:val="auto"/>
          <w:kern w:val="0"/>
          <w:sz w:val="32"/>
          <w:szCs w:val="32"/>
          <w:highlight w:val="none"/>
        </w:rPr>
        <w:t xml:space="preserve">  人，离休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 xml:space="preserve">  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呼图壁县第四中学</w:t>
      </w:r>
      <w:r>
        <w:rPr>
          <w:rFonts w:hint="eastAsia" w:ascii="仿宋_GB2312" w:hAnsi="宋体" w:eastAsia="仿宋_GB2312"/>
          <w:color w:val="auto"/>
          <w:kern w:val="0"/>
          <w:sz w:val="24"/>
          <w:highlight w:val="none"/>
          <w:lang w:eastAsia="zh-CN"/>
        </w:rPr>
        <w:t xml:space="preserve">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6293.49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Calibri" w:hAnsi="Calibri" w:eastAsia="宋体" w:cs="Calibri"/>
                <w:b w:val="0"/>
                <w:bCs w:val="0"/>
                <w:i w:val="0"/>
                <w:iCs w:val="0"/>
                <w:color w:val="000000"/>
                <w:kern w:val="2"/>
                <w:sz w:val="21"/>
                <w:szCs w:val="21"/>
                <w:u w:val="none"/>
                <w:lang w:val="en-US" w:eastAsia="zh-CN" w:bidi="ar-SA"/>
              </w:rPr>
            </w:pPr>
            <w:r>
              <w:rPr>
                <w:rFonts w:hint="default" w:ascii="Calibri" w:hAnsi="Calibri" w:eastAsia="宋体" w:cs="Calibri"/>
                <w:b w:val="0"/>
                <w:bCs w:val="0"/>
                <w:i w:val="0"/>
                <w:iCs w:val="0"/>
                <w:color w:val="000000"/>
                <w:kern w:val="0"/>
                <w:sz w:val="21"/>
                <w:szCs w:val="21"/>
                <w:u w:val="none"/>
                <w:lang w:val="en-US" w:eastAsia="zh-CN" w:bidi="ar"/>
              </w:rPr>
              <w:t>4207.49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Calibri" w:hAnsi="Calibri" w:eastAsia="宋体" w:cs="Calibri"/>
                <w:b w:val="0"/>
                <w:bCs w:val="0"/>
                <w:i w:val="0"/>
                <w:iCs w:val="0"/>
                <w:color w:val="000000"/>
                <w:kern w:val="2"/>
                <w:sz w:val="21"/>
                <w:szCs w:val="21"/>
                <w:u w:val="none"/>
                <w:lang w:val="en-US" w:eastAsia="zh-CN" w:bidi="ar-SA"/>
              </w:rPr>
            </w:pPr>
            <w:r>
              <w:rPr>
                <w:rFonts w:hint="default" w:ascii="Calibri" w:hAnsi="Calibri" w:eastAsia="宋体" w:cs="Calibri"/>
                <w:b w:val="0"/>
                <w:bCs w:val="0"/>
                <w:i w:val="0"/>
                <w:iCs w:val="0"/>
                <w:color w:val="000000"/>
                <w:kern w:val="0"/>
                <w:sz w:val="21"/>
                <w:szCs w:val="21"/>
                <w:u w:val="none"/>
                <w:lang w:val="en-US" w:eastAsia="zh-CN" w:bidi="ar"/>
              </w:rPr>
              <w:t>4202.81</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仿宋_GB2312" w:hAnsi="宋体" w:eastAsia="仿宋_GB2312" w:cs="宋体"/>
                <w:b w:val="0"/>
                <w:bCs w:val="0"/>
                <w:color w:val="auto"/>
                <w:kern w:val="0"/>
                <w:sz w:val="21"/>
                <w:szCs w:val="21"/>
                <w:highlight w:val="none"/>
              </w:rPr>
            </w:pPr>
            <w:r>
              <w:rPr>
                <w:rFonts w:hint="default" w:ascii="Calibri" w:hAnsi="Calibri" w:eastAsia="宋体" w:cs="Calibri"/>
                <w:b w:val="0"/>
                <w:bCs w:val="0"/>
                <w:i w:val="0"/>
                <w:iCs w:val="0"/>
                <w:color w:val="000000"/>
                <w:kern w:val="0"/>
                <w:sz w:val="21"/>
                <w:szCs w:val="21"/>
                <w:u w:val="none"/>
                <w:lang w:val="en-US" w:eastAsia="zh-CN" w:bidi="ar"/>
              </w:rPr>
              <w:t>4.68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1"/>
                <w:szCs w:val="21"/>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eastAsia" w:ascii="Calibri" w:hAnsi="Calibri" w:eastAsia="宋体" w:cs="Calibri"/>
                <w:i w:val="0"/>
                <w:iCs w:val="0"/>
                <w:color w:val="000000"/>
                <w:kern w:val="2"/>
                <w:sz w:val="22"/>
                <w:szCs w:val="22"/>
                <w:u w:val="none"/>
                <w:lang w:val="en-US" w:eastAsia="zh-CN" w:bidi="ar-SA"/>
              </w:rPr>
              <w:t>6342.88</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1"/>
                <w:szCs w:val="21"/>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1"/>
                <w:szCs w:val="21"/>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1"/>
                <w:szCs w:val="21"/>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ascii="仿宋_GB2312" w:hAnsi="宋体" w:eastAsia="仿宋_GB2312" w:cs="宋体"/>
                <w:b w:val="0"/>
                <w:bCs w:val="0"/>
                <w:color w:val="auto"/>
                <w:kern w:val="0"/>
                <w:sz w:val="21"/>
                <w:szCs w:val="21"/>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hint="eastAsia" w:ascii="仿宋_GB2312" w:hAnsi="宋体" w:eastAsia="仿宋_GB2312" w:cs="宋体"/>
                <w:b w:val="0"/>
                <w:bCs w:val="0"/>
                <w:color w:val="auto"/>
                <w:kern w:val="0"/>
                <w:sz w:val="21"/>
                <w:szCs w:val="21"/>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ascii="仿宋_GB2312" w:hAnsi="宋体" w:eastAsia="仿宋_GB2312" w:cs="宋体"/>
                <w:b w:val="0"/>
                <w:bCs w:val="0"/>
                <w:color w:val="auto"/>
                <w:kern w:val="0"/>
                <w:sz w:val="21"/>
                <w:szCs w:val="21"/>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hint="default" w:ascii="Calibri" w:hAnsi="Calibri" w:eastAsia="宋体" w:cs="Calibri"/>
                <w:b w:val="0"/>
                <w:bCs w:val="0"/>
                <w:i w:val="0"/>
                <w:iCs w:val="0"/>
                <w:color w:val="000000"/>
                <w:kern w:val="2"/>
                <w:sz w:val="21"/>
                <w:szCs w:val="21"/>
                <w:u w:val="none"/>
                <w:lang w:val="en-US" w:eastAsia="zh-CN" w:bidi="ar-SA"/>
              </w:rPr>
            </w:pPr>
            <w:r>
              <w:rPr>
                <w:rFonts w:hint="eastAsia" w:ascii="仿宋_GB2312" w:hAnsi="宋体" w:eastAsia="仿宋_GB2312" w:cs="宋体"/>
                <w:b w:val="0"/>
                <w:bCs w:val="0"/>
                <w:color w:val="auto"/>
                <w:kern w:val="0"/>
                <w:sz w:val="21"/>
                <w:szCs w:val="21"/>
                <w:highlight w:val="none"/>
              </w:rPr>
              <w:t>2086.00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ascii="仿宋_GB2312" w:hAnsi="宋体" w:eastAsia="仿宋_GB2312" w:cs="宋体"/>
                <w:b w:val="0"/>
                <w:bCs w:val="0"/>
                <w:color w:val="auto"/>
                <w:kern w:val="0"/>
                <w:sz w:val="21"/>
                <w:szCs w:val="21"/>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ascii="仿宋_GB2312" w:hAnsi="宋体" w:eastAsia="仿宋_GB2312" w:cs="宋体"/>
                <w:b w:val="0"/>
                <w:bCs w:val="0"/>
                <w:color w:val="auto"/>
                <w:kern w:val="0"/>
                <w:sz w:val="21"/>
                <w:szCs w:val="21"/>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ascii="仿宋_GB2312" w:hAnsi="宋体" w:eastAsia="仿宋_GB2312" w:cs="宋体"/>
                <w:b w:val="0"/>
                <w:bCs w:val="0"/>
                <w:color w:val="auto"/>
                <w:kern w:val="0"/>
                <w:sz w:val="21"/>
                <w:szCs w:val="21"/>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ascii="仿宋_GB2312" w:hAnsi="宋体" w:eastAsia="仿宋_GB2312" w:cs="宋体"/>
                <w:b w:val="0"/>
                <w:bCs w:val="0"/>
                <w:color w:val="auto"/>
                <w:kern w:val="0"/>
                <w:sz w:val="21"/>
                <w:szCs w:val="21"/>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hint="default" w:ascii="Calibri" w:hAnsi="Calibri" w:eastAsia="宋体" w:cs="Calibri"/>
                <w:b w:val="0"/>
                <w:bCs w:val="0"/>
                <w:i w:val="0"/>
                <w:iCs w:val="0"/>
                <w:color w:val="000000"/>
                <w:kern w:val="2"/>
                <w:sz w:val="21"/>
                <w:szCs w:val="21"/>
                <w:u w:val="none"/>
                <w:lang w:val="en-US" w:eastAsia="zh-CN" w:bidi="ar-SA"/>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2086.00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hint="default" w:ascii="Calibri" w:hAnsi="Calibri" w:eastAsia="宋体" w:cs="Calibri"/>
                <w:b w:val="0"/>
                <w:bCs w:val="0"/>
                <w:i w:val="0"/>
                <w:iCs w:val="0"/>
                <w:color w:val="000000"/>
                <w:kern w:val="2"/>
                <w:sz w:val="21"/>
                <w:szCs w:val="21"/>
                <w:u w:val="none"/>
                <w:lang w:val="en-US" w:eastAsia="zh-CN" w:bidi="ar-SA"/>
              </w:rPr>
            </w:pPr>
            <w:r>
              <w:rPr>
                <w:rFonts w:hint="default" w:ascii="Calibri" w:hAnsi="Calibri" w:eastAsia="宋体" w:cs="Calibri"/>
                <w:b w:val="0"/>
                <w:bCs w:val="0"/>
                <w:i w:val="0"/>
                <w:iCs w:val="0"/>
                <w:color w:val="000000"/>
                <w:kern w:val="2"/>
                <w:sz w:val="21"/>
                <w:szCs w:val="21"/>
                <w:u w:val="none"/>
                <w:lang w:val="en-US" w:eastAsia="zh-CN" w:bidi="ar-SA"/>
              </w:rPr>
              <w:t>49.39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　</w:t>
            </w:r>
            <w:r>
              <w:rPr>
                <w:rFonts w:hint="default" w:ascii="Calibri" w:hAnsi="Calibri" w:eastAsia="宋体" w:cs="Calibri"/>
                <w:b w:val="0"/>
                <w:bCs w:val="0"/>
                <w:i w:val="0"/>
                <w:iCs w:val="0"/>
                <w:color w:val="000000"/>
                <w:kern w:val="2"/>
                <w:sz w:val="21"/>
                <w:szCs w:val="21"/>
                <w:u w:val="none"/>
                <w:lang w:val="en-US" w:eastAsia="zh-CN" w:bidi="ar-SA"/>
              </w:rPr>
              <w:t>49.39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hint="eastAsia" w:ascii="仿宋_GB2312" w:hAnsi="宋体" w:eastAsia="仿宋_GB2312" w:cs="宋体"/>
                <w:b w:val="0"/>
                <w:bCs w:val="0"/>
                <w:color w:val="auto"/>
                <w:kern w:val="0"/>
                <w:sz w:val="21"/>
                <w:szCs w:val="21"/>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hint="eastAsia" w:ascii="仿宋_GB2312" w:hAnsi="宋体" w:eastAsia="仿宋_GB2312" w:cs="宋体"/>
                <w:b w:val="0"/>
                <w:bCs w:val="0"/>
                <w:color w:val="auto"/>
                <w:kern w:val="0"/>
                <w:sz w:val="21"/>
                <w:szCs w:val="21"/>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hint="eastAsia" w:ascii="仿宋_GB2312" w:hAnsi="宋体" w:eastAsia="仿宋_GB2312" w:cs="宋体"/>
                <w:b w:val="0"/>
                <w:bCs w:val="0"/>
                <w:color w:val="auto"/>
                <w:kern w:val="0"/>
                <w:sz w:val="21"/>
                <w:szCs w:val="21"/>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both"/>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eastAsia" w:ascii="Calibri" w:hAnsi="Calibri" w:eastAsia="宋体" w:cs="Calibri"/>
                <w:i w:val="0"/>
                <w:iCs w:val="0"/>
                <w:color w:val="000000"/>
                <w:kern w:val="2"/>
                <w:sz w:val="22"/>
                <w:szCs w:val="22"/>
                <w:u w:val="none"/>
                <w:lang w:val="en-US" w:eastAsia="zh-CN" w:bidi="ar-SA"/>
              </w:rPr>
              <w:t>6342.88</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eastAsia" w:ascii="Calibri" w:hAnsi="Calibri" w:eastAsia="宋体" w:cs="Calibri"/>
                <w:i w:val="0"/>
                <w:iCs w:val="0"/>
                <w:color w:val="000000"/>
                <w:kern w:val="2"/>
                <w:sz w:val="22"/>
                <w:szCs w:val="22"/>
                <w:u w:val="none"/>
                <w:lang w:val="en-US" w:eastAsia="zh-CN" w:bidi="ar-SA"/>
              </w:rPr>
              <w:t>6342.88</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呼图壁县第四中学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660" w:type="dxa"/>
        <w:tblInd w:w="-450" w:type="dxa"/>
        <w:tblLayout w:type="fixed"/>
        <w:tblCellMar>
          <w:top w:w="0" w:type="dxa"/>
          <w:left w:w="108" w:type="dxa"/>
          <w:bottom w:w="0" w:type="dxa"/>
          <w:right w:w="108" w:type="dxa"/>
        </w:tblCellMar>
      </w:tblPr>
      <w:tblGrid>
        <w:gridCol w:w="417"/>
        <w:gridCol w:w="417"/>
        <w:gridCol w:w="417"/>
        <w:gridCol w:w="564"/>
        <w:gridCol w:w="714"/>
        <w:gridCol w:w="762"/>
        <w:gridCol w:w="726"/>
        <w:gridCol w:w="655"/>
        <w:gridCol w:w="714"/>
        <w:gridCol w:w="643"/>
        <w:gridCol w:w="631"/>
        <w:gridCol w:w="779"/>
        <w:gridCol w:w="583"/>
        <w:gridCol w:w="536"/>
        <w:gridCol w:w="595"/>
        <w:gridCol w:w="507"/>
      </w:tblGrid>
      <w:tr>
        <w:tblPrEx>
          <w:tblLayout w:type="fixed"/>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56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1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91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56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1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2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564"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教育支出</w:t>
            </w:r>
          </w:p>
        </w:tc>
        <w:tc>
          <w:tcPr>
            <w:tcW w:w="714"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left"/>
              <w:textAlignment w:val="center"/>
              <w:rPr>
                <w:rFonts w:ascii="仿宋_GB2312" w:hAnsi="宋体" w:eastAsia="仿宋_GB2312" w:cs="宋体"/>
                <w:color w:val="auto"/>
                <w:sz w:val="20"/>
                <w:szCs w:val="20"/>
                <w:highlight w:val="none"/>
              </w:rPr>
            </w:pPr>
            <w:r>
              <w:rPr>
                <w:rFonts w:hint="eastAsia" w:ascii="Calibri" w:hAnsi="Calibri" w:eastAsia="宋体" w:cs="Calibri"/>
                <w:i w:val="0"/>
                <w:iCs w:val="0"/>
                <w:color w:val="000000"/>
                <w:kern w:val="2"/>
                <w:sz w:val="22"/>
                <w:szCs w:val="22"/>
                <w:u w:val="none"/>
                <w:lang w:val="en-US" w:eastAsia="zh-CN" w:bidi="ar-SA"/>
              </w:rPr>
              <w:t>6342.88</w:t>
            </w:r>
          </w:p>
        </w:tc>
        <w:tc>
          <w:tcPr>
            <w:tcW w:w="762"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right"/>
              <w:textAlignment w:val="top"/>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4207.49</w:t>
            </w:r>
          </w:p>
        </w:tc>
        <w:tc>
          <w:tcPr>
            <w:tcW w:w="726"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eastAsia" w:ascii="宋体" w:hAnsi="宋体" w:eastAsia="宋体" w:cs="宋体"/>
                <w:i w:val="0"/>
                <w:iCs w:val="0"/>
                <w:color w:val="000000"/>
                <w:kern w:val="0"/>
                <w:sz w:val="22"/>
                <w:szCs w:val="22"/>
                <w:u w:val="none"/>
                <w:lang w:val="en-US" w:eastAsia="zh-CN" w:bidi="ar"/>
              </w:rPr>
              <w:t>4207.49</w:t>
            </w:r>
          </w:p>
        </w:tc>
        <w:tc>
          <w:tcPr>
            <w:tcW w:w="655" w:type="dxa"/>
            <w:tcBorders>
              <w:top w:val="nil"/>
              <w:left w:val="nil"/>
              <w:bottom w:val="single" w:color="auto" w:sz="4" w:space="0"/>
              <w:right w:val="single" w:color="auto" w:sz="4" w:space="0"/>
            </w:tcBorders>
            <w:shd w:val="clear" w:color="000000" w:fill="FFFFFF"/>
            <w:noWrap w:val="0"/>
            <w:vAlign w:val="top"/>
          </w:tcPr>
          <w:p>
            <w:pPr>
              <w:keepNext w:val="0"/>
              <w:keepLines w:val="0"/>
              <w:widowControl/>
              <w:suppressLineNumbers w:val="0"/>
              <w:jc w:val="right"/>
              <w:textAlignment w:val="top"/>
              <w:rPr>
                <w:rFonts w:hint="default" w:ascii="仿宋_GB2312" w:hAnsi="宋体" w:eastAsia="仿宋_GB2312" w:cs="宋体"/>
                <w:color w:val="auto"/>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4.68</w:t>
            </w:r>
          </w:p>
        </w:tc>
        <w:tc>
          <w:tcPr>
            <w:tcW w:w="71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widowControl/>
              <w:suppressLineNumbers w:val="0"/>
              <w:jc w:val="right"/>
              <w:textAlignment w:val="top"/>
              <w:rPr>
                <w:rFonts w:hint="default" w:ascii="仿宋_GB2312" w:eastAsia="仿宋_GB2312"/>
                <w:color w:val="auto"/>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2086</w:t>
            </w:r>
          </w:p>
        </w:tc>
        <w:tc>
          <w:tcPr>
            <w:tcW w:w="595" w:type="dxa"/>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widowControl/>
              <w:suppressLineNumbers w:val="0"/>
              <w:jc w:val="right"/>
              <w:textAlignment w:val="top"/>
              <w:rPr>
                <w:rFonts w:hint="default" w:ascii="仿宋_GB2312" w:eastAsia="仿宋_GB2312"/>
                <w:color w:val="auto"/>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49.39</w:t>
            </w: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56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普通教育</w:t>
            </w:r>
          </w:p>
        </w:tc>
        <w:tc>
          <w:tcPr>
            <w:tcW w:w="7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仿宋_GB2312" w:hAnsi="宋体" w:eastAsia="仿宋_GB2312" w:cs="宋体"/>
                <w:color w:val="auto"/>
                <w:sz w:val="20"/>
                <w:szCs w:val="20"/>
                <w:highlight w:val="none"/>
              </w:rPr>
            </w:pPr>
            <w:r>
              <w:rPr>
                <w:rFonts w:hint="eastAsia" w:ascii="Calibri" w:hAnsi="Calibri" w:eastAsia="宋体" w:cs="Calibri"/>
                <w:i w:val="0"/>
                <w:iCs w:val="0"/>
                <w:color w:val="000000"/>
                <w:kern w:val="2"/>
                <w:sz w:val="22"/>
                <w:szCs w:val="22"/>
                <w:u w:val="none"/>
                <w:lang w:val="en-US" w:eastAsia="zh-CN" w:bidi="ar-SA"/>
              </w:rPr>
              <w:t>6342.88</w:t>
            </w:r>
          </w:p>
        </w:tc>
        <w:tc>
          <w:tcPr>
            <w:tcW w:w="76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4207.49</w:t>
            </w:r>
          </w:p>
        </w:tc>
        <w:tc>
          <w:tcPr>
            <w:tcW w:w="72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eastAsia" w:ascii="宋体" w:hAnsi="宋体" w:eastAsia="宋体" w:cs="宋体"/>
                <w:i w:val="0"/>
                <w:iCs w:val="0"/>
                <w:color w:val="000000"/>
                <w:kern w:val="0"/>
                <w:sz w:val="22"/>
                <w:szCs w:val="22"/>
                <w:u w:val="none"/>
                <w:lang w:val="en-US" w:eastAsia="zh-CN" w:bidi="ar"/>
              </w:rPr>
              <w:t>4207.49</w:t>
            </w:r>
          </w:p>
        </w:tc>
        <w:tc>
          <w:tcPr>
            <w:tcW w:w="65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color w:val="auto"/>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4.68</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eastAsia="仿宋_GB2312"/>
                <w:color w:val="auto"/>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2086</w:t>
            </w:r>
          </w:p>
        </w:tc>
        <w:tc>
          <w:tcPr>
            <w:tcW w:w="59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eastAsia="仿宋_GB2312"/>
                <w:color w:val="auto"/>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49.39</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03</w:t>
            </w:r>
            <w:r>
              <w:rPr>
                <w:rFonts w:hint="eastAsia" w:ascii="仿宋_GB2312" w:eastAsia="仿宋_GB2312"/>
                <w:color w:val="000000"/>
                <w:sz w:val="20"/>
                <w:szCs w:val="20"/>
              </w:rPr>
              <w:t>　</w:t>
            </w:r>
          </w:p>
        </w:tc>
        <w:tc>
          <w:tcPr>
            <w:tcW w:w="56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初中教育</w:t>
            </w:r>
          </w:p>
        </w:tc>
        <w:tc>
          <w:tcPr>
            <w:tcW w:w="7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仿宋_GB2312" w:hAnsi="宋体" w:eastAsia="仿宋_GB2312" w:cs="宋体"/>
                <w:color w:val="auto"/>
                <w:sz w:val="20"/>
                <w:szCs w:val="20"/>
                <w:highlight w:val="none"/>
              </w:rPr>
            </w:pPr>
            <w:r>
              <w:rPr>
                <w:rFonts w:hint="eastAsia" w:ascii="Calibri" w:hAnsi="Calibri" w:eastAsia="宋体" w:cs="Calibri"/>
                <w:i w:val="0"/>
                <w:iCs w:val="0"/>
                <w:color w:val="000000"/>
                <w:kern w:val="2"/>
                <w:sz w:val="22"/>
                <w:szCs w:val="22"/>
                <w:u w:val="none"/>
                <w:lang w:val="en-US" w:eastAsia="zh-CN" w:bidi="ar-SA"/>
              </w:rPr>
              <w:t>6342.88</w:t>
            </w:r>
          </w:p>
        </w:tc>
        <w:tc>
          <w:tcPr>
            <w:tcW w:w="76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4207.49</w:t>
            </w:r>
          </w:p>
        </w:tc>
        <w:tc>
          <w:tcPr>
            <w:tcW w:w="72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eastAsia" w:ascii="宋体" w:hAnsi="宋体" w:eastAsia="宋体" w:cs="宋体"/>
                <w:i w:val="0"/>
                <w:iCs w:val="0"/>
                <w:color w:val="000000"/>
                <w:kern w:val="0"/>
                <w:sz w:val="22"/>
                <w:szCs w:val="22"/>
                <w:u w:val="none"/>
                <w:lang w:val="en-US" w:eastAsia="zh-CN" w:bidi="ar"/>
              </w:rPr>
              <w:t>4207.49</w:t>
            </w:r>
          </w:p>
        </w:tc>
        <w:tc>
          <w:tcPr>
            <w:tcW w:w="65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color w:val="auto"/>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4.68</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eastAsia="仿宋_GB2312"/>
                <w:color w:val="auto"/>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2086</w:t>
            </w:r>
          </w:p>
        </w:tc>
        <w:tc>
          <w:tcPr>
            <w:tcW w:w="59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eastAsia="仿宋_GB2312"/>
                <w:color w:val="auto"/>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49.39</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仿宋_GB2312" w:hAnsi="宋体" w:eastAsia="仿宋_GB2312" w:cs="宋体"/>
                <w:color w:val="auto"/>
                <w:sz w:val="20"/>
                <w:szCs w:val="20"/>
                <w:highlight w:val="none"/>
              </w:rPr>
            </w:pPr>
            <w:r>
              <w:rPr>
                <w:rFonts w:hint="eastAsia" w:ascii="Calibri" w:hAnsi="Calibri" w:eastAsia="宋体" w:cs="Calibri"/>
                <w:i w:val="0"/>
                <w:iCs w:val="0"/>
                <w:color w:val="000000"/>
                <w:kern w:val="2"/>
                <w:sz w:val="22"/>
                <w:szCs w:val="22"/>
                <w:u w:val="none"/>
                <w:lang w:val="en-US" w:eastAsia="zh-CN" w:bidi="ar-SA"/>
              </w:rPr>
              <w:t>6342.88</w:t>
            </w:r>
          </w:p>
        </w:tc>
        <w:tc>
          <w:tcPr>
            <w:tcW w:w="76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color w:val="auto"/>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4207.49</w:t>
            </w:r>
          </w:p>
        </w:tc>
        <w:tc>
          <w:tcPr>
            <w:tcW w:w="72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eastAsia" w:ascii="宋体" w:hAnsi="宋体" w:eastAsia="宋体" w:cs="宋体"/>
                <w:i w:val="0"/>
                <w:iCs w:val="0"/>
                <w:color w:val="000000"/>
                <w:kern w:val="0"/>
                <w:sz w:val="22"/>
                <w:szCs w:val="22"/>
                <w:u w:val="none"/>
                <w:lang w:val="en-US" w:eastAsia="zh-CN" w:bidi="ar"/>
              </w:rPr>
              <w:t>4207.49</w:t>
            </w:r>
          </w:p>
        </w:tc>
        <w:tc>
          <w:tcPr>
            <w:tcW w:w="65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color w:val="auto"/>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4.68</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eastAsia="仿宋_GB2312"/>
                <w:color w:val="auto"/>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2086</w:t>
            </w:r>
          </w:p>
        </w:tc>
        <w:tc>
          <w:tcPr>
            <w:tcW w:w="59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eastAsia="仿宋_GB2312"/>
                <w:color w:val="auto"/>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49.39</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呼图壁县第四中学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458"/>
        <w:gridCol w:w="417"/>
        <w:gridCol w:w="417"/>
        <w:gridCol w:w="2569"/>
        <w:gridCol w:w="1837"/>
        <w:gridCol w:w="1838"/>
        <w:gridCol w:w="1884"/>
      </w:tblGrid>
      <w:tr>
        <w:tblPrEx>
          <w:tblLayout w:type="fixed"/>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9"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16"/>
                <w:szCs w:val="16"/>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16"/>
                <w:szCs w:val="16"/>
                <w:lang w:val="en-US" w:eastAsia="zh-CN" w:bidi="ar-SA"/>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教育支出</w:t>
            </w:r>
          </w:p>
        </w:tc>
        <w:tc>
          <w:tcPr>
            <w:tcW w:w="183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6342.88</w:t>
            </w:r>
          </w:p>
        </w:tc>
        <w:tc>
          <w:tcPr>
            <w:tcW w:w="183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6250.54</w:t>
            </w:r>
          </w:p>
        </w:tc>
        <w:tc>
          <w:tcPr>
            <w:tcW w:w="188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92.34</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16"/>
                <w:szCs w:val="16"/>
                <w:lang w:val="en-US" w:eastAsia="zh-CN" w:bidi="ar-SA"/>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普通教育</w:t>
            </w:r>
          </w:p>
        </w:tc>
        <w:tc>
          <w:tcPr>
            <w:tcW w:w="183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b/>
                <w:bCs/>
                <w:color w:val="auto"/>
                <w:kern w:val="0"/>
                <w:sz w:val="22"/>
                <w:szCs w:val="22"/>
                <w:highlight w:val="none"/>
                <w:lang w:val="en-US" w:eastAsia="zh-CN"/>
              </w:rPr>
            </w:pPr>
            <w:r>
              <w:rPr>
                <w:rFonts w:hint="default" w:ascii="Calibri" w:hAnsi="Calibri" w:eastAsia="宋体" w:cs="Calibri"/>
                <w:i w:val="0"/>
                <w:iCs w:val="0"/>
                <w:color w:val="000000"/>
                <w:kern w:val="0"/>
                <w:sz w:val="22"/>
                <w:szCs w:val="22"/>
                <w:u w:val="none"/>
                <w:lang w:val="en-US" w:eastAsia="zh-CN" w:bidi="ar"/>
              </w:rPr>
              <w:t>6342.88</w:t>
            </w:r>
          </w:p>
        </w:tc>
        <w:tc>
          <w:tcPr>
            <w:tcW w:w="183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b/>
                <w:bCs/>
                <w:color w:val="auto"/>
                <w:kern w:val="0"/>
                <w:sz w:val="22"/>
                <w:szCs w:val="22"/>
                <w:highlight w:val="none"/>
                <w:lang w:val="en-US" w:eastAsia="zh-CN"/>
              </w:rPr>
            </w:pPr>
            <w:r>
              <w:rPr>
                <w:rFonts w:hint="default" w:ascii="Calibri" w:hAnsi="Calibri" w:eastAsia="宋体" w:cs="Calibri"/>
                <w:i w:val="0"/>
                <w:iCs w:val="0"/>
                <w:color w:val="000000"/>
                <w:kern w:val="0"/>
                <w:sz w:val="22"/>
                <w:szCs w:val="22"/>
                <w:u w:val="none"/>
                <w:lang w:val="en-US" w:eastAsia="zh-CN" w:bidi="ar"/>
              </w:rPr>
              <w:t>6250.54</w:t>
            </w:r>
          </w:p>
        </w:tc>
        <w:tc>
          <w:tcPr>
            <w:tcW w:w="188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b/>
                <w:bCs/>
                <w:color w:val="auto"/>
                <w:kern w:val="0"/>
                <w:sz w:val="22"/>
                <w:szCs w:val="22"/>
                <w:highlight w:val="none"/>
                <w:lang w:val="en-US" w:eastAsia="zh-CN"/>
              </w:rPr>
            </w:pPr>
            <w:r>
              <w:rPr>
                <w:rFonts w:hint="default" w:ascii="Calibri" w:hAnsi="Calibri" w:eastAsia="宋体" w:cs="Calibri"/>
                <w:i w:val="0"/>
                <w:iCs w:val="0"/>
                <w:color w:val="000000"/>
                <w:kern w:val="0"/>
                <w:sz w:val="22"/>
                <w:szCs w:val="22"/>
                <w:u w:val="none"/>
                <w:lang w:val="en-US" w:eastAsia="zh-CN" w:bidi="ar"/>
              </w:rPr>
              <w:t>92.34</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03</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初中教育</w:t>
            </w:r>
          </w:p>
        </w:tc>
        <w:tc>
          <w:tcPr>
            <w:tcW w:w="183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b/>
                <w:bCs/>
                <w:color w:val="auto"/>
                <w:kern w:val="0"/>
                <w:sz w:val="22"/>
                <w:szCs w:val="22"/>
                <w:highlight w:val="none"/>
                <w:lang w:val="en-US" w:eastAsia="zh-CN"/>
              </w:rPr>
            </w:pPr>
            <w:r>
              <w:rPr>
                <w:rFonts w:hint="default" w:ascii="Calibri" w:hAnsi="Calibri" w:eastAsia="宋体" w:cs="Calibri"/>
                <w:i w:val="0"/>
                <w:iCs w:val="0"/>
                <w:color w:val="000000"/>
                <w:kern w:val="0"/>
                <w:sz w:val="22"/>
                <w:szCs w:val="22"/>
                <w:u w:val="none"/>
                <w:lang w:val="en-US" w:eastAsia="zh-CN" w:bidi="ar"/>
              </w:rPr>
              <w:t>6342.88</w:t>
            </w:r>
          </w:p>
        </w:tc>
        <w:tc>
          <w:tcPr>
            <w:tcW w:w="183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b/>
                <w:bCs/>
                <w:color w:val="auto"/>
                <w:kern w:val="0"/>
                <w:sz w:val="22"/>
                <w:szCs w:val="22"/>
                <w:highlight w:val="none"/>
                <w:lang w:val="en-US" w:eastAsia="zh-CN"/>
              </w:rPr>
            </w:pPr>
            <w:r>
              <w:rPr>
                <w:rFonts w:hint="default" w:ascii="Calibri" w:hAnsi="Calibri" w:eastAsia="宋体" w:cs="Calibri"/>
                <w:i w:val="0"/>
                <w:iCs w:val="0"/>
                <w:color w:val="000000"/>
                <w:kern w:val="0"/>
                <w:sz w:val="22"/>
                <w:szCs w:val="22"/>
                <w:u w:val="none"/>
                <w:lang w:val="en-US" w:eastAsia="zh-CN" w:bidi="ar"/>
              </w:rPr>
              <w:t>6250.54</w:t>
            </w:r>
          </w:p>
        </w:tc>
        <w:tc>
          <w:tcPr>
            <w:tcW w:w="188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b/>
                <w:bCs/>
                <w:color w:val="auto"/>
                <w:kern w:val="0"/>
                <w:sz w:val="22"/>
                <w:szCs w:val="22"/>
                <w:highlight w:val="none"/>
                <w:lang w:val="en-US" w:eastAsia="zh-CN"/>
              </w:rPr>
            </w:pPr>
            <w:r>
              <w:rPr>
                <w:rFonts w:hint="default" w:ascii="Calibri" w:hAnsi="Calibri" w:eastAsia="宋体" w:cs="Calibri"/>
                <w:i w:val="0"/>
                <w:iCs w:val="0"/>
                <w:color w:val="000000"/>
                <w:kern w:val="0"/>
                <w:sz w:val="22"/>
                <w:szCs w:val="22"/>
                <w:u w:val="none"/>
                <w:lang w:val="en-US" w:eastAsia="zh-CN" w:bidi="ar"/>
              </w:rPr>
              <w:t>92.34</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69" w:type="dxa"/>
            <w:tcBorders>
              <w:top w:val="nil"/>
              <w:left w:val="nil"/>
              <w:bottom w:val="single" w:color="auto" w:sz="4" w:space="0"/>
              <w:right w:val="single" w:color="auto" w:sz="4" w:space="0"/>
            </w:tcBorders>
            <w:noWrap w:val="0"/>
            <w:vAlign w:val="center"/>
          </w:tcPr>
          <w:p>
            <w:pPr>
              <w:rPr>
                <w:color w:val="auto"/>
                <w:highlight w:val="none"/>
              </w:rPr>
            </w:pPr>
          </w:p>
        </w:tc>
        <w:tc>
          <w:tcPr>
            <w:tcW w:w="1837" w:type="dxa"/>
            <w:tcBorders>
              <w:top w:val="nil"/>
              <w:left w:val="nil"/>
              <w:bottom w:val="single" w:color="auto" w:sz="4" w:space="0"/>
              <w:right w:val="single" w:color="auto" w:sz="4" w:space="0"/>
            </w:tcBorders>
            <w:noWrap w:val="0"/>
            <w:vAlign w:val="center"/>
          </w:tcPr>
          <w:p>
            <w:pPr>
              <w:rPr>
                <w:color w:val="auto"/>
                <w:highlight w:val="none"/>
              </w:rPr>
            </w:pPr>
          </w:p>
        </w:tc>
        <w:tc>
          <w:tcPr>
            <w:tcW w:w="1838" w:type="dxa"/>
            <w:tcBorders>
              <w:top w:val="nil"/>
              <w:left w:val="nil"/>
              <w:bottom w:val="single" w:color="auto" w:sz="4" w:space="0"/>
              <w:right w:val="single" w:color="auto" w:sz="4" w:space="0"/>
            </w:tcBorders>
            <w:noWrap w:val="0"/>
            <w:vAlign w:val="center"/>
          </w:tcPr>
          <w:p>
            <w:pPr>
              <w:rPr>
                <w:color w:val="auto"/>
                <w:highlight w:val="none"/>
              </w:rPr>
            </w:pPr>
          </w:p>
        </w:tc>
        <w:tc>
          <w:tcPr>
            <w:tcW w:w="1884"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4"/>
                <w:highlight w:val="none"/>
                <w:lang w:val="en-US" w:eastAsia="zh-CN"/>
              </w:rPr>
            </w:pPr>
            <w:r>
              <w:rPr>
                <w:rFonts w:hint="default" w:ascii="Calibri" w:hAnsi="Calibri" w:eastAsia="宋体" w:cs="Calibri"/>
                <w:i w:val="0"/>
                <w:iCs w:val="0"/>
                <w:color w:val="000000"/>
                <w:kern w:val="0"/>
                <w:sz w:val="22"/>
                <w:szCs w:val="22"/>
                <w:u w:val="none"/>
                <w:lang w:val="en-US" w:eastAsia="zh-CN" w:bidi="ar"/>
              </w:rPr>
              <w:t>6342.88</w:t>
            </w:r>
          </w:p>
        </w:tc>
        <w:tc>
          <w:tcPr>
            <w:tcW w:w="183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4"/>
                <w:highlight w:val="none"/>
                <w:lang w:val="en-US" w:eastAsia="zh-CN"/>
              </w:rPr>
            </w:pPr>
            <w:r>
              <w:rPr>
                <w:rFonts w:hint="default" w:ascii="Calibri" w:hAnsi="Calibri" w:eastAsia="宋体" w:cs="Calibri"/>
                <w:i w:val="0"/>
                <w:iCs w:val="0"/>
                <w:color w:val="000000"/>
                <w:kern w:val="0"/>
                <w:sz w:val="22"/>
                <w:szCs w:val="22"/>
                <w:u w:val="none"/>
                <w:lang w:val="en-US" w:eastAsia="zh-CN" w:bidi="ar"/>
              </w:rPr>
              <w:t>6250.54</w:t>
            </w:r>
          </w:p>
        </w:tc>
        <w:tc>
          <w:tcPr>
            <w:tcW w:w="188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4"/>
                <w:highlight w:val="none"/>
                <w:lang w:val="en-US" w:eastAsia="zh-CN"/>
              </w:rPr>
            </w:pPr>
            <w:r>
              <w:rPr>
                <w:rFonts w:hint="default" w:ascii="Calibri" w:hAnsi="Calibri" w:eastAsia="宋体" w:cs="Calibri"/>
                <w:i w:val="0"/>
                <w:iCs w:val="0"/>
                <w:color w:val="000000"/>
                <w:kern w:val="0"/>
                <w:sz w:val="22"/>
                <w:szCs w:val="22"/>
                <w:u w:val="none"/>
                <w:lang w:val="en-US" w:eastAsia="zh-CN" w:bidi="ar"/>
              </w:rPr>
              <w:t>92.34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呼图壁县第四中学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7"/>
        <w:tblW w:w="9449" w:type="dxa"/>
        <w:tblInd w:w="-240" w:type="dxa"/>
        <w:tblLayout w:type="fixed"/>
        <w:tblCellMar>
          <w:top w:w="0" w:type="dxa"/>
          <w:left w:w="108" w:type="dxa"/>
          <w:bottom w:w="0" w:type="dxa"/>
          <w:right w:w="108" w:type="dxa"/>
        </w:tblCellMar>
      </w:tblPr>
      <w:tblGrid>
        <w:gridCol w:w="1867"/>
        <w:gridCol w:w="941"/>
        <w:gridCol w:w="2474"/>
        <w:gridCol w:w="986"/>
        <w:gridCol w:w="986"/>
        <w:gridCol w:w="1097"/>
        <w:gridCol w:w="1098"/>
      </w:tblGrid>
      <w:tr>
        <w:tblPrEx>
          <w:tblLayout w:type="fixed"/>
          <w:tblCellMar>
            <w:top w:w="0" w:type="dxa"/>
            <w:left w:w="108" w:type="dxa"/>
            <w:bottom w:w="0" w:type="dxa"/>
            <w:right w:w="108" w:type="dxa"/>
          </w:tblCellMar>
        </w:tblPrEx>
        <w:trPr>
          <w:trHeight w:val="285" w:hRule="atLeast"/>
        </w:trPr>
        <w:tc>
          <w:tcPr>
            <w:tcW w:w="2808"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41"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86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7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09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09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4256.88</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4256.88</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8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4256.88</w:t>
            </w:r>
          </w:p>
        </w:tc>
        <w:tc>
          <w:tcPr>
            <w:tcW w:w="98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4256.88</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9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0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6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color w:val="auto"/>
                <w:kern w:val="0"/>
                <w:sz w:val="18"/>
                <w:szCs w:val="18"/>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4256.88</w:t>
            </w:r>
          </w:p>
        </w:tc>
        <w:tc>
          <w:tcPr>
            <w:tcW w:w="247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8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4256.88</w:t>
            </w:r>
          </w:p>
        </w:tc>
        <w:tc>
          <w:tcPr>
            <w:tcW w:w="98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4256.88</w:t>
            </w:r>
          </w:p>
        </w:tc>
        <w:tc>
          <w:tcPr>
            <w:tcW w:w="2195"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呼图壁县第四中学</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16"/>
                <w:szCs w:val="16"/>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16"/>
                <w:szCs w:val="16"/>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教育支出</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4256.88</w:t>
            </w:r>
          </w:p>
        </w:tc>
        <w:tc>
          <w:tcPr>
            <w:tcW w:w="184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b/>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4164.54</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b/>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92.34</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16"/>
                <w:szCs w:val="16"/>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普通教育</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4256.88</w:t>
            </w:r>
          </w:p>
        </w:tc>
        <w:tc>
          <w:tcPr>
            <w:tcW w:w="184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b/>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4164.54</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b/>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92.34</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03</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初中教育</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4256.88</w:t>
            </w:r>
          </w:p>
        </w:tc>
        <w:tc>
          <w:tcPr>
            <w:tcW w:w="184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b/>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4164.54</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b/>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92.34</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4256.88</w:t>
            </w:r>
          </w:p>
        </w:tc>
        <w:tc>
          <w:tcPr>
            <w:tcW w:w="184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b/>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4164.54</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b/>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92.34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呼图壁县第四中学</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工资福利支出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4164.54</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4096.23</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68.30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基本工资</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4006.71</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4006.71</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津贴补贴</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1224.19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1224.19</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奖金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311.85</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311.85</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绩效工资</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762.81</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762.81</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机关事业单位基本养老</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627.67</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627.67</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职工基本医疗保险</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430.36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430.36</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215.18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215.18</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12</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其他社会保险缴费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59.17</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59.17</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住房公积金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25.46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25.46</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其他工资福利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商品服务支出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100.22</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31.92</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68.30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取暖费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16.47</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16.47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26</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劳务费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31.92</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31.92</w:t>
            </w:r>
          </w:p>
        </w:tc>
        <w:tc>
          <w:tcPr>
            <w:tcW w:w="170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工会经费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51.83</w:t>
            </w:r>
          </w:p>
        </w:tc>
        <w:tc>
          <w:tcPr>
            <w:tcW w:w="1701"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51.83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对个人和家庭补助</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57.60</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57.60</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退休费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47.51</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47.51</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9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奖励金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4.03</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4.03</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其他对个人和家庭补助</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5.55</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5.55</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4164.54</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4096.23</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68.30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10"/>
        <w:gridCol w:w="536"/>
        <w:gridCol w:w="436"/>
        <w:gridCol w:w="436"/>
        <w:gridCol w:w="630"/>
        <w:gridCol w:w="1590"/>
        <w:gridCol w:w="705"/>
        <w:gridCol w:w="630"/>
        <w:gridCol w:w="579"/>
        <w:gridCol w:w="816"/>
        <w:gridCol w:w="360"/>
        <w:gridCol w:w="282"/>
        <w:gridCol w:w="378"/>
        <w:gridCol w:w="441"/>
        <w:gridCol w:w="431"/>
        <w:gridCol w:w="419"/>
        <w:gridCol w:w="419"/>
        <w:gridCol w:w="381"/>
        <w:gridCol w:w="61"/>
      </w:tblGrid>
      <w:tr>
        <w:tblPrEx>
          <w:tblLayout w:type="fixed"/>
          <w:tblCellMar>
            <w:top w:w="0" w:type="dxa"/>
            <w:left w:w="108" w:type="dxa"/>
            <w:bottom w:w="0" w:type="dxa"/>
            <w:right w:w="108" w:type="dxa"/>
          </w:tblCellMar>
        </w:tblPrEx>
        <w:trPr>
          <w:gridBefore w:val="1"/>
          <w:gridAfter w:val="1"/>
          <w:wBefore w:w="10" w:type="dxa"/>
          <w:wAfter w:w="61" w:type="dxa"/>
          <w:trHeight w:val="375" w:hRule="atLeast"/>
        </w:trPr>
        <w:tc>
          <w:tcPr>
            <w:tcW w:w="9469"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10" w:type="dxa"/>
          <w:wAfter w:w="61" w:type="dxa"/>
          <w:trHeight w:val="405" w:hRule="atLeast"/>
        </w:trPr>
        <w:tc>
          <w:tcPr>
            <w:tcW w:w="4333" w:type="dxa"/>
            <w:gridSpan w:val="6"/>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呼图壁县第四中学</w:t>
            </w:r>
          </w:p>
        </w:tc>
        <w:tc>
          <w:tcPr>
            <w:tcW w:w="120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458"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6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418"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30"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59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7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81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6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4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43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42"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4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36"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36"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30"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5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7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6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4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3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42"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top"/>
          </w:tcPr>
          <w:p>
            <w:pPr>
              <w:widowControl/>
              <w:jc w:val="center"/>
              <w:outlineLvl w:val="1"/>
              <w:rPr>
                <w:rFonts w:hint="default" w:ascii="仿宋_GB2312" w:hAnsi="宋体" w:eastAsia="仿宋_GB2312" w:cs="Times New Roman"/>
                <w:kern w:val="0"/>
                <w:sz w:val="32"/>
                <w:szCs w:val="32"/>
                <w:lang w:val="en-US" w:eastAsia="zh-CN" w:bidi="ar-SA"/>
              </w:rPr>
            </w:pPr>
            <w:r>
              <w:rPr>
                <w:rFonts w:hint="eastAsia" w:ascii="仿宋_GB2312" w:hAnsi="宋体" w:eastAsia="仿宋_GB2312"/>
                <w:kern w:val="0"/>
                <w:sz w:val="21"/>
                <w:szCs w:val="21"/>
                <w:lang w:val="en-US" w:eastAsia="zh-CN"/>
              </w:rPr>
              <w:t>205</w:t>
            </w:r>
          </w:p>
        </w:tc>
        <w:tc>
          <w:tcPr>
            <w:tcW w:w="436" w:type="dxa"/>
            <w:noWrap w:val="0"/>
            <w:vAlign w:val="top"/>
          </w:tcPr>
          <w:p>
            <w:pPr>
              <w:widowControl/>
              <w:jc w:val="center"/>
              <w:outlineLvl w:val="1"/>
              <w:rPr>
                <w:rFonts w:hint="eastAsia" w:ascii="仿宋_GB2312" w:hAnsi="宋体" w:eastAsia="仿宋_GB2312" w:cs="Times New Roman"/>
                <w:kern w:val="0"/>
                <w:sz w:val="32"/>
                <w:szCs w:val="32"/>
                <w:lang w:val="en-US" w:eastAsia="zh-Hans" w:bidi="ar-SA"/>
              </w:rPr>
            </w:pPr>
          </w:p>
        </w:tc>
        <w:tc>
          <w:tcPr>
            <w:tcW w:w="436" w:type="dxa"/>
            <w:noWrap w:val="0"/>
            <w:vAlign w:val="top"/>
          </w:tcPr>
          <w:p>
            <w:pPr>
              <w:widowControl/>
              <w:jc w:val="center"/>
              <w:outlineLvl w:val="1"/>
              <w:rPr>
                <w:rFonts w:ascii="仿宋_GB2312" w:hAnsi="宋体" w:eastAsia="仿宋_GB2312" w:cs="Times New Roman"/>
                <w:kern w:val="0"/>
                <w:sz w:val="32"/>
                <w:szCs w:val="32"/>
                <w:lang w:val="en-US" w:eastAsia="zh-CN" w:bidi="ar-SA"/>
              </w:rPr>
            </w:pPr>
          </w:p>
        </w:tc>
        <w:tc>
          <w:tcPr>
            <w:tcW w:w="630" w:type="dxa"/>
            <w:noWrap w:val="0"/>
            <w:vAlign w:val="top"/>
          </w:tcPr>
          <w:p>
            <w:pPr>
              <w:widowControl/>
              <w:jc w:val="center"/>
              <w:outlineLvl w:val="1"/>
              <w:rPr>
                <w:rFonts w:hint="default"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0"/>
                <w:szCs w:val="20"/>
                <w:lang w:val="en-US" w:eastAsia="zh-CN" w:bidi="ar-SA"/>
              </w:rPr>
              <w:t>教育支出</w:t>
            </w:r>
          </w:p>
        </w:tc>
        <w:tc>
          <w:tcPr>
            <w:tcW w:w="15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5" w:type="dxa"/>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92.34</w:t>
            </w:r>
          </w:p>
        </w:tc>
        <w:tc>
          <w:tcPr>
            <w:tcW w:w="630" w:type="dxa"/>
            <w:noWrap w:val="0"/>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4.68</w:t>
            </w:r>
          </w:p>
        </w:tc>
        <w:tc>
          <w:tcPr>
            <w:tcW w:w="579"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p>
        </w:tc>
        <w:tc>
          <w:tcPr>
            <w:tcW w:w="816" w:type="dxa"/>
            <w:noWrap w:val="0"/>
            <w:vAlign w:val="top"/>
          </w:tcPr>
          <w:p>
            <w:pPr>
              <w:keepNext w:val="0"/>
              <w:keepLines w:val="0"/>
              <w:widowControl/>
              <w:suppressLineNumbers w:val="0"/>
              <w:jc w:val="right"/>
              <w:textAlignment w:val="top"/>
              <w:rPr>
                <w:rFonts w:hint="default" w:ascii="仿宋_GB2312" w:hAnsi="宋体" w:eastAsia="仿宋_GB2312"/>
                <w:color w:val="auto"/>
                <w:kern w:val="0"/>
                <w:sz w:val="18"/>
                <w:szCs w:val="18"/>
                <w:highlight w:val="none"/>
                <w:lang w:val="en-US" w:eastAsia="zh-CN"/>
              </w:rPr>
            </w:pPr>
            <w:r>
              <w:rPr>
                <w:rFonts w:hint="default" w:ascii="Calibri" w:hAnsi="Calibri" w:eastAsia="宋体" w:cs="Calibri"/>
                <w:i w:val="0"/>
                <w:iCs w:val="0"/>
                <w:color w:val="000000"/>
                <w:kern w:val="0"/>
                <w:sz w:val="22"/>
                <w:szCs w:val="22"/>
                <w:u w:val="none"/>
                <w:lang w:val="en-US" w:eastAsia="zh-CN" w:bidi="ar"/>
              </w:rPr>
              <w:t>38.27</w:t>
            </w:r>
          </w:p>
        </w:tc>
        <w:tc>
          <w:tcPr>
            <w:tcW w:w="36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49.39</w:t>
            </w:r>
          </w:p>
        </w:tc>
        <w:tc>
          <w:tcPr>
            <w:tcW w:w="44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3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205</w:t>
            </w:r>
          </w:p>
        </w:tc>
        <w:tc>
          <w:tcPr>
            <w:tcW w:w="436" w:type="dxa"/>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436" w:type="dxa"/>
            <w:noWrap w:val="0"/>
            <w:vAlign w:val="top"/>
          </w:tcPr>
          <w:p>
            <w:pPr>
              <w:widowControl/>
              <w:jc w:val="center"/>
              <w:outlineLvl w:val="1"/>
              <w:rPr>
                <w:rFonts w:ascii="仿宋_GB2312" w:hAnsi="宋体" w:eastAsia="仿宋_GB2312" w:cs="Times New Roman"/>
                <w:b w:val="0"/>
                <w:bCs w:val="0"/>
                <w:kern w:val="0"/>
                <w:sz w:val="22"/>
                <w:szCs w:val="22"/>
                <w:lang w:val="en-US" w:eastAsia="zh-CN" w:bidi="ar-SA"/>
              </w:rPr>
            </w:pPr>
          </w:p>
        </w:tc>
        <w:tc>
          <w:tcPr>
            <w:tcW w:w="630" w:type="dxa"/>
            <w:noWrap w:val="0"/>
            <w:vAlign w:val="top"/>
          </w:tcPr>
          <w:p>
            <w:pPr>
              <w:widowControl/>
              <w:jc w:val="center"/>
              <w:outlineLvl w:val="1"/>
              <w:rPr>
                <w:rFonts w:hint="eastAsia" w:ascii="仿宋_GB2312" w:hAnsi="宋体" w:eastAsia="仿宋_GB2312" w:cs="Times New Roman"/>
                <w:kern w:val="0"/>
                <w:sz w:val="20"/>
                <w:szCs w:val="20"/>
                <w:lang w:val="en-US" w:eastAsia="zh-CN" w:bidi="ar-SA"/>
              </w:rPr>
            </w:pPr>
            <w:r>
              <w:rPr>
                <w:rFonts w:hint="eastAsia" w:ascii="仿宋_GB2312" w:hAnsi="宋体" w:eastAsia="仿宋_GB2312"/>
                <w:kern w:val="0"/>
                <w:sz w:val="20"/>
                <w:szCs w:val="20"/>
                <w:lang w:val="en-US" w:eastAsia="zh-CN"/>
              </w:rPr>
              <w:t>普通教育</w:t>
            </w:r>
          </w:p>
        </w:tc>
        <w:tc>
          <w:tcPr>
            <w:tcW w:w="15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5" w:type="dxa"/>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92.34</w:t>
            </w:r>
          </w:p>
        </w:tc>
        <w:tc>
          <w:tcPr>
            <w:tcW w:w="630" w:type="dxa"/>
            <w:noWrap w:val="0"/>
            <w:vAlign w:val="top"/>
          </w:tcPr>
          <w:p>
            <w:pPr>
              <w:keepNext w:val="0"/>
              <w:keepLines w:val="0"/>
              <w:widowControl/>
              <w:suppressLineNumbers w:val="0"/>
              <w:jc w:val="right"/>
              <w:textAlignment w:val="top"/>
              <w:rPr>
                <w:rFonts w:ascii="仿宋_GB2312" w:hAnsi="宋体" w:eastAsia="仿宋_GB2312" w:cs="Times New Roman"/>
                <w:color w:val="auto"/>
                <w:kern w:val="0"/>
                <w:sz w:val="18"/>
                <w:szCs w:val="18"/>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4.68</w:t>
            </w:r>
          </w:p>
        </w:tc>
        <w:tc>
          <w:tcPr>
            <w:tcW w:w="579"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p>
        </w:tc>
        <w:tc>
          <w:tcPr>
            <w:tcW w:w="816" w:type="dxa"/>
            <w:noWrap w:val="0"/>
            <w:vAlign w:val="top"/>
          </w:tcPr>
          <w:p>
            <w:pPr>
              <w:keepNext w:val="0"/>
              <w:keepLines w:val="0"/>
              <w:widowControl/>
              <w:suppressLineNumbers w:val="0"/>
              <w:jc w:val="right"/>
              <w:textAlignment w:val="top"/>
              <w:rPr>
                <w:rFonts w:hint="default" w:ascii="仿宋_GB2312" w:hAnsi="宋体" w:eastAsia="仿宋_GB2312" w:cs="Times New Roman"/>
                <w:color w:val="auto"/>
                <w:kern w:val="0"/>
                <w:sz w:val="18"/>
                <w:szCs w:val="18"/>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38.27</w:t>
            </w:r>
          </w:p>
        </w:tc>
        <w:tc>
          <w:tcPr>
            <w:tcW w:w="36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49.39</w:t>
            </w:r>
          </w:p>
        </w:tc>
        <w:tc>
          <w:tcPr>
            <w:tcW w:w="44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3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205</w:t>
            </w:r>
          </w:p>
        </w:tc>
        <w:tc>
          <w:tcPr>
            <w:tcW w:w="436" w:type="dxa"/>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436" w:type="dxa"/>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03</w:t>
            </w:r>
          </w:p>
        </w:tc>
        <w:tc>
          <w:tcPr>
            <w:tcW w:w="630" w:type="dxa"/>
            <w:noWrap w:val="0"/>
            <w:vAlign w:val="top"/>
          </w:tcPr>
          <w:p>
            <w:pPr>
              <w:widowControl/>
              <w:jc w:val="center"/>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kern w:val="0"/>
                <w:sz w:val="20"/>
                <w:szCs w:val="20"/>
                <w:lang w:val="en-US" w:eastAsia="zh-CN"/>
              </w:rPr>
              <w:t>初中教育</w:t>
            </w:r>
          </w:p>
        </w:tc>
        <w:tc>
          <w:tcPr>
            <w:tcW w:w="15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5" w:type="dxa"/>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92.34</w:t>
            </w:r>
          </w:p>
        </w:tc>
        <w:tc>
          <w:tcPr>
            <w:tcW w:w="630" w:type="dxa"/>
            <w:noWrap w:val="0"/>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4.68</w:t>
            </w:r>
          </w:p>
        </w:tc>
        <w:tc>
          <w:tcPr>
            <w:tcW w:w="579"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p>
        </w:tc>
        <w:tc>
          <w:tcPr>
            <w:tcW w:w="816" w:type="dxa"/>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38.27</w:t>
            </w:r>
          </w:p>
        </w:tc>
        <w:tc>
          <w:tcPr>
            <w:tcW w:w="36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49.39</w:t>
            </w:r>
          </w:p>
        </w:tc>
        <w:tc>
          <w:tcPr>
            <w:tcW w:w="44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3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205</w:t>
            </w:r>
          </w:p>
        </w:tc>
        <w:tc>
          <w:tcPr>
            <w:tcW w:w="436" w:type="dxa"/>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436" w:type="dxa"/>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03</w:t>
            </w:r>
          </w:p>
        </w:tc>
        <w:tc>
          <w:tcPr>
            <w:tcW w:w="630" w:type="dxa"/>
            <w:noWrap w:val="0"/>
            <w:vAlign w:val="top"/>
          </w:tcPr>
          <w:p>
            <w:pPr>
              <w:widowControl/>
              <w:jc w:val="center"/>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kern w:val="0"/>
                <w:sz w:val="22"/>
                <w:szCs w:val="22"/>
                <w:lang w:val="en-US" w:eastAsia="zh-CN"/>
              </w:rPr>
              <w:t>初中教育</w:t>
            </w:r>
          </w:p>
        </w:tc>
        <w:tc>
          <w:tcPr>
            <w:tcW w:w="1590" w:type="dxa"/>
            <w:noWrap w:val="0"/>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2024年非寄宿生生活补助（县级配套）（非定额）　</w:t>
            </w:r>
          </w:p>
        </w:tc>
        <w:tc>
          <w:tcPr>
            <w:tcW w:w="705" w:type="dxa"/>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1.73</w:t>
            </w:r>
          </w:p>
        </w:tc>
        <w:tc>
          <w:tcPr>
            <w:tcW w:w="630" w:type="dxa"/>
            <w:noWrap w:val="0"/>
            <w:vAlign w:val="top"/>
          </w:tcPr>
          <w:p>
            <w:pPr>
              <w:widowControl/>
              <w:jc w:val="center"/>
              <w:outlineLvl w:val="1"/>
              <w:rPr>
                <w:rFonts w:ascii="仿宋_GB2312" w:hAnsi="宋体" w:eastAsia="仿宋_GB2312"/>
                <w:color w:val="auto"/>
                <w:kern w:val="0"/>
                <w:sz w:val="18"/>
                <w:szCs w:val="18"/>
                <w:highlight w:val="none"/>
              </w:rPr>
            </w:pPr>
          </w:p>
        </w:tc>
        <w:tc>
          <w:tcPr>
            <w:tcW w:w="579" w:type="dxa"/>
            <w:noWrap w:val="0"/>
            <w:vAlign w:val="top"/>
          </w:tcPr>
          <w:p>
            <w:pPr>
              <w:widowControl/>
              <w:jc w:val="center"/>
              <w:outlineLvl w:val="1"/>
              <w:rPr>
                <w:rFonts w:ascii="仿宋_GB2312" w:hAnsi="宋体" w:eastAsia="仿宋_GB2312"/>
                <w:color w:val="auto"/>
                <w:kern w:val="0"/>
                <w:sz w:val="18"/>
                <w:szCs w:val="18"/>
                <w:highlight w:val="none"/>
              </w:rPr>
            </w:pPr>
          </w:p>
        </w:tc>
        <w:tc>
          <w:tcPr>
            <w:tcW w:w="816" w:type="dxa"/>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1.73</w:t>
            </w:r>
          </w:p>
        </w:tc>
        <w:tc>
          <w:tcPr>
            <w:tcW w:w="36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3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205</w:t>
            </w:r>
          </w:p>
        </w:tc>
        <w:tc>
          <w:tcPr>
            <w:tcW w:w="436" w:type="dxa"/>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436" w:type="dxa"/>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03</w:t>
            </w:r>
          </w:p>
        </w:tc>
        <w:tc>
          <w:tcPr>
            <w:tcW w:w="630" w:type="dxa"/>
            <w:noWrap w:val="0"/>
            <w:vAlign w:val="top"/>
          </w:tcPr>
          <w:p>
            <w:pPr>
              <w:widowControl/>
              <w:jc w:val="center"/>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kern w:val="0"/>
                <w:sz w:val="22"/>
                <w:szCs w:val="22"/>
                <w:lang w:val="en-US" w:eastAsia="zh-CN"/>
              </w:rPr>
              <w:t>初中教育</w:t>
            </w:r>
          </w:p>
        </w:tc>
        <w:tc>
          <w:tcPr>
            <w:tcW w:w="15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昌州财教[2023]20号-2023年昌吉州中小学校园环境改造提升工程专项资金</w:t>
            </w:r>
            <w:r>
              <w:rPr>
                <w:rFonts w:hint="eastAsia" w:ascii="仿宋_GB2312" w:hAnsi="宋体" w:eastAsia="仿宋_GB2312"/>
                <w:color w:val="auto"/>
                <w:kern w:val="0"/>
                <w:sz w:val="32"/>
                <w:szCs w:val="32"/>
                <w:highlight w:val="none"/>
              </w:rPr>
              <w:t>　</w:t>
            </w:r>
          </w:p>
        </w:tc>
        <w:tc>
          <w:tcPr>
            <w:tcW w:w="705" w:type="dxa"/>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49.39</w:t>
            </w:r>
          </w:p>
        </w:tc>
        <w:tc>
          <w:tcPr>
            <w:tcW w:w="630" w:type="dxa"/>
            <w:noWrap w:val="0"/>
            <w:vAlign w:val="top"/>
          </w:tcPr>
          <w:p>
            <w:pPr>
              <w:widowControl/>
              <w:jc w:val="center"/>
              <w:outlineLvl w:val="1"/>
              <w:rPr>
                <w:rFonts w:ascii="仿宋_GB2312" w:hAnsi="宋体" w:eastAsia="仿宋_GB2312"/>
                <w:color w:val="auto"/>
                <w:kern w:val="0"/>
                <w:sz w:val="18"/>
                <w:szCs w:val="18"/>
                <w:highlight w:val="none"/>
              </w:rPr>
            </w:pPr>
          </w:p>
        </w:tc>
        <w:tc>
          <w:tcPr>
            <w:tcW w:w="579" w:type="dxa"/>
            <w:noWrap w:val="0"/>
            <w:vAlign w:val="top"/>
          </w:tcPr>
          <w:p>
            <w:pPr>
              <w:widowControl/>
              <w:jc w:val="center"/>
              <w:outlineLvl w:val="1"/>
              <w:rPr>
                <w:rFonts w:hint="default" w:ascii="仿宋_GB2312" w:hAnsi="宋体" w:eastAsia="仿宋_GB2312"/>
                <w:color w:val="auto"/>
                <w:kern w:val="0"/>
                <w:sz w:val="18"/>
                <w:szCs w:val="18"/>
                <w:highlight w:val="none"/>
                <w:lang w:val="en-US" w:eastAsia="zh-CN"/>
              </w:rPr>
            </w:pPr>
          </w:p>
        </w:tc>
        <w:tc>
          <w:tcPr>
            <w:tcW w:w="816" w:type="dxa"/>
            <w:noWrap w:val="0"/>
            <w:vAlign w:val="top"/>
          </w:tcPr>
          <w:p>
            <w:pPr>
              <w:widowControl/>
              <w:jc w:val="center"/>
              <w:outlineLvl w:val="1"/>
              <w:rPr>
                <w:rFonts w:ascii="仿宋_GB2312" w:hAnsi="宋体" w:eastAsia="仿宋_GB2312"/>
                <w:color w:val="auto"/>
                <w:kern w:val="0"/>
                <w:sz w:val="18"/>
                <w:szCs w:val="18"/>
                <w:highlight w:val="none"/>
              </w:rPr>
            </w:pPr>
          </w:p>
        </w:tc>
        <w:tc>
          <w:tcPr>
            <w:tcW w:w="36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default" w:ascii="Calibri" w:hAnsi="Calibri" w:eastAsia="宋体" w:cs="Calibri"/>
                <w:i w:val="0"/>
                <w:iCs w:val="0"/>
                <w:color w:val="000000"/>
                <w:kern w:val="0"/>
                <w:sz w:val="22"/>
                <w:szCs w:val="22"/>
                <w:u w:val="none"/>
                <w:lang w:val="en-US" w:eastAsia="zh-CN" w:bidi="ar"/>
              </w:rPr>
              <w:t>49.39</w:t>
            </w:r>
          </w:p>
        </w:tc>
        <w:tc>
          <w:tcPr>
            <w:tcW w:w="44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3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205</w:t>
            </w:r>
          </w:p>
        </w:tc>
        <w:tc>
          <w:tcPr>
            <w:tcW w:w="436" w:type="dxa"/>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436" w:type="dxa"/>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03</w:t>
            </w:r>
          </w:p>
        </w:tc>
        <w:tc>
          <w:tcPr>
            <w:tcW w:w="630" w:type="dxa"/>
            <w:noWrap w:val="0"/>
            <w:vAlign w:val="top"/>
          </w:tcPr>
          <w:p>
            <w:pPr>
              <w:widowControl/>
              <w:jc w:val="center"/>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kern w:val="0"/>
                <w:sz w:val="22"/>
                <w:szCs w:val="22"/>
                <w:lang w:val="en-US" w:eastAsia="zh-CN"/>
              </w:rPr>
              <w:t>初中教育</w:t>
            </w:r>
          </w:p>
        </w:tc>
        <w:tc>
          <w:tcPr>
            <w:tcW w:w="15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2024年寄宿生生活补助（县级配套）（非定额）</w:t>
            </w:r>
          </w:p>
        </w:tc>
        <w:tc>
          <w:tcPr>
            <w:tcW w:w="705" w:type="dxa"/>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36.54</w:t>
            </w:r>
          </w:p>
        </w:tc>
        <w:tc>
          <w:tcPr>
            <w:tcW w:w="630" w:type="dxa"/>
            <w:noWrap w:val="0"/>
            <w:vAlign w:val="top"/>
          </w:tcPr>
          <w:p>
            <w:pPr>
              <w:widowControl/>
              <w:jc w:val="center"/>
              <w:outlineLvl w:val="1"/>
              <w:rPr>
                <w:rFonts w:ascii="仿宋_GB2312" w:hAnsi="宋体" w:eastAsia="仿宋_GB2312"/>
                <w:color w:val="auto"/>
                <w:kern w:val="0"/>
                <w:sz w:val="18"/>
                <w:szCs w:val="18"/>
                <w:highlight w:val="none"/>
              </w:rPr>
            </w:pPr>
          </w:p>
        </w:tc>
        <w:tc>
          <w:tcPr>
            <w:tcW w:w="579" w:type="dxa"/>
            <w:noWrap w:val="0"/>
            <w:vAlign w:val="top"/>
          </w:tcPr>
          <w:p>
            <w:pPr>
              <w:widowControl/>
              <w:jc w:val="center"/>
              <w:outlineLvl w:val="1"/>
              <w:rPr>
                <w:rFonts w:hint="default" w:ascii="仿宋_GB2312" w:hAnsi="宋体" w:eastAsia="仿宋_GB2312"/>
                <w:color w:val="auto"/>
                <w:kern w:val="0"/>
                <w:sz w:val="18"/>
                <w:szCs w:val="18"/>
                <w:highlight w:val="none"/>
                <w:lang w:val="en-US" w:eastAsia="zh-CN"/>
              </w:rPr>
            </w:pPr>
          </w:p>
        </w:tc>
        <w:tc>
          <w:tcPr>
            <w:tcW w:w="816" w:type="dxa"/>
            <w:noWrap w:val="0"/>
            <w:vAlign w:val="top"/>
          </w:tcPr>
          <w:p>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36.54</w:t>
            </w:r>
          </w:p>
        </w:tc>
        <w:tc>
          <w:tcPr>
            <w:tcW w:w="36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3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205</w:t>
            </w:r>
          </w:p>
        </w:tc>
        <w:tc>
          <w:tcPr>
            <w:tcW w:w="436" w:type="dxa"/>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436" w:type="dxa"/>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03</w:t>
            </w:r>
          </w:p>
        </w:tc>
        <w:tc>
          <w:tcPr>
            <w:tcW w:w="630" w:type="dxa"/>
            <w:noWrap w:val="0"/>
            <w:vAlign w:val="top"/>
          </w:tcPr>
          <w:p>
            <w:pPr>
              <w:widowControl/>
              <w:jc w:val="center"/>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kern w:val="0"/>
                <w:sz w:val="22"/>
                <w:szCs w:val="22"/>
                <w:lang w:val="en-US" w:eastAsia="zh-CN"/>
              </w:rPr>
              <w:t>初中教育</w:t>
            </w:r>
          </w:p>
        </w:tc>
        <w:tc>
          <w:tcPr>
            <w:tcW w:w="15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2024年自治区教育项目经费（班主任津贴）</w:t>
            </w:r>
          </w:p>
        </w:tc>
        <w:tc>
          <w:tcPr>
            <w:tcW w:w="705" w:type="dxa"/>
            <w:noWrap w:val="0"/>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4.68</w:t>
            </w:r>
          </w:p>
        </w:tc>
        <w:tc>
          <w:tcPr>
            <w:tcW w:w="630" w:type="dxa"/>
            <w:noWrap w:val="0"/>
            <w:vAlign w:val="top"/>
          </w:tcPr>
          <w:p>
            <w:pPr>
              <w:widowControl/>
              <w:jc w:val="both"/>
              <w:outlineLvl w:val="1"/>
              <w:rPr>
                <w:rFonts w:hint="eastAsia"/>
              </w:rPr>
            </w:pPr>
          </w:p>
          <w:p>
            <w:pPr>
              <w:widowControl/>
              <w:jc w:val="both"/>
              <w:outlineLvl w:val="1"/>
              <w:rPr>
                <w:rFonts w:hint="eastAsia"/>
              </w:rPr>
            </w:pPr>
          </w:p>
          <w:p>
            <w:pPr>
              <w:widowControl/>
              <w:jc w:val="both"/>
              <w:outlineLvl w:val="1"/>
              <w:rPr>
                <w:rFonts w:hint="default" w:ascii="仿宋_GB2312" w:hAnsi="宋体" w:eastAsia="仿宋_GB2312"/>
                <w:color w:val="auto"/>
                <w:kern w:val="0"/>
                <w:sz w:val="18"/>
                <w:szCs w:val="18"/>
                <w:highlight w:val="none"/>
                <w:lang w:val="en-US" w:eastAsia="zh-CN"/>
              </w:rPr>
            </w:pPr>
            <w:r>
              <w:rPr>
                <w:rFonts w:hint="eastAsia"/>
              </w:rPr>
              <w:t>4.68</w:t>
            </w:r>
          </w:p>
        </w:tc>
        <w:tc>
          <w:tcPr>
            <w:tcW w:w="579" w:type="dxa"/>
            <w:noWrap w:val="0"/>
            <w:vAlign w:val="top"/>
          </w:tcPr>
          <w:p>
            <w:pPr>
              <w:widowControl/>
              <w:jc w:val="center"/>
              <w:outlineLvl w:val="1"/>
              <w:rPr>
                <w:rFonts w:ascii="仿宋_GB2312" w:hAnsi="宋体" w:eastAsia="仿宋_GB2312"/>
                <w:color w:val="auto"/>
                <w:kern w:val="0"/>
                <w:sz w:val="18"/>
                <w:szCs w:val="18"/>
                <w:highlight w:val="none"/>
              </w:rPr>
            </w:pPr>
          </w:p>
        </w:tc>
        <w:tc>
          <w:tcPr>
            <w:tcW w:w="816" w:type="dxa"/>
            <w:noWrap w:val="0"/>
            <w:vAlign w:val="top"/>
          </w:tcPr>
          <w:p>
            <w:pPr>
              <w:widowControl/>
              <w:jc w:val="center"/>
              <w:outlineLvl w:val="1"/>
              <w:rPr>
                <w:rFonts w:ascii="仿宋_GB2312" w:hAnsi="宋体" w:eastAsia="仿宋_GB2312"/>
                <w:color w:val="auto"/>
                <w:kern w:val="0"/>
                <w:sz w:val="18"/>
                <w:szCs w:val="18"/>
                <w:highlight w:val="none"/>
              </w:rPr>
            </w:pPr>
          </w:p>
        </w:tc>
        <w:tc>
          <w:tcPr>
            <w:tcW w:w="36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3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p>
        </w:tc>
        <w:tc>
          <w:tcPr>
            <w:tcW w:w="436" w:type="dxa"/>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p>
        </w:tc>
        <w:tc>
          <w:tcPr>
            <w:tcW w:w="436" w:type="dxa"/>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p>
        </w:tc>
        <w:tc>
          <w:tcPr>
            <w:tcW w:w="630" w:type="dxa"/>
            <w:noWrap w:val="0"/>
            <w:vAlign w:val="top"/>
          </w:tcPr>
          <w:p>
            <w:pPr>
              <w:widowControl/>
              <w:jc w:val="center"/>
              <w:outlineLvl w:val="1"/>
              <w:rPr>
                <w:rFonts w:hint="eastAsia" w:ascii="仿宋_GB2312" w:hAnsi="宋体" w:eastAsia="仿宋_GB2312" w:cs="Times New Roman"/>
                <w:kern w:val="0"/>
                <w:sz w:val="22"/>
                <w:szCs w:val="22"/>
                <w:lang w:val="en-US" w:eastAsia="zh-CN" w:bidi="ar-SA"/>
              </w:rPr>
            </w:pPr>
          </w:p>
        </w:tc>
        <w:tc>
          <w:tcPr>
            <w:tcW w:w="1590" w:type="dxa"/>
            <w:noWrap w:val="0"/>
            <w:vAlign w:val="top"/>
          </w:tcPr>
          <w:p>
            <w:pPr>
              <w:widowControl/>
              <w:jc w:val="left"/>
              <w:outlineLvl w:val="1"/>
              <w:rPr>
                <w:rFonts w:ascii="仿宋_GB2312" w:hAnsi="宋体" w:eastAsia="仿宋_GB2312"/>
                <w:color w:val="auto"/>
                <w:kern w:val="0"/>
                <w:sz w:val="32"/>
                <w:szCs w:val="32"/>
                <w:highlight w:val="none"/>
              </w:rPr>
            </w:pPr>
          </w:p>
        </w:tc>
        <w:tc>
          <w:tcPr>
            <w:tcW w:w="705" w:type="dxa"/>
            <w:noWrap w:val="0"/>
            <w:vAlign w:val="top"/>
          </w:tcPr>
          <w:p>
            <w:pPr>
              <w:widowControl/>
              <w:jc w:val="center"/>
              <w:outlineLvl w:val="1"/>
              <w:rPr>
                <w:rFonts w:hint="default" w:ascii="仿宋_GB2312" w:hAnsi="宋体" w:eastAsia="仿宋_GB2312"/>
                <w:color w:val="auto"/>
                <w:kern w:val="0"/>
                <w:sz w:val="18"/>
                <w:szCs w:val="18"/>
                <w:highlight w:val="none"/>
                <w:lang w:val="en-US" w:eastAsia="zh-CN"/>
              </w:rPr>
            </w:pPr>
          </w:p>
        </w:tc>
        <w:tc>
          <w:tcPr>
            <w:tcW w:w="630" w:type="dxa"/>
            <w:noWrap w:val="0"/>
            <w:vAlign w:val="top"/>
          </w:tcPr>
          <w:p>
            <w:pPr>
              <w:widowControl/>
              <w:jc w:val="center"/>
              <w:outlineLvl w:val="1"/>
              <w:rPr>
                <w:rFonts w:ascii="仿宋_GB2312" w:hAnsi="宋体" w:eastAsia="仿宋_GB2312"/>
                <w:color w:val="auto"/>
                <w:kern w:val="0"/>
                <w:sz w:val="18"/>
                <w:szCs w:val="18"/>
                <w:highlight w:val="none"/>
              </w:rPr>
            </w:pPr>
          </w:p>
        </w:tc>
        <w:tc>
          <w:tcPr>
            <w:tcW w:w="579" w:type="dxa"/>
            <w:noWrap w:val="0"/>
            <w:vAlign w:val="top"/>
          </w:tcPr>
          <w:p>
            <w:pPr>
              <w:widowControl/>
              <w:jc w:val="center"/>
              <w:outlineLvl w:val="1"/>
              <w:rPr>
                <w:rFonts w:hint="default" w:ascii="仿宋_GB2312" w:hAnsi="宋体" w:eastAsia="仿宋_GB2312"/>
                <w:color w:val="auto"/>
                <w:kern w:val="0"/>
                <w:sz w:val="18"/>
                <w:szCs w:val="18"/>
                <w:highlight w:val="none"/>
                <w:lang w:val="en-US" w:eastAsia="zh-CN"/>
              </w:rPr>
            </w:pPr>
          </w:p>
        </w:tc>
        <w:tc>
          <w:tcPr>
            <w:tcW w:w="816" w:type="dxa"/>
            <w:noWrap w:val="0"/>
            <w:vAlign w:val="top"/>
          </w:tcPr>
          <w:p>
            <w:pPr>
              <w:widowControl/>
              <w:jc w:val="center"/>
              <w:outlineLvl w:val="1"/>
              <w:rPr>
                <w:rFonts w:ascii="仿宋_GB2312" w:hAnsi="宋体" w:eastAsia="仿宋_GB2312"/>
                <w:color w:val="auto"/>
                <w:kern w:val="0"/>
                <w:sz w:val="18"/>
                <w:szCs w:val="18"/>
                <w:highlight w:val="none"/>
              </w:rPr>
            </w:pPr>
          </w:p>
        </w:tc>
        <w:tc>
          <w:tcPr>
            <w:tcW w:w="36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3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59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05" w:type="dxa"/>
            <w:noWrap w:val="0"/>
            <w:vAlign w:val="top"/>
          </w:tcPr>
          <w:p>
            <w:pPr>
              <w:keepNext w:val="0"/>
              <w:keepLines w:val="0"/>
              <w:widowControl/>
              <w:suppressLineNumbers w:val="0"/>
              <w:jc w:val="right"/>
              <w:textAlignment w:val="top"/>
              <w:rPr>
                <w:rFonts w:hint="default" w:ascii="仿宋_GB2312" w:hAnsi="宋体" w:eastAsia="仿宋_GB2312" w:cs="Times New Roman"/>
                <w:color w:val="auto"/>
                <w:kern w:val="0"/>
                <w:sz w:val="18"/>
                <w:szCs w:val="18"/>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92.34</w:t>
            </w:r>
          </w:p>
        </w:tc>
        <w:tc>
          <w:tcPr>
            <w:tcW w:w="630" w:type="dxa"/>
            <w:noWrap w:val="0"/>
            <w:vAlign w:val="top"/>
          </w:tcPr>
          <w:p>
            <w:pPr>
              <w:keepNext w:val="0"/>
              <w:keepLines w:val="0"/>
              <w:widowControl/>
              <w:suppressLineNumbers w:val="0"/>
              <w:jc w:val="right"/>
              <w:textAlignment w:val="top"/>
              <w:rPr>
                <w:rFonts w:ascii="仿宋_GB2312" w:hAnsi="宋体" w:eastAsia="仿宋_GB2312" w:cs="Times New Roman"/>
                <w:color w:val="auto"/>
                <w:kern w:val="0"/>
                <w:sz w:val="18"/>
                <w:szCs w:val="18"/>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4.68</w:t>
            </w:r>
          </w:p>
        </w:tc>
        <w:tc>
          <w:tcPr>
            <w:tcW w:w="579"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p>
        </w:tc>
        <w:tc>
          <w:tcPr>
            <w:tcW w:w="816" w:type="dxa"/>
            <w:noWrap w:val="0"/>
            <w:vAlign w:val="top"/>
          </w:tcPr>
          <w:p>
            <w:pPr>
              <w:keepNext w:val="0"/>
              <w:keepLines w:val="0"/>
              <w:widowControl/>
              <w:suppressLineNumbers w:val="0"/>
              <w:jc w:val="right"/>
              <w:textAlignment w:val="top"/>
              <w:rPr>
                <w:rFonts w:hint="default" w:ascii="仿宋_GB2312" w:hAnsi="宋体" w:eastAsia="仿宋_GB2312" w:cs="Times New Roman"/>
                <w:color w:val="auto"/>
                <w:kern w:val="0"/>
                <w:sz w:val="18"/>
                <w:szCs w:val="18"/>
                <w:highlight w:val="none"/>
                <w:lang w:val="en-US" w:eastAsia="zh-CN" w:bidi="ar-SA"/>
              </w:rPr>
            </w:pPr>
            <w:r>
              <w:rPr>
                <w:rFonts w:hint="default" w:ascii="Calibri" w:hAnsi="Calibri" w:eastAsia="宋体" w:cs="Calibri"/>
                <w:i w:val="0"/>
                <w:iCs w:val="0"/>
                <w:color w:val="000000"/>
                <w:kern w:val="0"/>
                <w:sz w:val="22"/>
                <w:szCs w:val="22"/>
                <w:u w:val="none"/>
                <w:lang w:val="en-US" w:eastAsia="zh-CN" w:bidi="ar"/>
              </w:rPr>
              <w:t>38.27</w:t>
            </w:r>
          </w:p>
        </w:tc>
        <w:tc>
          <w:tcPr>
            <w:tcW w:w="360" w:type="dxa"/>
            <w:noWrap w:val="0"/>
            <w:vAlign w:val="top"/>
          </w:tcPr>
          <w:p>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pPr>
              <w:keepNext w:val="0"/>
              <w:keepLines w:val="0"/>
              <w:widowControl/>
              <w:suppressLineNumbers w:val="0"/>
              <w:jc w:val="right"/>
              <w:textAlignment w:val="top"/>
              <w:rPr>
                <w:rFonts w:ascii="仿宋_GB2312" w:hAnsi="宋体" w:eastAsia="仿宋_GB2312"/>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49.39</w:t>
            </w:r>
          </w:p>
        </w:tc>
        <w:tc>
          <w:tcPr>
            <w:tcW w:w="441" w:type="dxa"/>
            <w:noWrap w:val="0"/>
            <w:vAlign w:val="top"/>
          </w:tcPr>
          <w:p>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431" w:type="dxa"/>
            <w:noWrap w:val="0"/>
            <w:vAlign w:val="top"/>
          </w:tcPr>
          <w:p>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419" w:type="dxa"/>
            <w:noWrap w:val="0"/>
            <w:vAlign w:val="top"/>
          </w:tcPr>
          <w:p>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419" w:type="dxa"/>
            <w:noWrap w:val="0"/>
            <w:vAlign w:val="top"/>
          </w:tcPr>
          <w:p>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442" w:type="dxa"/>
            <w:gridSpan w:val="2"/>
            <w:noWrap w:val="0"/>
            <w:vAlign w:val="top"/>
          </w:tcPr>
          <w:p>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呼图壁县第四中学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备注：本单位2024年无政府性基金预算，此表为空。</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呼图壁县第四中学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本单位2024年无国有资本经营预算，此表为空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呼图壁县第四中学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本单位2024年无三公经费，此表为空。</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rPr>
          <w:rFonts w:hint="eastAsia" w:ascii="宋体" w:hAnsi="宋体" w:cs="宋体"/>
          <w:i w:val="0"/>
          <w:color w:val="auto"/>
          <w:kern w:val="0"/>
          <w:sz w:val="20"/>
          <w:szCs w:val="20"/>
          <w:highlight w:val="none"/>
          <w:u w:val="none"/>
          <w:lang w:val="en-US" w:eastAsia="zh-CN" w:bidi="ar"/>
        </w:rPr>
      </w:pPr>
    </w:p>
    <w:p>
      <w:pPr>
        <w:pStyle w:val="2"/>
        <w:rPr>
          <w:rFonts w:hint="eastAsia"/>
        </w:rPr>
      </w:pP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olor w:val="auto"/>
                <w:kern w:val="0"/>
                <w:sz w:val="18"/>
                <w:szCs w:val="18"/>
                <w:highlight w:val="none"/>
              </w:rPr>
              <w:t>昌州财教[2023]20号-2023年昌吉州中小学校园环境改造提升工程专项资金</w:t>
            </w:r>
          </w:p>
        </w:tc>
        <w:tc>
          <w:tcPr>
            <w:tcW w:w="850" w:type="dxa"/>
            <w:noWrap w:val="0"/>
            <w:vAlign w:val="center"/>
          </w:tcPr>
          <w:p>
            <w:pPr>
              <w:spacing w:line="600" w:lineRule="exact"/>
              <w:jc w:val="center"/>
              <w:rPr>
                <w:rFonts w:hint="eastAsia" w:ascii="仿宋" w:hAnsi="仿宋" w:eastAsia="仿宋" w:cs="仿宋_GB2312"/>
                <w:bCs/>
                <w:color w:val="auto"/>
                <w:kern w:val="0"/>
                <w:sz w:val="22"/>
                <w:szCs w:val="22"/>
                <w:highlight w:val="none"/>
                <w:lang w:val="en-US" w:eastAsia="zh-CN"/>
              </w:rPr>
            </w:pPr>
          </w:p>
          <w:p>
            <w:pPr>
              <w:spacing w:line="600" w:lineRule="exact"/>
              <w:jc w:val="center"/>
              <w:rPr>
                <w:rFonts w:hint="default" w:ascii="仿宋" w:hAnsi="仿宋" w:eastAsia="仿宋" w:cs="仿宋_GB2312"/>
                <w:bCs/>
                <w:color w:val="auto"/>
                <w:kern w:val="0"/>
                <w:sz w:val="22"/>
                <w:szCs w:val="22"/>
                <w:highlight w:val="none"/>
                <w:lang w:val="en-US" w:eastAsia="zh-CN"/>
              </w:rPr>
            </w:pPr>
            <w:r>
              <w:rPr>
                <w:rFonts w:hint="eastAsia" w:ascii="仿宋" w:hAnsi="仿宋" w:eastAsia="仿宋" w:cs="仿宋_GB2312"/>
                <w:bCs/>
                <w:color w:val="auto"/>
                <w:kern w:val="0"/>
                <w:sz w:val="22"/>
                <w:szCs w:val="22"/>
                <w:highlight w:val="none"/>
                <w:lang w:val="en-US" w:eastAsia="zh-CN"/>
              </w:rPr>
              <w:t>49.391</w:t>
            </w:r>
          </w:p>
        </w:tc>
        <w:tc>
          <w:tcPr>
            <w:tcW w:w="1054" w:type="dxa"/>
            <w:noWrap w:val="0"/>
            <w:vAlign w:val="center"/>
          </w:tcPr>
          <w:p>
            <w:pPr>
              <w:spacing w:line="600" w:lineRule="exact"/>
              <w:jc w:val="center"/>
              <w:rPr>
                <w:rFonts w:hint="eastAsia" w:ascii="仿宋" w:hAnsi="仿宋" w:eastAsia="仿宋" w:cs="仿宋_GB2312"/>
                <w:bCs/>
                <w:color w:val="auto"/>
                <w:kern w:val="0"/>
                <w:sz w:val="22"/>
                <w:szCs w:val="22"/>
                <w:highlight w:val="none"/>
                <w:lang w:val="en-US" w:eastAsia="zh-CN"/>
              </w:rPr>
            </w:pPr>
          </w:p>
          <w:p>
            <w:pPr>
              <w:spacing w:line="600" w:lineRule="exact"/>
              <w:jc w:val="center"/>
              <w:rPr>
                <w:rFonts w:hint="default" w:ascii="仿宋" w:hAnsi="仿宋" w:eastAsia="仿宋" w:cs="仿宋_GB2312"/>
                <w:bCs/>
                <w:color w:val="auto"/>
                <w:kern w:val="0"/>
                <w:sz w:val="22"/>
                <w:szCs w:val="22"/>
                <w:highlight w:val="none"/>
                <w:lang w:val="en-US" w:eastAsia="zh-CN"/>
              </w:rPr>
            </w:pPr>
            <w:r>
              <w:rPr>
                <w:rFonts w:hint="eastAsia" w:ascii="仿宋" w:hAnsi="仿宋" w:eastAsia="仿宋" w:cs="仿宋_GB2312"/>
                <w:bCs/>
                <w:color w:val="auto"/>
                <w:kern w:val="0"/>
                <w:sz w:val="22"/>
                <w:szCs w:val="22"/>
                <w:highlight w:val="none"/>
                <w:lang w:val="en-US" w:eastAsia="zh-CN"/>
              </w:rPr>
              <w:t>49.39</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p>
          <w:p>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p>
          <w:p>
            <w:pPr>
              <w:widowControl/>
              <w:spacing w:line="280" w:lineRule="exact"/>
              <w:jc w:val="center"/>
              <w:rPr>
                <w:rFonts w:hint="default" w:ascii="仿宋_GB2312" w:hAnsi="宋体" w:eastAsia="仿宋_GB2312" w:cs="宋体"/>
                <w:b/>
                <w:bCs/>
                <w:color w:val="auto"/>
                <w:kern w:val="0"/>
                <w:sz w:val="16"/>
                <w:szCs w:val="16"/>
                <w:highlight w:val="none"/>
                <w:lang w:val="en-US" w:eastAsia="zh-CN"/>
              </w:rPr>
            </w:pPr>
            <w:r>
              <w:rPr>
                <w:rFonts w:hint="eastAsia" w:ascii="仿宋_GB2312" w:hAnsi="宋体" w:eastAsia="仿宋_GB2312" w:cs="宋体"/>
                <w:b/>
                <w:bCs/>
                <w:color w:val="auto"/>
                <w:kern w:val="0"/>
                <w:sz w:val="16"/>
                <w:szCs w:val="16"/>
                <w:highlight w:val="none"/>
                <w:lang w:val="en-US" w:eastAsia="zh-CN"/>
              </w:rPr>
              <w:t>49.39</w:t>
            </w:r>
          </w:p>
        </w:tc>
        <w:tc>
          <w:tcPr>
            <w:tcW w:w="1211" w:type="dxa"/>
            <w:noWrap w:val="0"/>
            <w:vAlign w:val="center"/>
          </w:tcPr>
          <w:p>
            <w:pPr>
              <w:spacing w:line="600" w:lineRule="exact"/>
              <w:jc w:val="center"/>
              <w:rPr>
                <w:rFonts w:ascii="仿宋" w:hAnsi="仿宋" w:eastAsia="仿宋" w:cs="仿宋_GB2312"/>
                <w:bCs/>
                <w:color w:val="auto"/>
                <w:kern w:val="0"/>
                <w:sz w:val="22"/>
                <w:szCs w:val="22"/>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default" w:ascii="仿宋" w:hAnsi="仿宋" w:eastAsia="仿宋" w:cs="仿宋_GB2312"/>
                <w:bCs/>
                <w:color w:val="auto"/>
                <w:kern w:val="0"/>
                <w:sz w:val="22"/>
                <w:szCs w:val="22"/>
                <w:highlight w:val="none"/>
                <w:lang w:val="en-US" w:eastAsia="zh-CN"/>
              </w:rPr>
            </w:pPr>
          </w:p>
        </w:tc>
        <w:tc>
          <w:tcPr>
            <w:tcW w:w="1054" w:type="dxa"/>
            <w:noWrap w:val="0"/>
            <w:vAlign w:val="center"/>
          </w:tcPr>
          <w:p>
            <w:pPr>
              <w:spacing w:line="600" w:lineRule="exact"/>
              <w:jc w:val="center"/>
              <w:rPr>
                <w:rFonts w:hint="default" w:ascii="仿宋" w:hAnsi="仿宋" w:eastAsia="仿宋" w:cs="仿宋_GB2312"/>
                <w:bCs/>
                <w:color w:val="auto"/>
                <w:kern w:val="0"/>
                <w:sz w:val="22"/>
                <w:szCs w:val="22"/>
                <w:highlight w:val="none"/>
                <w:lang w:val="en-US" w:eastAsia="zh-CN"/>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p>
        </w:tc>
        <w:tc>
          <w:tcPr>
            <w:tcW w:w="714" w:type="dxa"/>
            <w:noWrap w:val="0"/>
            <w:vAlign w:val="center"/>
          </w:tcPr>
          <w:p>
            <w:pPr>
              <w:widowControl/>
              <w:spacing w:line="280" w:lineRule="exact"/>
              <w:jc w:val="center"/>
              <w:rPr>
                <w:rFonts w:hint="default" w:ascii="仿宋_GB2312" w:hAnsi="宋体" w:eastAsia="仿宋_GB2312" w:cs="宋体"/>
                <w:b/>
                <w:bCs/>
                <w:color w:val="auto"/>
                <w:kern w:val="0"/>
                <w:sz w:val="16"/>
                <w:szCs w:val="16"/>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2"/>
                <w:szCs w:val="22"/>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呼图壁县第四中学</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宋体" w:eastAsia="仿宋_GB2312" w:cs="宋体"/>
          <w:kern w:val="0"/>
          <w:sz w:val="32"/>
          <w:szCs w:val="32"/>
          <w:lang w:val="en-US" w:eastAsia="zh-CN"/>
        </w:rPr>
        <w:t>呼图壁县第四中学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年所有收入和支出均纳入单位预算管理。收支总预算</w:t>
      </w:r>
      <w:r>
        <w:rPr>
          <w:rFonts w:hint="eastAsia" w:ascii="仿宋_GB2312" w:hAnsi="宋体" w:eastAsia="仿宋_GB2312" w:cs="宋体"/>
          <w:kern w:val="0"/>
          <w:sz w:val="32"/>
          <w:szCs w:val="32"/>
          <w:lang w:val="en-US" w:eastAsia="zh-CN"/>
        </w:rPr>
        <w:t>6293.49</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4256.88万元</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2086万元</w:t>
      </w:r>
      <w:r>
        <w:rPr>
          <w:rFonts w:hint="eastAsia" w:ascii="仿宋_GB2312" w:hAnsi="宋体" w:eastAsia="仿宋_GB2312" w:cs="宋体"/>
          <w:kern w:val="0"/>
          <w:sz w:val="32"/>
          <w:szCs w:val="32"/>
          <w:lang w:eastAsia="zh-Hans"/>
        </w:rPr>
        <w:t>、财政拨款结转结余</w:t>
      </w:r>
      <w:r>
        <w:rPr>
          <w:rFonts w:hint="eastAsia" w:ascii="仿宋_GB2312" w:hAnsi="宋体" w:eastAsia="仿宋_GB2312" w:cs="宋体"/>
          <w:kern w:val="0"/>
          <w:sz w:val="32"/>
          <w:szCs w:val="32"/>
          <w:lang w:val="en-US" w:eastAsia="zh-CN"/>
        </w:rPr>
        <w:t>49.39万元</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支出预算包括：教育支出</w:t>
      </w:r>
      <w:r>
        <w:rPr>
          <w:rFonts w:hint="eastAsia" w:ascii="仿宋_GB2312" w:hAnsi="宋体" w:eastAsia="仿宋_GB2312" w:cs="宋体"/>
          <w:kern w:val="0"/>
          <w:sz w:val="32"/>
          <w:szCs w:val="32"/>
          <w:lang w:val="en-US" w:eastAsia="zh-CN"/>
        </w:rPr>
        <w:t>6293.49万元</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呼图壁县第四中学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呼图壁县第四中学</w:t>
      </w:r>
      <w:r>
        <w:rPr>
          <w:rFonts w:hint="eastAsia" w:ascii="仿宋_GB2312" w:hAnsi="宋体" w:eastAsia="仿宋_GB2312" w:cs="宋体"/>
          <w:color w:val="auto"/>
          <w:kern w:val="0"/>
          <w:sz w:val="32"/>
          <w:szCs w:val="32"/>
          <w:highlight w:val="none"/>
        </w:rPr>
        <w:t xml:space="preserve">收入预算  </w:t>
      </w:r>
      <w:r>
        <w:rPr>
          <w:rFonts w:hint="eastAsia" w:ascii="仿宋_GB2312" w:hAnsi="宋体" w:eastAsia="仿宋_GB2312" w:cs="宋体"/>
          <w:color w:val="auto"/>
          <w:kern w:val="0"/>
          <w:sz w:val="32"/>
          <w:szCs w:val="32"/>
          <w:highlight w:val="none"/>
          <w:lang w:val="en-US" w:eastAsia="zh-CN"/>
        </w:rPr>
        <w:t>6293.49</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一般公共预算  </w:t>
      </w:r>
      <w:r>
        <w:rPr>
          <w:rFonts w:hint="eastAsia" w:ascii="仿宋_GB2312" w:hAnsi="宋体" w:eastAsia="仿宋_GB2312" w:cs="宋体"/>
          <w:color w:val="auto"/>
          <w:kern w:val="0"/>
          <w:sz w:val="32"/>
          <w:szCs w:val="32"/>
          <w:highlight w:val="none"/>
          <w:lang w:val="en-US" w:eastAsia="zh-CN"/>
        </w:rPr>
        <w:t>4256.88</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67.64</w:t>
      </w:r>
      <w:r>
        <w:rPr>
          <w:rFonts w:hint="eastAsia" w:ascii="仿宋_GB2312" w:hAnsi="宋体" w:eastAsia="仿宋_GB2312" w:cs="宋体"/>
          <w:color w:val="auto"/>
          <w:kern w:val="0"/>
          <w:sz w:val="32"/>
          <w:szCs w:val="32"/>
          <w:highlight w:val="none"/>
        </w:rPr>
        <w:t xml:space="preserve"> %，比上年预算增加  </w:t>
      </w:r>
      <w:r>
        <w:rPr>
          <w:rFonts w:hint="eastAsia" w:ascii="仿宋_GB2312" w:hAnsi="宋体" w:eastAsia="仿宋_GB2312" w:cs="宋体"/>
          <w:color w:val="auto"/>
          <w:kern w:val="0"/>
          <w:sz w:val="32"/>
          <w:szCs w:val="32"/>
          <w:highlight w:val="none"/>
          <w:lang w:val="en-US" w:eastAsia="zh-CN"/>
        </w:rPr>
        <w:t>156.34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3.81 %，</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2023</w:t>
      </w:r>
      <w:r>
        <w:rPr>
          <w:rFonts w:hint="eastAsia" w:ascii="仿宋_GB2312" w:hAnsi="宋体" w:eastAsia="仿宋_GB2312" w:cs="宋体"/>
          <w:kern w:val="0"/>
          <w:sz w:val="32"/>
          <w:szCs w:val="32"/>
          <w:lang w:eastAsia="zh-CN"/>
        </w:rPr>
        <w:t>年度在编人员基础性调标、奖励性绩效增、事业正升增加，所以本年度预算数增加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4.68</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0.1</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4.68</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2024年自治区项目资金班主任津贴增加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2086</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33.15</w:t>
      </w:r>
      <w:r>
        <w:rPr>
          <w:rFonts w:hint="eastAsia" w:ascii="仿宋_GB2312" w:hAnsi="宋体" w:eastAsia="仿宋_GB2312" w:cs="宋体"/>
          <w:color w:val="auto"/>
          <w:kern w:val="0"/>
          <w:sz w:val="32"/>
          <w:szCs w:val="32"/>
          <w:highlight w:val="none"/>
        </w:rPr>
        <w:t xml:space="preserve">%，比上年预算减少   </w:t>
      </w:r>
      <w:r>
        <w:rPr>
          <w:rFonts w:hint="eastAsia" w:ascii="仿宋_GB2312" w:hAnsi="宋体" w:eastAsia="仿宋_GB2312" w:cs="宋体"/>
          <w:color w:val="auto"/>
          <w:kern w:val="0"/>
          <w:sz w:val="32"/>
          <w:szCs w:val="32"/>
          <w:highlight w:val="none"/>
          <w:lang w:val="en-US" w:eastAsia="zh-CN"/>
        </w:rPr>
        <w:t>360.26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 xml:space="preserve"> 14.73 %，</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教师社保、公积金增加，单位资金收入增加</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49.39</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0.79</w:t>
      </w:r>
      <w:r>
        <w:rPr>
          <w:rFonts w:hint="eastAsia" w:ascii="仿宋_GB2312" w:hAnsi="宋体" w:eastAsia="仿宋_GB2312" w:cs="宋体"/>
          <w:color w:val="auto"/>
          <w:kern w:val="0"/>
          <w:sz w:val="32"/>
          <w:szCs w:val="32"/>
          <w:highlight w:val="none"/>
        </w:rPr>
        <w:t xml:space="preserve"> %，比上年预算</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10.72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下降17.83 %，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2023年专项直达资金使用较好，结余资金减少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呼图壁县第四中学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呼图壁县第四中学</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6293.49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6250.54</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98.54</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2210.11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54.7%，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2023</w:t>
      </w:r>
      <w:r>
        <w:rPr>
          <w:rFonts w:hint="eastAsia" w:ascii="仿宋_GB2312" w:hAnsi="宋体" w:eastAsia="仿宋_GB2312" w:cs="宋体"/>
          <w:kern w:val="0"/>
          <w:sz w:val="32"/>
          <w:szCs w:val="32"/>
          <w:lang w:eastAsia="zh-CN"/>
        </w:rPr>
        <w:t>年度在编人员基础性调标、奖励性绩效增、事业正升增加，所以本年度预算数增加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92.34</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1.46</w:t>
      </w:r>
      <w:r>
        <w:rPr>
          <w:rFonts w:hint="eastAsia" w:ascii="仿宋_GB2312" w:hAnsi="宋体" w:eastAsia="仿宋_GB2312" w:cs="宋体"/>
          <w:color w:val="auto"/>
          <w:kern w:val="0"/>
          <w:sz w:val="32"/>
          <w:szCs w:val="32"/>
          <w:highlight w:val="none"/>
        </w:rPr>
        <w:t xml:space="preserve"> %，比上年预算</w:t>
      </w:r>
      <w:r>
        <w:rPr>
          <w:rFonts w:hint="eastAsia" w:ascii="仿宋_GB2312" w:hAnsi="宋体" w:eastAsia="仿宋_GB2312" w:cs="宋体"/>
          <w:color w:val="auto"/>
          <w:kern w:val="0"/>
          <w:sz w:val="32"/>
          <w:szCs w:val="32"/>
          <w:highlight w:val="none"/>
          <w:lang w:val="en-US" w:eastAsia="zh-CN"/>
        </w:rPr>
        <w:t>增加了</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32.23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增加53.62%，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2024年下发的县级配套和专项资金增加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呼图壁县第四中学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4256.88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4256.88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教育支出</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4256.88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发放工资、社保、生均经费</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呼图壁县第四中学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仿宋_GB2312" w:eastAsia="仿宋_GB2312" w:cs="仿宋_GB2312"/>
          <w:color w:val="auto"/>
          <w:kern w:val="0"/>
          <w:sz w:val="32"/>
          <w:szCs w:val="32"/>
          <w:highlight w:val="none"/>
          <w:lang w:val="en-US" w:eastAsia="zh-CN"/>
        </w:rPr>
        <w:t>4256.88</w:t>
      </w:r>
      <w:r>
        <w:rPr>
          <w:rFonts w:hint="eastAsia" w:ascii="仿宋_GB2312" w:hAnsi="仿宋_GB2312" w:eastAsia="仿宋_GB2312" w:cs="仿宋_GB2312"/>
          <w:color w:val="auto"/>
          <w:kern w:val="0"/>
          <w:sz w:val="32"/>
          <w:szCs w:val="32"/>
          <w:highlight w:val="none"/>
        </w:rPr>
        <w:t xml:space="preserve"> 万元，其中：基本支出  </w:t>
      </w:r>
      <w:r>
        <w:rPr>
          <w:rFonts w:hint="eastAsia" w:ascii="仿宋_GB2312" w:hAnsi="仿宋_GB2312" w:eastAsia="仿宋_GB2312" w:cs="仿宋_GB2312"/>
          <w:color w:val="auto"/>
          <w:kern w:val="0"/>
          <w:sz w:val="32"/>
          <w:szCs w:val="32"/>
          <w:highlight w:val="none"/>
          <w:lang w:val="en-US" w:eastAsia="zh-CN"/>
        </w:rPr>
        <w:t>4164.54</w:t>
      </w:r>
      <w:r>
        <w:rPr>
          <w:rFonts w:hint="eastAsia" w:ascii="仿宋_GB2312" w:hAnsi="仿宋_GB2312" w:eastAsia="仿宋_GB2312" w:cs="仿宋_GB2312"/>
          <w:color w:val="auto"/>
          <w:kern w:val="0"/>
          <w:sz w:val="32"/>
          <w:szCs w:val="32"/>
          <w:highlight w:val="none"/>
        </w:rPr>
        <w:t xml:space="preserve">  万元，比上年预算增加</w:t>
      </w:r>
      <w:r>
        <w:rPr>
          <w:rFonts w:hint="eastAsia" w:ascii="仿宋_GB2312" w:hAnsi="仿宋_GB2312" w:eastAsia="仿宋_GB2312" w:cs="仿宋_GB2312"/>
          <w:color w:val="auto"/>
          <w:kern w:val="0"/>
          <w:sz w:val="32"/>
          <w:szCs w:val="32"/>
          <w:highlight w:val="none"/>
          <w:lang w:val="en-US" w:eastAsia="zh-CN"/>
        </w:rPr>
        <w:t>124.11</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3.07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lang w:eastAsia="zh-CN"/>
        </w:rPr>
        <w:t>年度在编人员基础性调标、奖励性绩效增、事业正升增加</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 xml:space="preserve"> 92.34 </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32.23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53.62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2024年下发的县级配套和专项资金增多</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w:t>
      </w:r>
      <w:r>
        <w:rPr>
          <w:rFonts w:ascii="仿宋_GB2312" w:hAnsi="仿宋_GB2312" w:eastAsia="仿宋_GB2312" w:cs="仿宋_GB2312"/>
          <w:b w:val="0"/>
          <w:bCs w:val="0"/>
          <w:sz w:val="32"/>
          <w:szCs w:val="32"/>
          <w:highlight w:val="none"/>
          <w:lang w:eastAsia="zh-CN" w:bidi="zh-CN"/>
        </w:rPr>
        <w:t>教育支出（类）</w:t>
      </w:r>
      <w:r>
        <w:rPr>
          <w:rFonts w:hint="eastAsia" w:ascii="仿宋_GB2312" w:hAnsi="仿宋_GB2312" w:eastAsia="仿宋_GB2312" w:cs="仿宋_GB2312"/>
          <w:b w:val="0"/>
          <w:bCs w:val="0"/>
          <w:sz w:val="32"/>
          <w:szCs w:val="32"/>
          <w:highlight w:val="none"/>
          <w:lang w:val="en-US" w:eastAsia="zh-CN" w:bidi="zh-CN"/>
        </w:rPr>
        <w:t>4256.88</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val="0"/>
        <w:spacing w:line="560" w:lineRule="exact"/>
        <w:ind w:firstLine="640" w:firstLineChars="200"/>
        <w:jc w:val="both"/>
        <w:rPr>
          <w:rFonts w:hint="eastAsia" w:ascii="仿宋_GB2312" w:hAnsi="仿宋_GB2312" w:eastAsia="仿宋_GB2312" w:cs="仿宋_GB2312"/>
          <w:b/>
          <w:kern w:val="0"/>
          <w:sz w:val="32"/>
          <w:szCs w:val="32"/>
        </w:rPr>
      </w:pPr>
      <w:r>
        <w:rPr>
          <w:rFonts w:hint="eastAsia" w:ascii="仿宋_GB2312" w:hAnsi="宋体" w:eastAsia="仿宋_GB2312" w:cs="宋体"/>
          <w:kern w:val="0"/>
          <w:sz w:val="32"/>
          <w:szCs w:val="32"/>
        </w:rPr>
        <w:t>1.205-教育支出（类）02-普通教育（款）0</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初中教育</w:t>
      </w:r>
      <w:r>
        <w:rPr>
          <w:rFonts w:hint="eastAsia" w:ascii="仿宋_GB2312" w:hAnsi="宋体" w:eastAsia="仿宋_GB2312" w:cs="宋体"/>
          <w:kern w:val="0"/>
          <w:sz w:val="32"/>
          <w:szCs w:val="32"/>
        </w:rPr>
        <w:t>（项）</w:t>
      </w:r>
      <w:r>
        <w:rPr>
          <w:rFonts w:hint="eastAsia" w:ascii="仿宋_GB2312" w:hAnsi="宋体" w:eastAsia="仿宋_GB2312" w:cs="宋体"/>
          <w:kern w:val="0"/>
          <w:sz w:val="32"/>
          <w:szCs w:val="32"/>
          <w:lang w:val="en-US" w:eastAsia="zh-CN"/>
        </w:rPr>
        <w:t>:2024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4256.88</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156.34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3.81</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本年度在编人员基础性调标、奖励性绩效增、事业正升增加，所以本年度预算数增加。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呼图壁县第四中学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呼图壁县第四中学</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4164.54</w:t>
      </w:r>
      <w:r>
        <w:rPr>
          <w:rFonts w:hint="eastAsia" w:ascii="仿宋_GB2312" w:hAnsi="宋体" w:eastAsia="仿宋_GB2312" w:cs="宋体"/>
          <w:color w:val="auto"/>
          <w:spacing w:val="-6"/>
          <w:kern w:val="0"/>
          <w:sz w:val="32"/>
          <w:szCs w:val="32"/>
          <w:highlight w:val="none"/>
        </w:rPr>
        <w:t>万元， 其中：</w:t>
      </w:r>
    </w:p>
    <w:p>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4096.23</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退休费、奖励金、其他对个人和家庭的补助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68.3</w:t>
      </w:r>
      <w:r>
        <w:rPr>
          <w:rFonts w:hint="eastAsia" w:ascii="仿宋_GB2312" w:hAnsi="宋体" w:eastAsia="仿宋_GB2312" w:cs="宋体"/>
          <w:color w:val="auto"/>
          <w:kern w:val="0"/>
          <w:sz w:val="32"/>
          <w:szCs w:val="32"/>
          <w:highlight w:val="none"/>
        </w:rPr>
        <w:t>万元，主要包括：取暖费、劳务费、工会经费等。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呼图壁县第四中学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一</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2024年非寄宿生生活补助（县级配套）(非定额)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非寄宿生生活补助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1.73万元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呼图壁县第四中学</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资</w:t>
      </w:r>
      <w:r>
        <w:rPr>
          <w:rFonts w:ascii="仿宋_GB2312" w:hAnsi="黑体" w:eastAsia="仿宋_GB2312"/>
          <w:color w:val="auto"/>
          <w:sz w:val="32"/>
          <w:szCs w:val="32"/>
          <w:highlight w:val="none"/>
        </w:rPr>
        <w:t>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1.73万元，该资金用于初中未住校困难学生的生活补助。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昌州财教【2023】20号-2023年昌吉州中小学校园环境改造提升工程专项资金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公用经费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49.39万元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呼图壁县第四中学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资</w:t>
      </w:r>
      <w:r>
        <w:rPr>
          <w:rFonts w:ascii="仿宋_GB2312" w:hAnsi="黑体" w:eastAsia="仿宋_GB2312"/>
          <w:color w:val="auto"/>
          <w:sz w:val="32"/>
          <w:szCs w:val="32"/>
          <w:highlight w:val="none"/>
        </w:rPr>
        <w:t>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49.39万元，该资金用于校园环境改造，提升，给学生创造舒适、整洁的校园环境。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（三）2024年寄宿生生活补助（县级配套）(非定额)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寄宿生生活补助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36.54万元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呼图壁县第四中学</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资</w:t>
      </w:r>
      <w:r>
        <w:rPr>
          <w:rFonts w:ascii="仿宋_GB2312" w:hAnsi="黑体" w:eastAsia="仿宋_GB2312"/>
          <w:color w:val="auto"/>
          <w:sz w:val="32"/>
          <w:szCs w:val="32"/>
          <w:highlight w:val="none"/>
        </w:rPr>
        <w:t>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36.54万元，该资金用于初中住校困难</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学生的生活补助。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四</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2024年自治区教育项目经费（班主任津贴）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人员经费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4.68万元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呼图壁县第四中学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资</w:t>
      </w:r>
      <w:r>
        <w:rPr>
          <w:rFonts w:ascii="仿宋_GB2312" w:hAnsi="黑体" w:eastAsia="仿宋_GB2312"/>
          <w:color w:val="auto"/>
          <w:sz w:val="32"/>
          <w:szCs w:val="32"/>
          <w:highlight w:val="none"/>
        </w:rPr>
        <w:t>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4.68万元，该资金用于班主任津贴，提高班主任的津贴，提高班主任积极性。</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呼图壁县第四中学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呼图壁县第四中学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呼图壁县第四中学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呼图壁县第四中学</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万元，公务用车运行费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%，其中：因公出国（境）费减少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val="en-US" w:eastAsia="zh-CN"/>
        </w:rPr>
        <w:t>本年未安排预算</w:t>
      </w:r>
      <w:r>
        <w:rPr>
          <w:rFonts w:hint="eastAsia" w:ascii="仿宋_GB2312" w:hAnsi="宋体" w:eastAsia="仿宋_GB2312" w:cs="宋体"/>
          <w:kern w:val="0"/>
          <w:sz w:val="32"/>
          <w:szCs w:val="32"/>
        </w:rPr>
        <w:t>；公务用车购置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%，主要原因是；公务用车运行费增加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未安排预算0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本年未安排预算</w:t>
      </w:r>
      <w:r>
        <w:rPr>
          <w:rFonts w:hint="eastAsia" w:ascii="仿宋_GB2312" w:hAnsi="宋体" w:eastAsia="仿宋_GB2312" w:cs="宋体"/>
          <w:kern w:val="0"/>
          <w:sz w:val="32"/>
          <w:szCs w:val="32"/>
        </w:rPr>
        <w:t>；公务接待费增加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val="en-US" w:eastAsia="zh-CN"/>
        </w:rPr>
        <w:t>本年未安排预算</w:t>
      </w:r>
      <w:r>
        <w:rPr>
          <w:rFonts w:hint="eastAsia" w:ascii="仿宋_GB2312" w:hAnsi="宋体" w:eastAsia="仿宋_GB2312" w:cs="宋体"/>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呼图壁县第四中学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上年结转结余49.39万元，包括：财政拨款49.39万元，非财政拨款0万元，</w:t>
      </w:r>
      <w:r>
        <w:rPr>
          <w:rFonts w:hint="eastAsia" w:ascii="仿宋_GB2312" w:hAnsi="仿宋_GB2312" w:eastAsia="仿宋_GB2312" w:cs="仿宋_GB2312"/>
          <w:color w:val="auto"/>
          <w:kern w:val="0"/>
          <w:sz w:val="32"/>
          <w:szCs w:val="32"/>
          <w:highlight w:val="none"/>
        </w:rPr>
        <w:t>其中：</w:t>
      </w:r>
    </w:p>
    <w:p>
      <w:pPr>
        <w:pStyle w:val="2"/>
        <w:rPr>
          <w:rFonts w:hint="eastAsia"/>
        </w:rPr>
      </w:pP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昌州财教【2023】20号-2023年昌吉州中小学校园环境改造提升工程专项资金49.39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主要用于：校园环境改造提升。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 xml:space="preserve">68.3 </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减少86.08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下降55.75</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kern w:val="0"/>
          <w:sz w:val="32"/>
          <w:szCs w:val="32"/>
          <w:lang w:val="en-US" w:eastAsia="zh-CN"/>
        </w:rPr>
        <w:t>本年取暖费减少</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73.51</w:t>
      </w:r>
      <w:r>
        <w:rPr>
          <w:rFonts w:hint="eastAsia" w:ascii="仿宋_GB2312" w:hAnsi="仿宋_GB2312" w:eastAsia="仿宋_GB2312" w:cs="仿宋_GB2312"/>
          <w:color w:val="auto"/>
          <w:kern w:val="0"/>
          <w:sz w:val="32"/>
          <w:szCs w:val="32"/>
          <w:highlight w:val="none"/>
        </w:rPr>
        <w:t xml:space="preserve">  万元，其中：政府采购货物预算 </w:t>
      </w:r>
      <w:r>
        <w:rPr>
          <w:rFonts w:hint="eastAsia" w:ascii="仿宋_GB2312" w:hAnsi="仿宋_GB2312" w:eastAsia="仿宋_GB2312" w:cs="仿宋_GB2312"/>
          <w:color w:val="auto"/>
          <w:kern w:val="0"/>
          <w:sz w:val="32"/>
          <w:szCs w:val="32"/>
          <w:highlight w:val="none"/>
          <w:lang w:val="en-US" w:eastAsia="zh-CN"/>
        </w:rPr>
        <w:t>25.3</w:t>
      </w:r>
      <w:r>
        <w:rPr>
          <w:rFonts w:hint="eastAsia" w:ascii="仿宋_GB2312" w:hAnsi="仿宋_GB2312" w:eastAsia="仿宋_GB2312" w:cs="仿宋_GB2312"/>
          <w:color w:val="auto"/>
          <w:kern w:val="0"/>
          <w:sz w:val="32"/>
          <w:szCs w:val="32"/>
          <w:highlight w:val="none"/>
        </w:rPr>
        <w:t xml:space="preserve"> 万元，政府采购工程预算 </w:t>
      </w:r>
      <w:r>
        <w:rPr>
          <w:rFonts w:hint="eastAsia" w:ascii="仿宋_GB2312" w:hAnsi="仿宋_GB2312" w:eastAsia="仿宋_GB2312" w:cs="仿宋_GB2312"/>
          <w:color w:val="auto"/>
          <w:kern w:val="0"/>
          <w:sz w:val="32"/>
          <w:szCs w:val="32"/>
          <w:highlight w:val="none"/>
          <w:lang w:val="en-US" w:eastAsia="zh-CN"/>
        </w:rPr>
        <w:t>42.11</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6.1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 xml:space="preserve"> 73.51 </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 xml:space="preserve"> 73.51 </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38224.96</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3929.47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万元；其中：一般公务用车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万元；执法执勤用车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万元；其他车辆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135.74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2265.62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rPr>
        <w:t xml:space="preserve">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rPr>
        <w:t xml:space="preserve">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部门</w:t>
      </w:r>
      <w:r>
        <w:rPr>
          <w:rFonts w:hint="eastAsia" w:ascii="仿宋_GB2312" w:hAnsi="仿宋_GB2312" w:eastAsia="仿宋_GB2312" w:cs="仿宋_GB2312"/>
          <w:color w:val="auto"/>
          <w:kern w:val="0"/>
          <w:sz w:val="32"/>
          <w:szCs w:val="32"/>
          <w:highlight w:val="none"/>
          <w:lang w:val="en-US" w:eastAsia="zh-CN"/>
        </w:rPr>
        <w:t>呼图壁县第四中学</w:t>
      </w:r>
      <w:r>
        <w:rPr>
          <w:rFonts w:hint="eastAsia" w:ascii="仿宋_GB2312" w:hAnsi="仿宋_GB2312" w:eastAsia="仿宋_GB2312" w:cs="仿宋_GB2312"/>
          <w:color w:val="auto"/>
          <w:kern w:val="0"/>
          <w:sz w:val="32"/>
          <w:szCs w:val="32"/>
          <w:highlight w:val="none"/>
        </w:rPr>
        <w:t xml:space="preserve">预算未安排购置车辆经费，安排购置50万元以上大型设备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整体预算绩效目标1个，涉及金额4256.88万元；当年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涉及预算金额92.34万元；当年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呼图壁县第四中学整体绩效目标表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呼图壁县第四中学</w:t>
            </w:r>
            <w:r>
              <w:rPr>
                <w:rFonts w:hint="eastAsia" w:ascii="宋体" w:hAnsi="宋体" w:eastAsia="宋体" w:cs="宋体"/>
                <w:i w:val="0"/>
                <w:iCs w:val="0"/>
                <w:color w:val="000000"/>
                <w:kern w:val="0"/>
                <w:sz w:val="20"/>
                <w:szCs w:val="20"/>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呼图壁县第四中学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呼图壁县第四中学</w:t>
            </w:r>
            <w:r>
              <w:rPr>
                <w:rFonts w:hint="eastAsia" w:ascii="宋体" w:hAnsi="宋体" w:eastAsia="宋体" w:cs="宋体"/>
                <w:i w:val="0"/>
                <w:iCs w:val="0"/>
                <w:color w:val="000000"/>
                <w:kern w:val="0"/>
                <w:sz w:val="20"/>
                <w:szCs w:val="20"/>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夏克娜</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18096818028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为保障学校日常工作正常运转，教学计划正常开展。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4256.88</w:t>
            </w:r>
            <w:r>
              <w:rPr>
                <w:rFonts w:hint="eastAsia" w:ascii="宋体" w:hAnsi="宋体" w:cs="宋体"/>
                <w:i w:val="0"/>
                <w:iCs w:val="0"/>
                <w:color w:val="000000"/>
                <w:sz w:val="20"/>
                <w:szCs w:val="20"/>
                <w:u w:val="none"/>
                <w:lang w:val="en-US" w:eastAsia="zh-CN"/>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开展读书分享会次数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eastAsia="zh-CN"/>
              </w:rPr>
              <w:t>第四中学</w:t>
            </w:r>
            <w:r>
              <w:rPr>
                <w:rFonts w:hint="eastAsia" w:ascii="宋体" w:hAnsi="宋体" w:eastAsia="宋体" w:cs="宋体"/>
                <w:i w:val="0"/>
                <w:iCs w:val="0"/>
                <w:color w:val="000000"/>
                <w:sz w:val="20"/>
                <w:szCs w:val="20"/>
                <w:u w:val="none"/>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开展校验活动数量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eastAsia="zh-CN"/>
              </w:rPr>
              <w:t>第四中学</w:t>
            </w:r>
            <w:r>
              <w:rPr>
                <w:rFonts w:hint="eastAsia" w:ascii="宋体" w:hAnsi="宋体" w:eastAsia="宋体" w:cs="宋体"/>
                <w:i w:val="0"/>
                <w:iCs w:val="0"/>
                <w:color w:val="000000"/>
                <w:sz w:val="20"/>
                <w:szCs w:val="20"/>
                <w:u w:val="none"/>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开展公开课节数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&gt;=150节</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eastAsia="zh-CN"/>
              </w:rPr>
              <w:t>第四中学</w:t>
            </w:r>
            <w:r>
              <w:rPr>
                <w:rFonts w:hint="eastAsia" w:ascii="宋体" w:hAnsi="宋体" w:eastAsia="宋体" w:cs="宋体"/>
                <w:i w:val="0"/>
                <w:iCs w:val="0"/>
                <w:color w:val="000000"/>
                <w:sz w:val="20"/>
                <w:szCs w:val="20"/>
                <w:u w:val="none"/>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开展社团文化活动节数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&gt;=192节</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eastAsia="zh-CN"/>
              </w:rPr>
              <w:t>第四中学</w:t>
            </w:r>
            <w:r>
              <w:rPr>
                <w:rFonts w:hint="eastAsia" w:ascii="宋体" w:hAnsi="宋体" w:eastAsia="宋体" w:cs="宋体"/>
                <w:i w:val="0"/>
                <w:iCs w:val="0"/>
                <w:color w:val="000000"/>
                <w:sz w:val="20"/>
                <w:szCs w:val="20"/>
                <w:u w:val="none"/>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710"/>
        <w:gridCol w:w="960"/>
        <w:gridCol w:w="795"/>
        <w:gridCol w:w="795"/>
        <w:gridCol w:w="1695"/>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呼图壁县</w:t>
            </w:r>
            <w:r>
              <w:rPr>
                <w:rFonts w:hint="eastAsia" w:ascii="宋体" w:hAnsi="宋体" w:cs="宋体"/>
                <w:i w:val="0"/>
                <w:iCs w:val="0"/>
                <w:color w:val="000000"/>
                <w:sz w:val="18"/>
                <w:szCs w:val="18"/>
                <w:highlight w:val="none"/>
                <w:u w:val="none"/>
                <w:lang w:eastAsia="zh-CN"/>
              </w:rPr>
              <w:t>第四中学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7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昌州财教【2023】20号-2023年昌吉州中小学校园环境改造提升工程专项资金</w:t>
            </w:r>
          </w:p>
        </w:tc>
        <w:tc>
          <w:tcPr>
            <w:tcW w:w="159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8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丁新涛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49.39万元</w:t>
            </w:r>
          </w:p>
        </w:tc>
        <w:tc>
          <w:tcPr>
            <w:tcW w:w="96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49.39万元</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68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改善校园环境，增加绿化面积，促进学校师生身心健康发展。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义务教育阶段学生人数</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1830人</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1830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绿化覆盖率</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完成及时率</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成本控制率</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lang w:val="en-US" w:eastAsia="zh-CN"/>
              </w:rPr>
              <w:t>&lt;=90%</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6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6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6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提高教育教学水平</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有待提高</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6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家长满意度</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95%</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学生满意度</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95%</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8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43"/>
        <w:gridCol w:w="875"/>
        <w:gridCol w:w="1317"/>
        <w:gridCol w:w="877"/>
        <w:gridCol w:w="970"/>
        <w:gridCol w:w="735"/>
        <w:gridCol w:w="853"/>
        <w:gridCol w:w="1133"/>
        <w:gridCol w:w="6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77" w:hRule="atLeast"/>
        </w:trPr>
        <w:tc>
          <w:tcPr>
            <w:tcW w:w="812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000000"/>
                <w:sz w:val="32"/>
                <w:szCs w:val="32"/>
                <w:u w:val="none"/>
                <w:lang w:val="en-US"/>
              </w:rPr>
            </w:pPr>
            <w:r>
              <w:rPr>
                <w:rFonts w:hint="eastAsia" w:ascii="宋体" w:hAnsi="宋体" w:eastAsia="宋体" w:cs="宋体"/>
                <w:b/>
                <w:i w:val="0"/>
                <w:color w:val="000000"/>
                <w:kern w:val="0"/>
                <w:sz w:val="32"/>
                <w:szCs w:val="32"/>
                <w:u w:val="none"/>
                <w:lang w:val="en-US" w:eastAsia="zh-CN" w:bidi="ar"/>
              </w:rPr>
              <w:t>项  目  支  出  绩  效  目  标  表</w:t>
            </w:r>
            <w:r>
              <w:rPr>
                <w:rFonts w:hint="eastAsia" w:ascii="宋体" w:hAnsi="宋体" w:cs="宋体"/>
                <w:b/>
                <w:i w:val="0"/>
                <w:color w:val="000000"/>
                <w:kern w:val="0"/>
                <w:sz w:val="32"/>
                <w:szCs w:val="3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812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6" w:hRule="atLeast"/>
        </w:trPr>
        <w:tc>
          <w:tcPr>
            <w:tcW w:w="16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50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呼图壁县第四中学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1" w:hRule="atLeast"/>
        </w:trPr>
        <w:tc>
          <w:tcPr>
            <w:tcW w:w="16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6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2024年非寄宿生生活补助（县级配套）（非定额）</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7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丁新涛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1" w:hRule="atLeast"/>
        </w:trPr>
        <w:tc>
          <w:tcPr>
            <w:tcW w:w="16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3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1.73</w:t>
            </w:r>
          </w:p>
        </w:tc>
        <w:tc>
          <w:tcPr>
            <w:tcW w:w="97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1.73</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7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92" w:hRule="atLeast"/>
        </w:trPr>
        <w:tc>
          <w:tcPr>
            <w:tcW w:w="16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502"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落实城乡义务教育生均公用经费基准定额，为义务教育阶段学校正常运转，提供保障.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1" w:hRule="atLeast"/>
        </w:trPr>
        <w:tc>
          <w:tcPr>
            <w:tcW w:w="7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31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7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5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13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61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1" w:hRule="atLeast"/>
        </w:trPr>
        <w:tc>
          <w:tcPr>
            <w:tcW w:w="7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3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享受学生人数</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=132人</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1"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享受补助月份</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=10个月</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1"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3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补助资金拨付及时率</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1"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3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年人均补助标准</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=131.25元</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1"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3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减轻家庭经济压力</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逐步减轻</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1" w:hRule="atLeast"/>
        </w:trPr>
        <w:tc>
          <w:tcPr>
            <w:tcW w:w="7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3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家长满意率</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4"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学生满意度</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8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61"/>
        <w:gridCol w:w="893"/>
        <w:gridCol w:w="1477"/>
        <w:gridCol w:w="799"/>
        <w:gridCol w:w="994"/>
        <w:gridCol w:w="753"/>
        <w:gridCol w:w="873"/>
        <w:gridCol w:w="1157"/>
        <w:gridCol w:w="6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77" w:hRule="atLeast"/>
        </w:trPr>
        <w:tc>
          <w:tcPr>
            <w:tcW w:w="834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000000"/>
                <w:sz w:val="32"/>
                <w:szCs w:val="32"/>
                <w:u w:val="none"/>
                <w:lang w:val="en-US"/>
              </w:rPr>
            </w:pPr>
            <w:r>
              <w:rPr>
                <w:rFonts w:hint="eastAsia" w:ascii="宋体" w:hAnsi="宋体" w:eastAsia="宋体" w:cs="宋体"/>
                <w:b/>
                <w:i w:val="0"/>
                <w:color w:val="000000"/>
                <w:kern w:val="0"/>
                <w:sz w:val="32"/>
                <w:szCs w:val="32"/>
                <w:u w:val="none"/>
                <w:lang w:val="en-US" w:eastAsia="zh-CN" w:bidi="ar"/>
              </w:rPr>
              <w:t>项  目  支  出  绩  效  目  标  表</w:t>
            </w:r>
            <w:r>
              <w:rPr>
                <w:rFonts w:hint="eastAsia" w:ascii="宋体" w:hAnsi="宋体" w:cs="宋体"/>
                <w:b/>
                <w:i w:val="0"/>
                <w:color w:val="000000"/>
                <w:kern w:val="0"/>
                <w:sz w:val="32"/>
                <w:szCs w:val="3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4" w:hRule="atLeast"/>
        </w:trPr>
        <w:tc>
          <w:tcPr>
            <w:tcW w:w="834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8" w:hRule="atLeast"/>
        </w:trPr>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68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呼图壁县第四中学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27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2024年寄宿生生活补助（县级配套）（非定额）</w:t>
            </w:r>
          </w:p>
        </w:tc>
        <w:tc>
          <w:tcPr>
            <w:tcW w:w="16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丁新涛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36.54</w:t>
            </w:r>
          </w:p>
        </w:tc>
        <w:tc>
          <w:tcPr>
            <w:tcW w:w="994"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36.54</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94" w:hRule="atLeast"/>
        </w:trPr>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686"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发放寄宿生生活补助，减轻家庭生活经济压力，提高学生学习热情。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76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9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4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79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9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75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7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15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63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享受补助学生人数</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&gt;=1392人</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享受补助月份</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=10月</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补助资金拨付及时率</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年人均补助标准</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=262.5元</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减轻学生家庭经济负担</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不断减轻</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家长满意率</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8" w:hRule="atLeast"/>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学生满意度</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pStyle w:val="2"/>
        <w:rPr>
          <w:rFonts w:hint="eastAsia" w:ascii="仿宋_GB2312" w:hAnsi="仿宋_GB2312" w:eastAsia="仿宋_GB2312" w:cs="仿宋_GB2312"/>
          <w:b/>
          <w:kern w:val="0"/>
          <w:sz w:val="32"/>
          <w:szCs w:val="32"/>
          <w:highlight w:val="none"/>
        </w:rPr>
      </w:pPr>
    </w:p>
    <w:tbl>
      <w:tblPr>
        <w:tblStyle w:val="7"/>
        <w:tblW w:w="85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03"/>
        <w:gridCol w:w="946"/>
        <w:gridCol w:w="1465"/>
        <w:gridCol w:w="650"/>
        <w:gridCol w:w="1043"/>
        <w:gridCol w:w="786"/>
        <w:gridCol w:w="915"/>
        <w:gridCol w:w="1228"/>
        <w:gridCol w:w="6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76" w:hRule="atLeast"/>
        </w:trPr>
        <w:tc>
          <w:tcPr>
            <w:tcW w:w="85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i w:val="0"/>
                <w:color w:val="000000"/>
                <w:sz w:val="32"/>
                <w:szCs w:val="32"/>
                <w:u w:val="none"/>
                <w:lang w:val="en-US"/>
              </w:rPr>
            </w:pPr>
            <w:r>
              <w:rPr>
                <w:rFonts w:hint="eastAsia" w:ascii="宋体" w:hAnsi="宋体" w:eastAsia="宋体" w:cs="宋体"/>
                <w:b/>
                <w:i w:val="0"/>
                <w:color w:val="000000"/>
                <w:kern w:val="0"/>
                <w:sz w:val="32"/>
                <w:szCs w:val="32"/>
                <w:u w:val="none"/>
                <w:lang w:val="en-US" w:eastAsia="zh-CN" w:bidi="ar"/>
              </w:rPr>
              <w:t>项  目  支  出  绩  效  目  标  表</w:t>
            </w:r>
            <w:r>
              <w:rPr>
                <w:rFonts w:hint="eastAsia" w:ascii="宋体" w:hAnsi="宋体" w:cs="宋体"/>
                <w:b/>
                <w:i w:val="0"/>
                <w:color w:val="000000"/>
                <w:kern w:val="0"/>
                <w:sz w:val="32"/>
                <w:szCs w:val="3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7" w:hRule="atLeast"/>
        </w:trPr>
        <w:tc>
          <w:tcPr>
            <w:tcW w:w="85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51"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75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呼图壁县第四中学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9"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2024年自治区教育项目经费（班主任津贴）</w:t>
            </w: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8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丁新涛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9"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4.68</w:t>
            </w:r>
          </w:p>
        </w:tc>
        <w:tc>
          <w:tcPr>
            <w:tcW w:w="1043"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4.68</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8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85" w:hRule="atLeast"/>
        </w:trPr>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751"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落实城乡义务教育生均公用经费基准定额，为义务教育阶段学校正常运转，提高保障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9" w:hRule="atLeast"/>
        </w:trPr>
        <w:tc>
          <w:tcPr>
            <w:tcW w:w="80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4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4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6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78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22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66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9" w:hRule="atLeast"/>
        </w:trPr>
        <w:tc>
          <w:tcPr>
            <w:tcW w:w="8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享受补助班主任人数</w:t>
            </w: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=39人</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9"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班主任补助覆盖率</w:t>
            </w: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9"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班级工作按时完成率</w:t>
            </w: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9"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班级考核达标率</w:t>
            </w: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9"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年人均补助标准</w:t>
            </w: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9"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政策知晓率</w:t>
            </w: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3"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班主任满意率（%）</w:t>
            </w: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pStyle w:val="2"/>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bookmarkStart w:id="0" w:name="_GoBack"/>
      <w:bookmarkEnd w:id="0"/>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呼图壁县第四中学</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B33E14"/>
    <w:multiLevelType w:val="singleLevel"/>
    <w:tmpl w:val="8FB33E14"/>
    <w:lvl w:ilvl="0" w:tentative="0">
      <w:start w:val="2"/>
      <w:numFmt w:val="chineseCounting"/>
      <w:suff w:val="nothing"/>
      <w:lvlText w:val="（%1）"/>
      <w:lvlJc w:val="left"/>
      <w:rPr>
        <w:rFonts w:hint="eastAsia"/>
      </w:rPr>
    </w:lvl>
  </w:abstractNum>
  <w:abstractNum w:abstractNumId="1">
    <w:nsid w:val="AC991E59"/>
    <w:multiLevelType w:val="singleLevel"/>
    <w:tmpl w:val="AC991E59"/>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1E274C3"/>
    <w:rsid w:val="04267B2D"/>
    <w:rsid w:val="05397FD9"/>
    <w:rsid w:val="06D360D3"/>
    <w:rsid w:val="070E6657"/>
    <w:rsid w:val="08450B28"/>
    <w:rsid w:val="0B247F12"/>
    <w:rsid w:val="0D6E5FD0"/>
    <w:rsid w:val="0E281C87"/>
    <w:rsid w:val="0E9208E7"/>
    <w:rsid w:val="0EA87D9E"/>
    <w:rsid w:val="10587512"/>
    <w:rsid w:val="107C46D9"/>
    <w:rsid w:val="10916BDA"/>
    <w:rsid w:val="11637FB2"/>
    <w:rsid w:val="163240DE"/>
    <w:rsid w:val="1697741D"/>
    <w:rsid w:val="1732414C"/>
    <w:rsid w:val="17BB38FE"/>
    <w:rsid w:val="1BEB54C3"/>
    <w:rsid w:val="1C3C6084"/>
    <w:rsid w:val="1CEB6DC6"/>
    <w:rsid w:val="1D3E1AFE"/>
    <w:rsid w:val="1EB61656"/>
    <w:rsid w:val="20DD55C0"/>
    <w:rsid w:val="22DB78DD"/>
    <w:rsid w:val="244D65B8"/>
    <w:rsid w:val="2492221D"/>
    <w:rsid w:val="26B4291F"/>
    <w:rsid w:val="26E769FA"/>
    <w:rsid w:val="28147F85"/>
    <w:rsid w:val="28E05FB8"/>
    <w:rsid w:val="293B2E83"/>
    <w:rsid w:val="2A012DF7"/>
    <w:rsid w:val="2AFC4894"/>
    <w:rsid w:val="2BCE3EC7"/>
    <w:rsid w:val="2D480265"/>
    <w:rsid w:val="2D977453"/>
    <w:rsid w:val="2E536141"/>
    <w:rsid w:val="2EF22236"/>
    <w:rsid w:val="34A33117"/>
    <w:rsid w:val="383A5026"/>
    <w:rsid w:val="3B6B56C2"/>
    <w:rsid w:val="3FDF4D23"/>
    <w:rsid w:val="41224E1F"/>
    <w:rsid w:val="427D45A0"/>
    <w:rsid w:val="43C26223"/>
    <w:rsid w:val="43D8307E"/>
    <w:rsid w:val="46CE3131"/>
    <w:rsid w:val="494F7907"/>
    <w:rsid w:val="4C0055E5"/>
    <w:rsid w:val="4C3677AE"/>
    <w:rsid w:val="4C706B3A"/>
    <w:rsid w:val="513B0341"/>
    <w:rsid w:val="51C15CED"/>
    <w:rsid w:val="52285DEB"/>
    <w:rsid w:val="52AD62F0"/>
    <w:rsid w:val="532025D3"/>
    <w:rsid w:val="546308FE"/>
    <w:rsid w:val="55B91A0E"/>
    <w:rsid w:val="5D167444"/>
    <w:rsid w:val="5F2346ED"/>
    <w:rsid w:val="609E68C2"/>
    <w:rsid w:val="61086613"/>
    <w:rsid w:val="6408782B"/>
    <w:rsid w:val="65322CBF"/>
    <w:rsid w:val="661B7239"/>
    <w:rsid w:val="674F2328"/>
    <w:rsid w:val="68CC52CB"/>
    <w:rsid w:val="68DE4FFE"/>
    <w:rsid w:val="694B58D7"/>
    <w:rsid w:val="69CE4E15"/>
    <w:rsid w:val="6B7F3246"/>
    <w:rsid w:val="6C113920"/>
    <w:rsid w:val="6EF07839"/>
    <w:rsid w:val="6F63000B"/>
    <w:rsid w:val="72A34955"/>
    <w:rsid w:val="72B56DCF"/>
    <w:rsid w:val="75B570E6"/>
    <w:rsid w:val="780A1873"/>
    <w:rsid w:val="787D11B8"/>
    <w:rsid w:val="792C5912"/>
    <w:rsid w:val="7CA9554E"/>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2024-07-31T08:48:57Z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D917EA21CBF94495B4D8526988C86A2D</vt:lpwstr>
  </property>
</Properties>
</file>