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lang w:eastAsia="zh-CN"/>
        </w:rPr>
        <w:t>中国人民政治协商会议新疆维吾尔自治区呼图壁县委员会</w:t>
      </w:r>
      <w:r>
        <w:rPr>
          <w:rFonts w:hint="eastAsia" w:ascii="方正小标宋_GBK" w:hAnsi="宋体" w:eastAsia="方正小标宋_GBK"/>
          <w:kern w:val="0"/>
          <w:sz w:val="44"/>
          <w:szCs w:val="44"/>
          <w:lang w:val="en-US" w:eastAsia="zh-CN"/>
        </w:rPr>
        <w:t>2024年单位</w:t>
      </w:r>
      <w:r>
        <w:rPr>
          <w:rFonts w:hint="eastAsia" w:ascii="方正小标宋_GBK" w:hAnsi="宋体" w:eastAsia="方正小标宋_GBK"/>
          <w:kern w:val="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中国人民政治协商会议新疆维吾尔自治区呼图壁县委员会</w:t>
      </w:r>
      <w:r>
        <w:rPr>
          <w:rFonts w:hint="eastAsia" w:ascii="仿宋_GB2312" w:hAnsi="仿宋_GB2312" w:eastAsia="仿宋_GB2312" w:cs="仿宋_GB2312"/>
          <w:b/>
          <w:kern w:val="0"/>
          <w:sz w:val="32"/>
          <w:szCs w:val="32"/>
        </w:rPr>
        <w:t>单位概况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w:t>
      </w:r>
      <w:r>
        <w:rPr>
          <w:rFonts w:hint="eastAsia" w:ascii="仿宋_GB2312" w:hAnsi="仿宋_GB2312" w:eastAsia="仿宋_GB2312" w:cs="仿宋_GB2312"/>
          <w:b/>
          <w:kern w:val="0"/>
          <w:sz w:val="32"/>
          <w:szCs w:val="32"/>
          <w:lang w:val="en-US" w:eastAsia="zh-CN"/>
        </w:rPr>
        <w:t>4</w:t>
      </w:r>
      <w:r>
        <w:rPr>
          <w:rFonts w:hint="eastAsia" w:ascii="仿宋_GB2312" w:hAnsi="仿宋_GB2312" w:eastAsia="仿宋_GB2312" w:cs="仿宋_GB2312"/>
          <w:b/>
          <w:kern w:val="0"/>
          <w:sz w:val="32"/>
          <w:szCs w:val="32"/>
        </w:rPr>
        <w:t>年单位预算公开表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一、单位收支总体情况表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二、单位收入总体情况表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三、单位支出总体情况表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w:t>
      </w:r>
      <w:r>
        <w:rPr>
          <w:rFonts w:hint="eastAsia" w:ascii="仿宋_GB2312" w:hAnsi="仿宋_GB2312" w:eastAsia="仿宋_GB2312" w:cs="仿宋_GB2312"/>
          <w:b/>
          <w:kern w:val="0"/>
          <w:sz w:val="32"/>
          <w:szCs w:val="32"/>
          <w:lang w:val="en-US" w:eastAsia="zh-CN"/>
        </w:rPr>
        <w:t>4</w:t>
      </w:r>
      <w:r>
        <w:rPr>
          <w:rFonts w:hint="eastAsia" w:ascii="仿宋_GB2312" w:hAnsi="仿宋_GB2312" w:eastAsia="仿宋_GB2312" w:cs="仿宋_GB2312"/>
          <w:b/>
          <w:kern w:val="0"/>
          <w:sz w:val="32"/>
          <w:szCs w:val="32"/>
        </w:rPr>
        <w:t>年单位预算情况说明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bCs/>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spacing w:val="-6"/>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spacing w:val="-6"/>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spacing w:val="-6"/>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kern w:val="0"/>
          <w:sz w:val="32"/>
          <w:szCs w:val="32"/>
          <w:lang w:eastAsia="zh-CN"/>
        </w:rPr>
        <w:t>中国人民政治协商会议新疆维吾尔自治区呼图壁县委员会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lang w:val="en-US" w:eastAsia="zh-CN"/>
        </w:rPr>
        <w:t xml:space="preserve">    </w:t>
      </w:r>
      <w:r>
        <w:rPr>
          <w:rFonts w:hint="eastAsia" w:ascii="仿宋_GB2312" w:hAnsi="宋体" w:eastAsia="仿宋_GB2312" w:cs="宋体"/>
          <w:kern w:val="0"/>
          <w:sz w:val="32"/>
          <w:szCs w:val="32"/>
          <w:lang w:val="en-US" w:eastAsia="zh-CN" w:bidi="ar-SA"/>
        </w:rPr>
        <w:t>工作职能主要是政治协商、民主监督、参政议政。</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pStyle w:val="4"/>
        <w:keepNext w:val="0"/>
        <w:keepLines w:val="0"/>
        <w:pageBreakBefore w:val="0"/>
        <w:widowControl w:val="0"/>
        <w:kinsoku/>
        <w:wordWrap/>
        <w:overflowPunct/>
        <w:topLinePunct w:val="0"/>
        <w:autoSpaceDE/>
        <w:autoSpaceDN/>
        <w:bidi w:val="0"/>
        <w:adjustRightInd/>
        <w:snapToGrid/>
        <w:spacing w:before="149" w:line="560" w:lineRule="exact"/>
        <w:ind w:left="669" w:firstLine="640" w:firstLineChars="200"/>
        <w:textAlignment w:val="auto"/>
        <w:rPr>
          <w:rFonts w:hint="eastAsia" w:ascii="仿宋_GB2312" w:hAnsi="宋体" w:eastAsia="仿宋_GB2312" w:cs="宋体"/>
          <w:kern w:val="0"/>
          <w:sz w:val="32"/>
          <w:szCs w:val="32"/>
          <w:lang w:val="en-US" w:eastAsia="zh-CN" w:bidi="ar-SA"/>
        </w:rPr>
      </w:pPr>
      <w:r>
        <w:rPr>
          <w:rFonts w:hint="eastAsia" w:ascii="仿宋_GB2312" w:eastAsia="仿宋_GB2312" w:cs="宋体"/>
          <w:kern w:val="0"/>
          <w:sz w:val="32"/>
          <w:szCs w:val="32"/>
          <w:lang w:val="en-US" w:eastAsia="zh-CN" w:bidi="ar-SA"/>
        </w:rPr>
        <w:t>中国人民政治协商会议新疆维吾尔自治区呼图壁县委员会</w:t>
      </w:r>
      <w:r>
        <w:rPr>
          <w:rFonts w:hint="eastAsia" w:ascii="仿宋_GB2312" w:hAnsi="宋体" w:eastAsia="仿宋_GB2312" w:cs="宋体"/>
          <w:kern w:val="0"/>
          <w:sz w:val="32"/>
          <w:szCs w:val="32"/>
          <w:lang w:val="en-US" w:eastAsia="zh-CN" w:bidi="ar-SA"/>
        </w:rPr>
        <w:t>无下属预算单位，下设4个处室，分别是：办公室、经济科技专委会、教卫文体专委会、提案法制专委会。</w:t>
      </w:r>
    </w:p>
    <w:p>
      <w:pPr>
        <w:pStyle w:val="4"/>
        <w:keepNext w:val="0"/>
        <w:keepLines w:val="0"/>
        <w:pageBreakBefore w:val="0"/>
        <w:widowControl w:val="0"/>
        <w:kinsoku/>
        <w:wordWrap/>
        <w:overflowPunct/>
        <w:topLinePunct w:val="0"/>
        <w:autoSpaceDE/>
        <w:autoSpaceDN/>
        <w:bidi w:val="0"/>
        <w:adjustRightInd/>
        <w:snapToGrid/>
        <w:spacing w:before="149" w:line="560" w:lineRule="exact"/>
        <w:ind w:left="669" w:firstLine="640" w:firstLineChars="200"/>
        <w:textAlignment w:val="auto"/>
        <w:sectPr>
          <w:footerReference r:id="rId4" w:type="default"/>
          <w:pgSz w:w="11910" w:h="16840"/>
          <w:pgMar w:top="1580" w:right="1000" w:bottom="1540" w:left="920" w:header="0" w:footer="1340" w:gutter="0"/>
          <w:pgNumType w:start="1"/>
          <w:cols w:space="720" w:num="1"/>
        </w:sectPr>
      </w:pPr>
      <w:r>
        <w:rPr>
          <w:rFonts w:hint="eastAsia" w:ascii="仿宋_GB2312" w:eastAsia="仿宋_GB2312" w:cs="宋体"/>
          <w:kern w:val="0"/>
          <w:sz w:val="32"/>
          <w:szCs w:val="32"/>
          <w:lang w:val="en-US" w:eastAsia="zh-CN" w:bidi="ar-SA"/>
        </w:rPr>
        <w:t>中国人民政治协商会议新疆维吾尔自治区呼图壁县委员会</w:t>
      </w:r>
      <w:r>
        <w:rPr>
          <w:rFonts w:hint="eastAsia" w:ascii="仿宋_GB2312" w:hAnsi="宋体" w:eastAsia="仿宋_GB2312" w:cs="宋体"/>
          <w:kern w:val="0"/>
          <w:sz w:val="32"/>
          <w:szCs w:val="32"/>
          <w:lang w:val="en-US" w:eastAsia="zh-CN" w:bidi="ar-SA"/>
        </w:rPr>
        <w:t>编制数 1</w:t>
      </w:r>
      <w:r>
        <w:rPr>
          <w:rFonts w:hint="eastAsia" w:ascii="仿宋_GB2312" w:eastAsia="仿宋_GB2312" w:cs="宋体"/>
          <w:kern w:val="0"/>
          <w:sz w:val="32"/>
          <w:szCs w:val="32"/>
          <w:lang w:val="en-US" w:eastAsia="zh-CN" w:bidi="ar-SA"/>
        </w:rPr>
        <w:t>6个</w:t>
      </w:r>
      <w:r>
        <w:rPr>
          <w:rFonts w:hint="eastAsia" w:ascii="仿宋_GB2312" w:hAnsi="宋体" w:eastAsia="仿宋_GB2312" w:cs="宋体"/>
          <w:kern w:val="0"/>
          <w:sz w:val="32"/>
          <w:szCs w:val="32"/>
          <w:lang w:val="en-US" w:eastAsia="zh-CN" w:bidi="ar-SA"/>
        </w:rPr>
        <w:t>，实有人数 3</w:t>
      </w:r>
      <w:r>
        <w:rPr>
          <w:rFonts w:hint="eastAsia" w:ascii="仿宋_GB2312" w:eastAsia="仿宋_GB2312" w:cs="宋体"/>
          <w:kern w:val="0"/>
          <w:sz w:val="32"/>
          <w:szCs w:val="32"/>
          <w:lang w:val="en-US" w:eastAsia="zh-CN" w:bidi="ar-SA"/>
        </w:rPr>
        <w:t>2</w:t>
      </w:r>
      <w:r>
        <w:rPr>
          <w:rFonts w:hint="eastAsia" w:ascii="仿宋_GB2312" w:hAnsi="宋体" w:eastAsia="仿宋_GB2312" w:cs="宋体"/>
          <w:kern w:val="0"/>
          <w:sz w:val="32"/>
          <w:szCs w:val="32"/>
          <w:lang w:val="en-US" w:eastAsia="zh-CN" w:bidi="ar-SA"/>
        </w:rPr>
        <w:t>人，其中：在职 1</w:t>
      </w:r>
      <w:r>
        <w:rPr>
          <w:rFonts w:hint="eastAsia" w:ascii="仿宋_GB2312" w:eastAsia="仿宋_GB2312" w:cs="宋体"/>
          <w:kern w:val="0"/>
          <w:sz w:val="32"/>
          <w:szCs w:val="32"/>
          <w:lang w:val="en-US" w:eastAsia="zh-CN" w:bidi="ar-SA"/>
        </w:rPr>
        <w:t>7</w:t>
      </w:r>
      <w:r>
        <w:rPr>
          <w:rFonts w:hint="eastAsia" w:ascii="仿宋_GB2312" w:hAnsi="宋体" w:eastAsia="仿宋_GB2312" w:cs="宋体"/>
          <w:kern w:val="0"/>
          <w:sz w:val="32"/>
          <w:szCs w:val="32"/>
          <w:lang w:val="en-US" w:eastAsia="zh-CN" w:bidi="ar-SA"/>
        </w:rPr>
        <w:t>人，增加 0人</w:t>
      </w:r>
      <w:r>
        <w:rPr>
          <w:rFonts w:hint="eastAsia" w:ascii="仿宋_GB2312" w:eastAsia="仿宋_GB2312" w:cs="宋体"/>
          <w:kern w:val="0"/>
          <w:sz w:val="32"/>
          <w:szCs w:val="32"/>
          <w:lang w:val="en-US" w:eastAsia="zh-CN" w:bidi="ar-SA"/>
        </w:rPr>
        <w:t>；</w:t>
      </w:r>
      <w:r>
        <w:rPr>
          <w:rFonts w:hint="eastAsia" w:ascii="仿宋_GB2312" w:hAnsi="宋体" w:eastAsia="仿宋_GB2312" w:cs="宋体"/>
          <w:kern w:val="0"/>
          <w:sz w:val="32"/>
          <w:szCs w:val="32"/>
          <w:lang w:val="en-US" w:eastAsia="zh-CN" w:bidi="ar-SA"/>
        </w:rPr>
        <w:t>退休 1</w:t>
      </w:r>
      <w:r>
        <w:rPr>
          <w:rFonts w:hint="eastAsia" w:ascii="仿宋_GB2312" w:eastAsia="仿宋_GB2312" w:cs="宋体"/>
          <w:kern w:val="0"/>
          <w:sz w:val="32"/>
          <w:szCs w:val="32"/>
          <w:lang w:val="en-US" w:eastAsia="zh-CN" w:bidi="ar-SA"/>
        </w:rPr>
        <w:t>5</w:t>
      </w:r>
      <w:r>
        <w:rPr>
          <w:rFonts w:hint="eastAsia" w:ascii="仿宋_GB2312" w:hAnsi="宋体" w:eastAsia="仿宋_GB2312" w:cs="宋体"/>
          <w:kern w:val="0"/>
          <w:sz w:val="32"/>
          <w:szCs w:val="32"/>
          <w:lang w:val="en-US" w:eastAsia="zh-CN" w:bidi="ar-SA"/>
        </w:rPr>
        <w:t xml:space="preserve"> 人，增加 0 人；离休 0 人，增加 0 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left"/>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单位：万元                         </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679.39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463.14</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469.39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464.39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111.31</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37.52</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210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210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67.42</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color w:val="auto"/>
                <w:kern w:val="0"/>
                <w:sz w:val="18"/>
                <w:szCs w:val="18"/>
                <w:highlight w:val="none"/>
                <w:lang w:val="en-US" w:eastAsia="zh-CN"/>
              </w:rPr>
              <w:t>679.39</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679.39</w:t>
            </w:r>
            <w:r>
              <w:rPr>
                <w:rFonts w:hint="eastAsia" w:ascii="仿宋_GB2312" w:hAnsi="宋体" w:eastAsia="仿宋_GB2312" w:cs="宋体"/>
                <w:color w:val="auto"/>
                <w:kern w:val="0"/>
                <w:sz w:val="18"/>
                <w:szCs w:val="18"/>
                <w:highlight w:val="none"/>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highlight w:val="none"/>
        </w:rPr>
        <w:t xml:space="preserve">    单位：万元                                    </w:t>
      </w:r>
    </w:p>
    <w:tbl>
      <w:tblPr>
        <w:tblStyle w:val="8"/>
        <w:tblW w:w="9660" w:type="dxa"/>
        <w:tblInd w:w="-450" w:type="dxa"/>
        <w:tblLayout w:type="fixed"/>
        <w:tblCellMar>
          <w:top w:w="0" w:type="dxa"/>
          <w:left w:w="108" w:type="dxa"/>
          <w:bottom w:w="0" w:type="dxa"/>
          <w:right w:w="108" w:type="dxa"/>
        </w:tblCellMar>
      </w:tblPr>
      <w:tblGrid>
        <w:gridCol w:w="596"/>
        <w:gridCol w:w="491"/>
        <w:gridCol w:w="491"/>
        <w:gridCol w:w="982"/>
        <w:gridCol w:w="831"/>
        <w:gridCol w:w="832"/>
        <w:gridCol w:w="818"/>
        <w:gridCol w:w="628"/>
        <w:gridCol w:w="395"/>
        <w:gridCol w:w="668"/>
        <w:gridCol w:w="437"/>
        <w:gridCol w:w="627"/>
        <w:gridCol w:w="450"/>
        <w:gridCol w:w="600"/>
        <w:gridCol w:w="450"/>
        <w:gridCol w:w="364"/>
      </w:tblGrid>
      <w:tr>
        <w:tblPrEx>
          <w:tblLayout w:type="fixed"/>
          <w:tblCellMar>
            <w:top w:w="0" w:type="dxa"/>
            <w:left w:w="108" w:type="dxa"/>
            <w:bottom w:w="0" w:type="dxa"/>
            <w:right w:w="108" w:type="dxa"/>
          </w:tblCellMar>
        </w:tblPrEx>
        <w:trPr>
          <w:trHeight w:val="697" w:hRule="atLeast"/>
        </w:trPr>
        <w:tc>
          <w:tcPr>
            <w:tcW w:w="157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功能分类科目编码</w:t>
            </w:r>
          </w:p>
        </w:tc>
        <w:tc>
          <w:tcPr>
            <w:tcW w:w="98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功能分类科目名称</w:t>
            </w:r>
          </w:p>
        </w:tc>
        <w:tc>
          <w:tcPr>
            <w:tcW w:w="83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18"/>
                <w:szCs w:val="18"/>
                <w:highlight w:val="none"/>
              </w:rPr>
            </w:pPr>
            <w:r>
              <w:rPr>
                <w:rFonts w:hint="eastAsia" w:ascii="仿宋_GB2312" w:eastAsia="仿宋_GB2312"/>
                <w:b/>
                <w:bCs w:val="0"/>
                <w:color w:val="auto"/>
                <w:sz w:val="18"/>
                <w:szCs w:val="18"/>
                <w:highlight w:val="none"/>
              </w:rPr>
              <w:t>总  计</w:t>
            </w:r>
          </w:p>
        </w:tc>
        <w:tc>
          <w:tcPr>
            <w:tcW w:w="440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18"/>
                <w:szCs w:val="18"/>
                <w:highlight w:val="none"/>
              </w:rPr>
            </w:pPr>
            <w:r>
              <w:rPr>
                <w:rFonts w:hint="eastAsia" w:ascii="仿宋_GB2312" w:hAnsi="宋体" w:eastAsia="仿宋_GB2312" w:cs="宋体"/>
                <w:b/>
                <w:bCs w:val="0"/>
                <w:color w:val="auto"/>
                <w:sz w:val="18"/>
                <w:szCs w:val="18"/>
                <w:highlight w:val="none"/>
              </w:rPr>
              <w:t>财  政  拨  款  (  补  助  )</w:t>
            </w:r>
          </w:p>
        </w:tc>
        <w:tc>
          <w:tcPr>
            <w:tcW w:w="4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18"/>
                <w:szCs w:val="18"/>
                <w:highlight w:val="none"/>
              </w:rPr>
            </w:pPr>
            <w:r>
              <w:rPr>
                <w:rFonts w:hint="eastAsia" w:ascii="仿宋_GB2312" w:eastAsia="仿宋_GB2312"/>
                <w:b/>
                <w:bCs w:val="0"/>
                <w:color w:val="auto"/>
                <w:sz w:val="18"/>
                <w:szCs w:val="18"/>
                <w:highlight w:val="none"/>
              </w:rPr>
              <w:t>财政专户（教育收费）</w:t>
            </w:r>
          </w:p>
        </w:tc>
        <w:tc>
          <w:tcPr>
            <w:tcW w:w="6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8"/>
                <w:szCs w:val="18"/>
                <w:highlight w:val="none"/>
              </w:rPr>
            </w:pPr>
            <w:r>
              <w:rPr>
                <w:rFonts w:hint="eastAsia" w:ascii="仿宋_GB2312" w:eastAsia="仿宋_GB2312"/>
                <w:b/>
                <w:color w:val="auto"/>
                <w:sz w:val="18"/>
                <w:szCs w:val="18"/>
                <w:highlight w:val="none"/>
              </w:rPr>
              <w:t>单位资金</w:t>
            </w:r>
          </w:p>
        </w:tc>
        <w:tc>
          <w:tcPr>
            <w:tcW w:w="4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8"/>
                <w:szCs w:val="18"/>
                <w:highlight w:val="none"/>
              </w:rPr>
            </w:pPr>
            <w:r>
              <w:rPr>
                <w:rFonts w:hint="eastAsia" w:ascii="仿宋_GB2312" w:eastAsia="仿宋_GB2312"/>
                <w:b/>
                <w:color w:val="auto"/>
                <w:sz w:val="18"/>
                <w:szCs w:val="18"/>
                <w:highlight w:val="none"/>
              </w:rPr>
              <w:t>财政拨款结转</w:t>
            </w:r>
          </w:p>
        </w:tc>
        <w:tc>
          <w:tcPr>
            <w:tcW w:w="36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8"/>
                <w:szCs w:val="18"/>
                <w:highlight w:val="none"/>
              </w:rPr>
            </w:pPr>
            <w:r>
              <w:rPr>
                <w:rFonts w:hint="eastAsia" w:ascii="仿宋_GB2312" w:eastAsia="仿宋_GB2312"/>
                <w:b/>
                <w:color w:val="auto"/>
                <w:sz w:val="18"/>
                <w:szCs w:val="18"/>
                <w:highlight w:val="none"/>
              </w:rPr>
              <w:t>非财政拨款结转结余</w:t>
            </w:r>
          </w:p>
        </w:tc>
      </w:tr>
      <w:tr>
        <w:tblPrEx>
          <w:tblLayout w:type="fixed"/>
          <w:tblCellMar>
            <w:top w:w="0" w:type="dxa"/>
            <w:left w:w="108" w:type="dxa"/>
            <w:bottom w:w="0" w:type="dxa"/>
            <w:right w:w="108" w:type="dxa"/>
          </w:tblCellMar>
        </w:tblPrEx>
        <w:trPr>
          <w:trHeight w:val="2279" w:hRule="atLeast"/>
        </w:trPr>
        <w:tc>
          <w:tcPr>
            <w:tcW w:w="596"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18"/>
                <w:szCs w:val="18"/>
                <w:highlight w:val="none"/>
                <w:lang w:val="en-US" w:eastAsia="zh-Hans"/>
              </w:rPr>
            </w:pPr>
            <w:r>
              <w:rPr>
                <w:rFonts w:hint="eastAsia" w:ascii="仿宋_GB2312" w:eastAsia="仿宋_GB2312"/>
                <w:b/>
                <w:color w:val="auto"/>
                <w:sz w:val="18"/>
                <w:szCs w:val="18"/>
                <w:highlight w:val="none"/>
                <w:lang w:val="en-US" w:eastAsia="zh-Hans"/>
              </w:rPr>
              <w:t>类</w:t>
            </w:r>
          </w:p>
        </w:tc>
        <w:tc>
          <w:tcPr>
            <w:tcW w:w="491"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8"/>
                <w:szCs w:val="18"/>
                <w:highlight w:val="none"/>
                <w:lang w:val="en-US" w:eastAsia="zh-Hans"/>
              </w:rPr>
            </w:pPr>
            <w:r>
              <w:rPr>
                <w:rFonts w:hint="eastAsia" w:ascii="仿宋_GB2312" w:eastAsia="仿宋_GB2312"/>
                <w:b/>
                <w:color w:val="auto"/>
                <w:sz w:val="18"/>
                <w:szCs w:val="18"/>
                <w:highlight w:val="none"/>
                <w:lang w:val="en-US" w:eastAsia="zh-Hans"/>
              </w:rPr>
              <w:t>款</w:t>
            </w:r>
          </w:p>
        </w:tc>
        <w:tc>
          <w:tcPr>
            <w:tcW w:w="491"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8"/>
                <w:szCs w:val="18"/>
                <w:highlight w:val="none"/>
                <w:lang w:val="en-US" w:eastAsia="zh-Hans"/>
              </w:rPr>
            </w:pPr>
            <w:r>
              <w:rPr>
                <w:rFonts w:hint="eastAsia" w:ascii="仿宋_GB2312" w:eastAsia="仿宋_GB2312"/>
                <w:b/>
                <w:color w:val="auto"/>
                <w:sz w:val="18"/>
                <w:szCs w:val="18"/>
                <w:highlight w:val="none"/>
                <w:lang w:val="en-US" w:eastAsia="zh-Hans"/>
              </w:rPr>
              <w:t>项</w:t>
            </w:r>
          </w:p>
        </w:tc>
        <w:tc>
          <w:tcPr>
            <w:tcW w:w="98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83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83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财政拨款(补助)小计</w:t>
            </w:r>
          </w:p>
        </w:tc>
        <w:tc>
          <w:tcPr>
            <w:tcW w:w="81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一般公共预算</w:t>
            </w:r>
          </w:p>
        </w:tc>
        <w:tc>
          <w:tcPr>
            <w:tcW w:w="62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上级一般公共预算安排的转移支付</w:t>
            </w:r>
          </w:p>
        </w:tc>
        <w:tc>
          <w:tcPr>
            <w:tcW w:w="3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政府性基金预算</w:t>
            </w:r>
          </w:p>
        </w:tc>
        <w:tc>
          <w:tcPr>
            <w:tcW w:w="66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上级政府性基金安排的转移支付</w:t>
            </w:r>
          </w:p>
        </w:tc>
        <w:tc>
          <w:tcPr>
            <w:tcW w:w="43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国有资本经营预算</w:t>
            </w:r>
          </w:p>
        </w:tc>
        <w:tc>
          <w:tcPr>
            <w:tcW w:w="62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上级国有资本经营预算安排的转移支付</w:t>
            </w:r>
          </w:p>
        </w:tc>
        <w:tc>
          <w:tcPr>
            <w:tcW w:w="4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6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4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36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shd w:val="clear" w:color="auto" w:fill="auto"/>
            <w:noWrap w:val="0"/>
            <w:vAlign w:val="center"/>
          </w:tcPr>
          <w:p>
            <w:pPr>
              <w:pStyle w:val="13"/>
              <w:ind w:right="127" w:rightChars="0"/>
              <w:jc w:val="center"/>
              <w:rPr>
                <w:rFonts w:hint="eastAsia" w:ascii="宋体" w:hAnsi="宋体" w:eastAsia="宋体" w:cs="宋体"/>
                <w:kern w:val="2"/>
                <w:sz w:val="16"/>
                <w:szCs w:val="16"/>
                <w:lang w:val="en-US"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shd w:val="clear" w:color="auto" w:fill="auto"/>
            <w:noWrap w:val="0"/>
            <w:vAlign w:val="center"/>
          </w:tcPr>
          <w:p>
            <w:pPr>
              <w:pStyle w:val="13"/>
              <w:ind w:left="91" w:leftChars="0" w:right="84" w:rightChars="0"/>
              <w:jc w:val="center"/>
              <w:rPr>
                <w:rFonts w:ascii="宋体" w:hAnsi="宋体" w:eastAsia="宋体" w:cs="宋体"/>
                <w:kern w:val="2"/>
                <w:sz w:val="16"/>
                <w:szCs w:val="16"/>
                <w:lang w:val="zh-CN" w:eastAsia="zh-CN" w:bidi="zh-CN"/>
              </w:rPr>
            </w:pPr>
          </w:p>
        </w:tc>
        <w:tc>
          <w:tcPr>
            <w:tcW w:w="491" w:type="dxa"/>
            <w:tcBorders>
              <w:top w:val="nil"/>
              <w:left w:val="nil"/>
              <w:bottom w:val="single" w:color="auto" w:sz="4" w:space="0"/>
              <w:right w:val="single" w:color="auto" w:sz="4" w:space="0"/>
            </w:tcBorders>
            <w:shd w:val="clear" w:color="auto" w:fill="auto"/>
            <w:noWrap w:val="0"/>
            <w:vAlign w:val="center"/>
          </w:tcPr>
          <w:p>
            <w:pPr>
              <w:pStyle w:val="13"/>
              <w:ind w:left="100" w:leftChars="0" w:right="90" w:rightChars="0"/>
              <w:jc w:val="center"/>
              <w:rPr>
                <w:rFonts w:ascii="宋体" w:hAnsi="宋体" w:eastAsia="宋体" w:cs="宋体"/>
                <w:kern w:val="2"/>
                <w:sz w:val="16"/>
                <w:szCs w:val="16"/>
                <w:lang w:val="zh-CN" w:eastAsia="zh-CN" w:bidi="zh-CN"/>
              </w:rPr>
            </w:pPr>
          </w:p>
        </w:tc>
        <w:tc>
          <w:tcPr>
            <w:tcW w:w="982" w:type="dxa"/>
            <w:tcBorders>
              <w:top w:val="nil"/>
              <w:left w:val="nil"/>
              <w:bottom w:val="single" w:color="auto" w:sz="4" w:space="0"/>
              <w:right w:val="single" w:color="auto" w:sz="4" w:space="0"/>
            </w:tcBorders>
            <w:shd w:val="clear" w:color="auto" w:fill="auto"/>
            <w:noWrap w:val="0"/>
            <w:vAlign w:val="top"/>
          </w:tcPr>
          <w:p>
            <w:pPr>
              <w:pStyle w:val="13"/>
              <w:rPr>
                <w:rFonts w:hint="eastAsia" w:ascii="宋体" w:hAnsi="宋体" w:eastAsia="宋体" w:cs="宋体"/>
                <w:kern w:val="2"/>
                <w:sz w:val="16"/>
                <w:szCs w:val="16"/>
                <w:lang w:val="zh-CN" w:eastAsia="zh-CN" w:bidi="zh-CN"/>
              </w:rPr>
            </w:pPr>
            <w:r>
              <w:rPr>
                <w:rFonts w:hint="eastAsia"/>
                <w:sz w:val="16"/>
                <w:szCs w:val="16"/>
                <w:lang w:eastAsia="zh-CN"/>
              </w:rPr>
              <w:t>一般公共服务支出</w:t>
            </w:r>
          </w:p>
        </w:tc>
        <w:tc>
          <w:tcPr>
            <w:tcW w:w="831" w:type="dxa"/>
            <w:tcBorders>
              <w:top w:val="nil"/>
              <w:left w:val="nil"/>
              <w:bottom w:val="single" w:color="auto" w:sz="4" w:space="0"/>
              <w:right w:val="single" w:color="auto" w:sz="4" w:space="0"/>
            </w:tcBorders>
            <w:shd w:val="clear" w:color="000000" w:fill="auto"/>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463.14</w:t>
            </w:r>
          </w:p>
        </w:tc>
        <w:tc>
          <w:tcPr>
            <w:tcW w:w="832" w:type="dxa"/>
            <w:tcBorders>
              <w:top w:val="nil"/>
              <w:left w:val="nil"/>
              <w:bottom w:val="single" w:color="auto" w:sz="4" w:space="0"/>
              <w:right w:val="single" w:color="auto" w:sz="4" w:space="0"/>
            </w:tcBorders>
            <w:shd w:val="clear" w:color="000000" w:fill="auto"/>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373.14</w:t>
            </w:r>
          </w:p>
        </w:tc>
        <w:tc>
          <w:tcPr>
            <w:tcW w:w="818" w:type="dxa"/>
            <w:tcBorders>
              <w:top w:val="nil"/>
              <w:left w:val="nil"/>
              <w:bottom w:val="single" w:color="auto" w:sz="4" w:space="0"/>
              <w:right w:val="single" w:color="auto" w:sz="4" w:space="0"/>
            </w:tcBorders>
            <w:shd w:val="clear" w:color="000000" w:fill="auto"/>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373.14</w:t>
            </w:r>
          </w:p>
        </w:tc>
        <w:tc>
          <w:tcPr>
            <w:tcW w:w="628" w:type="dxa"/>
            <w:tcBorders>
              <w:top w:val="nil"/>
              <w:left w:val="nil"/>
              <w:bottom w:val="single" w:color="auto" w:sz="4" w:space="0"/>
              <w:right w:val="single" w:color="auto" w:sz="4" w:space="0"/>
            </w:tcBorders>
            <w:shd w:val="clear" w:color="000000" w:fill="auto"/>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395" w:type="dxa"/>
            <w:tcBorders>
              <w:top w:val="nil"/>
              <w:left w:val="nil"/>
              <w:bottom w:val="single" w:color="auto" w:sz="4" w:space="0"/>
              <w:right w:val="single" w:color="auto" w:sz="4" w:space="0"/>
            </w:tcBorders>
            <w:shd w:val="clear" w:color="000000" w:fill="auto"/>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shd w:val="clear" w:color="000000" w:fill="auto"/>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shd w:val="clear" w:color="000000" w:fill="auto"/>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shd w:val="clear" w:color="000000" w:fill="auto"/>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shd w:val="clear" w:color="000000" w:fill="auto"/>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shd w:val="clear" w:color="000000" w:fill="auto"/>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90</w:t>
            </w:r>
          </w:p>
        </w:tc>
        <w:tc>
          <w:tcPr>
            <w:tcW w:w="450" w:type="dxa"/>
            <w:tcBorders>
              <w:top w:val="nil"/>
              <w:left w:val="single" w:color="auto" w:sz="4" w:space="0"/>
              <w:bottom w:val="single" w:color="auto" w:sz="4" w:space="0"/>
              <w:right w:val="single" w:color="auto" w:sz="4" w:space="0"/>
            </w:tcBorders>
            <w:shd w:val="clear" w:color="000000" w:fill="auto"/>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shd w:val="clear" w:color="000000" w:fill="auto"/>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70"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noWrap w:val="0"/>
            <w:vAlign w:val="center"/>
          </w:tcPr>
          <w:p>
            <w:pPr>
              <w:pStyle w:val="13"/>
              <w:ind w:right="83" w:rightChars="0"/>
              <w:jc w:val="center"/>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02</w:t>
            </w:r>
          </w:p>
        </w:tc>
        <w:tc>
          <w:tcPr>
            <w:tcW w:w="491" w:type="dxa"/>
            <w:tcBorders>
              <w:top w:val="nil"/>
              <w:left w:val="nil"/>
              <w:bottom w:val="single" w:color="auto" w:sz="4" w:space="0"/>
              <w:right w:val="single" w:color="auto" w:sz="4" w:space="0"/>
            </w:tcBorders>
            <w:noWrap w:val="0"/>
            <w:vAlign w:val="center"/>
          </w:tcPr>
          <w:p>
            <w:pPr>
              <w:pStyle w:val="13"/>
              <w:ind w:left="100" w:leftChars="0" w:right="90" w:rightChars="0"/>
              <w:jc w:val="center"/>
              <w:rPr>
                <w:rFonts w:ascii="宋体" w:hAnsi="宋体" w:eastAsia="宋体" w:cs="宋体"/>
                <w:kern w:val="2"/>
                <w:sz w:val="16"/>
                <w:szCs w:val="16"/>
                <w:lang w:val="zh-CN" w:eastAsia="zh-CN" w:bidi="zh-CN"/>
              </w:rPr>
            </w:pPr>
          </w:p>
        </w:tc>
        <w:tc>
          <w:tcPr>
            <w:tcW w:w="982" w:type="dxa"/>
            <w:tcBorders>
              <w:top w:val="nil"/>
              <w:left w:val="nil"/>
              <w:bottom w:val="single" w:color="auto" w:sz="4" w:space="0"/>
              <w:right w:val="single" w:color="auto" w:sz="4" w:space="0"/>
            </w:tcBorders>
            <w:noWrap w:val="0"/>
            <w:vAlign w:val="top"/>
          </w:tcPr>
          <w:p>
            <w:pPr>
              <w:pStyle w:val="13"/>
              <w:rPr>
                <w:rFonts w:hint="eastAsia" w:ascii="宋体" w:hAnsi="宋体" w:eastAsia="宋体" w:cs="宋体"/>
                <w:kern w:val="2"/>
                <w:sz w:val="16"/>
                <w:szCs w:val="16"/>
                <w:lang w:val="zh-CN" w:eastAsia="zh-CN" w:bidi="zh-CN"/>
              </w:rPr>
            </w:pPr>
            <w:r>
              <w:rPr>
                <w:rFonts w:hint="eastAsia"/>
                <w:sz w:val="16"/>
                <w:szCs w:val="16"/>
                <w:lang w:eastAsia="zh-CN"/>
              </w:rPr>
              <w:t>政协事务</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463.14</w:t>
            </w:r>
          </w:p>
        </w:tc>
        <w:tc>
          <w:tcPr>
            <w:tcW w:w="83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373.14</w:t>
            </w:r>
          </w:p>
        </w:tc>
        <w:tc>
          <w:tcPr>
            <w:tcW w:w="81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373.14</w:t>
            </w: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5</w:t>
            </w: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90</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56"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6"/>
                <w:szCs w:val="16"/>
                <w:lang w:val="zh-CN" w:eastAsia="zh-CN" w:bidi="zh-CN"/>
              </w:rPr>
            </w:pPr>
            <w:r>
              <w:rPr>
                <w:rFonts w:hint="eastAsia" w:ascii="宋体" w:hAnsi="宋体" w:eastAsia="宋体" w:cs="宋体"/>
                <w:kern w:val="2"/>
                <w:sz w:val="16"/>
                <w:szCs w:val="16"/>
                <w:lang w:val="en-US" w:eastAsia="zh-CN" w:bidi="zh-CN"/>
              </w:rPr>
              <w:t>02</w:t>
            </w:r>
          </w:p>
        </w:tc>
        <w:tc>
          <w:tcPr>
            <w:tcW w:w="491" w:type="dxa"/>
            <w:tcBorders>
              <w:top w:val="nil"/>
              <w:left w:val="nil"/>
              <w:bottom w:val="single" w:color="auto" w:sz="4" w:space="0"/>
              <w:right w:val="single" w:color="auto" w:sz="4" w:space="0"/>
            </w:tcBorders>
            <w:noWrap w:val="0"/>
            <w:vAlign w:val="center"/>
          </w:tcPr>
          <w:p>
            <w:pPr>
              <w:pStyle w:val="13"/>
              <w:ind w:right="90" w:rightChars="0"/>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01</w:t>
            </w:r>
            <w:r>
              <w:rPr>
                <w:rFonts w:hint="eastAsia" w:cs="宋体"/>
                <w:kern w:val="2"/>
                <w:sz w:val="16"/>
                <w:szCs w:val="16"/>
                <w:lang w:val="en-US" w:eastAsia="zh-CN" w:bidi="zh-CN"/>
              </w:rPr>
              <w:t xml:space="preserve">  </w:t>
            </w:r>
          </w:p>
        </w:tc>
        <w:tc>
          <w:tcPr>
            <w:tcW w:w="982" w:type="dxa"/>
            <w:tcBorders>
              <w:top w:val="nil"/>
              <w:left w:val="nil"/>
              <w:bottom w:val="single" w:color="auto" w:sz="4" w:space="0"/>
              <w:right w:val="single" w:color="auto" w:sz="4" w:space="0"/>
            </w:tcBorders>
            <w:noWrap w:val="0"/>
            <w:vAlign w:val="top"/>
          </w:tcPr>
          <w:p>
            <w:pPr>
              <w:pStyle w:val="13"/>
              <w:spacing w:before="3" w:line="253" w:lineRule="exact"/>
              <w:rPr>
                <w:rFonts w:ascii="宋体" w:hAnsi="宋体" w:eastAsia="宋体" w:cs="宋体"/>
                <w:kern w:val="2"/>
                <w:sz w:val="16"/>
                <w:szCs w:val="16"/>
                <w:lang w:val="zh-CN" w:eastAsia="zh-CN" w:bidi="zh-CN"/>
              </w:rPr>
            </w:pPr>
            <w:r>
              <w:rPr>
                <w:sz w:val="16"/>
                <w:szCs w:val="16"/>
              </w:rPr>
              <w:t>行政运行</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440.14</w:t>
            </w:r>
          </w:p>
        </w:tc>
        <w:tc>
          <w:tcPr>
            <w:tcW w:w="83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350.14</w:t>
            </w:r>
          </w:p>
        </w:tc>
        <w:tc>
          <w:tcPr>
            <w:tcW w:w="81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350.14</w:t>
            </w: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90</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56"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6"/>
                <w:szCs w:val="16"/>
                <w:lang w:val="zh-CN" w:eastAsia="zh-CN" w:bidi="zh-CN"/>
              </w:rPr>
            </w:pPr>
            <w:r>
              <w:rPr>
                <w:rFonts w:hint="eastAsia" w:ascii="宋体" w:hAnsi="宋体" w:eastAsia="宋体" w:cs="宋体"/>
                <w:kern w:val="2"/>
                <w:sz w:val="16"/>
                <w:szCs w:val="16"/>
                <w:lang w:val="en-US" w:eastAsia="zh-CN" w:bidi="zh-CN"/>
              </w:rPr>
              <w:t>02</w:t>
            </w:r>
          </w:p>
        </w:tc>
        <w:tc>
          <w:tcPr>
            <w:tcW w:w="491"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eastAsia" w:ascii="宋体" w:hAnsi="宋体" w:eastAsia="宋体" w:cs="宋体"/>
                <w:kern w:val="2"/>
                <w:sz w:val="16"/>
                <w:szCs w:val="16"/>
                <w:lang w:val="zh-CN" w:eastAsia="zh-CN" w:bidi="zh-CN"/>
              </w:rPr>
            </w:pPr>
            <w:r>
              <w:rPr>
                <w:rFonts w:hint="eastAsia" w:ascii="宋体" w:hAnsi="宋体" w:eastAsia="宋体" w:cs="宋体"/>
                <w:kern w:val="2"/>
                <w:sz w:val="16"/>
                <w:szCs w:val="16"/>
                <w:lang w:val="zh-CN" w:eastAsia="zh-CN" w:bidi="zh-CN"/>
              </w:rPr>
              <w:t>04</w:t>
            </w:r>
          </w:p>
        </w:tc>
        <w:tc>
          <w:tcPr>
            <w:tcW w:w="982"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sz w:val="16"/>
                <w:szCs w:val="16"/>
              </w:rPr>
              <w:t>政协会议</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w:t>
            </w:r>
          </w:p>
        </w:tc>
        <w:tc>
          <w:tcPr>
            <w:tcW w:w="83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w:t>
            </w:r>
          </w:p>
        </w:tc>
        <w:tc>
          <w:tcPr>
            <w:tcW w:w="81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w:t>
            </w: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90"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6"/>
                <w:szCs w:val="16"/>
                <w:lang w:val="zh-CN" w:eastAsia="zh-CN" w:bidi="zh-CN"/>
              </w:rPr>
            </w:pPr>
            <w:r>
              <w:rPr>
                <w:rFonts w:hint="eastAsia" w:ascii="宋体" w:hAnsi="宋体" w:eastAsia="宋体" w:cs="宋体"/>
                <w:kern w:val="2"/>
                <w:sz w:val="16"/>
                <w:szCs w:val="16"/>
                <w:lang w:val="en-US" w:eastAsia="zh-CN" w:bidi="zh-CN"/>
              </w:rPr>
              <w:t>02</w:t>
            </w:r>
          </w:p>
        </w:tc>
        <w:tc>
          <w:tcPr>
            <w:tcW w:w="491" w:type="dxa"/>
            <w:tcBorders>
              <w:top w:val="nil"/>
              <w:left w:val="nil"/>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hint="eastAsia" w:ascii="宋体" w:hAnsi="宋体" w:eastAsia="宋体" w:cs="宋体"/>
                <w:kern w:val="2"/>
                <w:sz w:val="16"/>
                <w:szCs w:val="16"/>
                <w:lang w:val="en-US" w:eastAsia="zh-CN" w:bidi="zh-CN"/>
              </w:rPr>
              <w:t>99</w:t>
            </w:r>
          </w:p>
        </w:tc>
        <w:tc>
          <w:tcPr>
            <w:tcW w:w="98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000000"/>
                <w:kern w:val="2"/>
                <w:sz w:val="16"/>
                <w:szCs w:val="16"/>
                <w:lang w:val="en-US" w:eastAsia="zh-CN" w:bidi="ar-SA"/>
              </w:rPr>
            </w:pPr>
            <w:r>
              <w:rPr>
                <w:rFonts w:hint="eastAsia" w:ascii="宋体" w:hAnsi="宋体" w:eastAsia="宋体" w:cs="宋体"/>
                <w:kern w:val="2"/>
                <w:sz w:val="16"/>
                <w:szCs w:val="16"/>
                <w:lang w:val="zh-CN" w:eastAsia="zh-CN" w:bidi="zh-CN"/>
              </w:rPr>
              <w:t>其他政协事务支出</w:t>
            </w:r>
          </w:p>
        </w:tc>
        <w:tc>
          <w:tcPr>
            <w:tcW w:w="83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83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81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208</w:t>
            </w:r>
          </w:p>
        </w:tc>
        <w:tc>
          <w:tcPr>
            <w:tcW w:w="491" w:type="dxa"/>
            <w:tcBorders>
              <w:top w:val="nil"/>
              <w:left w:val="nil"/>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p>
        </w:tc>
        <w:tc>
          <w:tcPr>
            <w:tcW w:w="491" w:type="dxa"/>
            <w:tcBorders>
              <w:top w:val="nil"/>
              <w:left w:val="nil"/>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p>
        </w:tc>
        <w:tc>
          <w:tcPr>
            <w:tcW w:w="982" w:type="dxa"/>
            <w:tcBorders>
              <w:top w:val="nil"/>
              <w:left w:val="nil"/>
              <w:bottom w:val="single" w:color="auto" w:sz="4" w:space="0"/>
              <w:right w:val="single" w:color="auto" w:sz="4" w:space="0"/>
            </w:tcBorders>
            <w:noWrap w:val="0"/>
            <w:vAlign w:val="top"/>
          </w:tcPr>
          <w:p>
            <w:pPr>
              <w:pStyle w:val="13"/>
              <w:spacing w:before="3" w:line="253" w:lineRule="exact"/>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社会保障和就业支出</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111.31</w:t>
            </w:r>
          </w:p>
        </w:tc>
        <w:tc>
          <w:tcPr>
            <w:tcW w:w="83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47.31</w:t>
            </w:r>
          </w:p>
        </w:tc>
        <w:tc>
          <w:tcPr>
            <w:tcW w:w="81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47.31</w:t>
            </w: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64</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208</w:t>
            </w:r>
          </w:p>
        </w:tc>
        <w:tc>
          <w:tcPr>
            <w:tcW w:w="491" w:type="dxa"/>
            <w:tcBorders>
              <w:top w:val="nil"/>
              <w:left w:val="nil"/>
              <w:bottom w:val="single" w:color="auto" w:sz="4" w:space="0"/>
              <w:right w:val="single" w:color="auto" w:sz="4" w:space="0"/>
            </w:tcBorders>
            <w:noWrap w:val="0"/>
            <w:vAlign w:val="center"/>
          </w:tcPr>
          <w:p>
            <w:pPr>
              <w:pStyle w:val="13"/>
              <w:spacing w:before="96"/>
              <w:ind w:right="83" w:rightChars="0"/>
              <w:jc w:val="center"/>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05</w:t>
            </w:r>
          </w:p>
        </w:tc>
        <w:tc>
          <w:tcPr>
            <w:tcW w:w="491" w:type="dxa"/>
            <w:tcBorders>
              <w:top w:val="nil"/>
              <w:left w:val="nil"/>
              <w:bottom w:val="single" w:color="auto" w:sz="4" w:space="0"/>
              <w:right w:val="single" w:color="auto" w:sz="4" w:space="0"/>
            </w:tcBorders>
            <w:noWrap w:val="0"/>
            <w:vAlign w:val="center"/>
          </w:tcPr>
          <w:p>
            <w:pPr>
              <w:pStyle w:val="13"/>
              <w:spacing w:before="96"/>
              <w:ind w:left="100" w:leftChars="0" w:right="90" w:rightChars="0"/>
              <w:jc w:val="center"/>
              <w:rPr>
                <w:rFonts w:ascii="宋体" w:hAnsi="宋体" w:eastAsia="宋体" w:cs="宋体"/>
                <w:kern w:val="2"/>
                <w:sz w:val="16"/>
                <w:szCs w:val="16"/>
                <w:lang w:val="zh-CN" w:eastAsia="zh-CN" w:bidi="zh-CN"/>
              </w:rPr>
            </w:pPr>
          </w:p>
        </w:tc>
        <w:tc>
          <w:tcPr>
            <w:tcW w:w="982"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行政事业单位养老支出</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111.31</w:t>
            </w:r>
          </w:p>
        </w:tc>
        <w:tc>
          <w:tcPr>
            <w:tcW w:w="83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47.31</w:t>
            </w:r>
          </w:p>
        </w:tc>
        <w:tc>
          <w:tcPr>
            <w:tcW w:w="81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47.31</w:t>
            </w: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64</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208</w:t>
            </w:r>
          </w:p>
        </w:tc>
        <w:tc>
          <w:tcPr>
            <w:tcW w:w="491" w:type="dxa"/>
            <w:tcBorders>
              <w:top w:val="nil"/>
              <w:left w:val="nil"/>
              <w:bottom w:val="single" w:color="auto" w:sz="4" w:space="0"/>
              <w:right w:val="single" w:color="auto" w:sz="4" w:space="0"/>
            </w:tcBorders>
            <w:noWrap w:val="0"/>
            <w:vAlign w:val="center"/>
          </w:tcPr>
          <w:p>
            <w:pPr>
              <w:pStyle w:val="13"/>
              <w:spacing w:before="96"/>
              <w:ind w:right="83" w:rightChars="0"/>
              <w:jc w:val="center"/>
              <w:rPr>
                <w:rFonts w:hint="default" w:ascii="宋体" w:hAnsi="宋体" w:eastAsia="宋体" w:cs="宋体"/>
                <w:kern w:val="2"/>
                <w:sz w:val="16"/>
                <w:szCs w:val="16"/>
                <w:lang w:val="en-US" w:eastAsia="zh-CN" w:bidi="zh-CN"/>
              </w:rPr>
            </w:pPr>
            <w:r>
              <w:rPr>
                <w:rFonts w:hint="eastAsia" w:cs="宋体"/>
                <w:kern w:val="2"/>
                <w:sz w:val="16"/>
                <w:szCs w:val="16"/>
                <w:lang w:val="en-US" w:eastAsia="zh-CN" w:bidi="zh-CN"/>
              </w:rPr>
              <w:t>05</w:t>
            </w:r>
          </w:p>
        </w:tc>
        <w:tc>
          <w:tcPr>
            <w:tcW w:w="491"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cs="宋体"/>
                <w:kern w:val="2"/>
                <w:sz w:val="16"/>
                <w:szCs w:val="16"/>
                <w:lang w:val="en-US" w:eastAsia="zh-CN" w:bidi="zh-CN"/>
              </w:rPr>
              <w:t>01</w:t>
            </w:r>
          </w:p>
        </w:tc>
        <w:tc>
          <w:tcPr>
            <w:tcW w:w="982" w:type="dxa"/>
            <w:tcBorders>
              <w:top w:val="nil"/>
              <w:left w:val="nil"/>
              <w:bottom w:val="single" w:color="auto" w:sz="4" w:space="0"/>
              <w:right w:val="single" w:color="auto" w:sz="4" w:space="0"/>
            </w:tcBorders>
            <w:noWrap w:val="0"/>
            <w:vAlign w:val="top"/>
          </w:tcPr>
          <w:p>
            <w:pPr>
              <w:pStyle w:val="13"/>
              <w:ind w:right="0" w:rightChars="0"/>
              <w:rPr>
                <w:rFonts w:hint="eastAsia" w:cs="宋体"/>
                <w:sz w:val="16"/>
                <w:szCs w:val="16"/>
                <w:lang w:val="zh-CN" w:eastAsia="zh-CN" w:bidi="zh-CN"/>
              </w:rPr>
            </w:pPr>
            <w:r>
              <w:rPr>
                <w:rFonts w:hint="eastAsia" w:cs="宋体"/>
                <w:sz w:val="16"/>
                <w:szCs w:val="16"/>
                <w:lang w:val="zh-CN" w:eastAsia="zh-CN" w:bidi="zh-CN"/>
              </w:rPr>
              <w:t>行政单位离退休</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13.72</w:t>
            </w:r>
          </w:p>
        </w:tc>
        <w:tc>
          <w:tcPr>
            <w:tcW w:w="83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13.72</w:t>
            </w:r>
          </w:p>
        </w:tc>
        <w:tc>
          <w:tcPr>
            <w:tcW w:w="81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13.72</w:t>
            </w: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208</w:t>
            </w:r>
          </w:p>
        </w:tc>
        <w:tc>
          <w:tcPr>
            <w:tcW w:w="49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6"/>
                <w:szCs w:val="16"/>
                <w:lang w:val="zh-CN" w:eastAsia="zh-CN" w:bidi="zh-CN"/>
              </w:rPr>
            </w:pPr>
            <w:r>
              <w:rPr>
                <w:rFonts w:hint="eastAsia" w:ascii="宋体" w:hAnsi="宋体" w:eastAsia="宋体" w:cs="宋体"/>
                <w:kern w:val="2"/>
                <w:sz w:val="16"/>
                <w:szCs w:val="16"/>
                <w:lang w:val="en-US" w:eastAsia="zh-CN" w:bidi="zh-CN"/>
              </w:rPr>
              <w:t>05</w:t>
            </w:r>
          </w:p>
        </w:tc>
        <w:tc>
          <w:tcPr>
            <w:tcW w:w="491"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05</w:t>
            </w:r>
          </w:p>
        </w:tc>
        <w:tc>
          <w:tcPr>
            <w:tcW w:w="982"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机关事业单位基本养老保险缴费支出</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69.69</w:t>
            </w:r>
          </w:p>
        </w:tc>
        <w:tc>
          <w:tcPr>
            <w:tcW w:w="83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33.59</w:t>
            </w:r>
          </w:p>
        </w:tc>
        <w:tc>
          <w:tcPr>
            <w:tcW w:w="81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33.59</w:t>
            </w: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36</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208</w:t>
            </w:r>
          </w:p>
        </w:tc>
        <w:tc>
          <w:tcPr>
            <w:tcW w:w="49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05</w:t>
            </w:r>
          </w:p>
        </w:tc>
        <w:tc>
          <w:tcPr>
            <w:tcW w:w="491"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cs="宋体"/>
                <w:kern w:val="2"/>
                <w:sz w:val="16"/>
                <w:szCs w:val="16"/>
                <w:lang w:val="en-US" w:eastAsia="zh-CN" w:bidi="zh-CN"/>
              </w:rPr>
              <w:t>06</w:t>
            </w:r>
          </w:p>
        </w:tc>
        <w:tc>
          <w:tcPr>
            <w:tcW w:w="982" w:type="dxa"/>
            <w:tcBorders>
              <w:top w:val="nil"/>
              <w:left w:val="nil"/>
              <w:bottom w:val="single" w:color="auto" w:sz="4" w:space="0"/>
              <w:right w:val="single" w:color="auto" w:sz="4" w:space="0"/>
            </w:tcBorders>
            <w:noWrap w:val="0"/>
            <w:vAlign w:val="top"/>
          </w:tcPr>
          <w:p>
            <w:pPr>
              <w:pStyle w:val="13"/>
              <w:ind w:right="0" w:rightChars="0"/>
              <w:rPr>
                <w:rFonts w:hint="eastAsia" w:cs="宋体"/>
                <w:sz w:val="16"/>
                <w:szCs w:val="16"/>
                <w:lang w:val="zh-CN" w:eastAsia="zh-CN" w:bidi="zh-CN"/>
              </w:rPr>
            </w:pPr>
            <w:r>
              <w:rPr>
                <w:rFonts w:hint="eastAsia" w:cs="宋体"/>
                <w:sz w:val="16"/>
                <w:szCs w:val="16"/>
                <w:lang w:val="zh-CN" w:eastAsia="zh-CN" w:bidi="zh-CN"/>
              </w:rPr>
              <w:t>机关事业单位职业年金缴费</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w:t>
            </w:r>
          </w:p>
        </w:tc>
        <w:tc>
          <w:tcPr>
            <w:tcW w:w="83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81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28</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p>
        </w:tc>
        <w:tc>
          <w:tcPr>
            <w:tcW w:w="491" w:type="dxa"/>
            <w:tcBorders>
              <w:top w:val="nil"/>
              <w:left w:val="nil"/>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p>
        </w:tc>
        <w:tc>
          <w:tcPr>
            <w:tcW w:w="982"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卫生健康支出</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37.52</w:t>
            </w:r>
          </w:p>
        </w:tc>
        <w:tc>
          <w:tcPr>
            <w:tcW w:w="83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21.52</w:t>
            </w:r>
          </w:p>
        </w:tc>
        <w:tc>
          <w:tcPr>
            <w:tcW w:w="81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21.52</w:t>
            </w: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pStyle w:val="13"/>
              <w:spacing w:before="96"/>
              <w:ind w:right="83" w:rightChars="0"/>
              <w:jc w:val="center"/>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11</w:t>
            </w:r>
          </w:p>
        </w:tc>
        <w:tc>
          <w:tcPr>
            <w:tcW w:w="491" w:type="dxa"/>
            <w:tcBorders>
              <w:top w:val="nil"/>
              <w:left w:val="nil"/>
              <w:bottom w:val="single" w:color="auto" w:sz="4" w:space="0"/>
              <w:right w:val="single" w:color="auto" w:sz="4" w:space="0"/>
            </w:tcBorders>
            <w:noWrap w:val="0"/>
            <w:vAlign w:val="center"/>
          </w:tcPr>
          <w:p>
            <w:pPr>
              <w:pStyle w:val="13"/>
              <w:spacing w:before="96"/>
              <w:ind w:left="100" w:leftChars="0" w:right="90" w:rightChars="0"/>
              <w:jc w:val="center"/>
              <w:rPr>
                <w:rFonts w:ascii="宋体" w:hAnsi="宋体" w:eastAsia="宋体" w:cs="宋体"/>
                <w:kern w:val="2"/>
                <w:sz w:val="16"/>
                <w:szCs w:val="16"/>
                <w:lang w:val="zh-CN" w:eastAsia="zh-CN" w:bidi="zh-CN"/>
              </w:rPr>
            </w:pPr>
          </w:p>
        </w:tc>
        <w:tc>
          <w:tcPr>
            <w:tcW w:w="982"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行政事业单位医疗</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37.52</w:t>
            </w:r>
          </w:p>
        </w:tc>
        <w:tc>
          <w:tcPr>
            <w:tcW w:w="83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21.52</w:t>
            </w:r>
          </w:p>
        </w:tc>
        <w:tc>
          <w:tcPr>
            <w:tcW w:w="81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21.52</w:t>
            </w: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eastAsia"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11</w:t>
            </w:r>
          </w:p>
        </w:tc>
        <w:tc>
          <w:tcPr>
            <w:tcW w:w="491"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zh-CN" w:eastAsia="zh-CN" w:bidi="zh-CN"/>
              </w:rPr>
            </w:pPr>
            <w:r>
              <w:rPr>
                <w:rFonts w:hint="eastAsia" w:ascii="宋体" w:hAnsi="宋体" w:eastAsia="宋体" w:cs="宋体"/>
                <w:kern w:val="2"/>
                <w:sz w:val="16"/>
                <w:szCs w:val="16"/>
                <w:lang w:val="en-US" w:eastAsia="zh-CN" w:bidi="zh-CN"/>
              </w:rPr>
              <w:t>01</w:t>
            </w:r>
          </w:p>
        </w:tc>
        <w:tc>
          <w:tcPr>
            <w:tcW w:w="982" w:type="dxa"/>
            <w:tcBorders>
              <w:top w:val="nil"/>
              <w:left w:val="nil"/>
              <w:bottom w:val="single" w:color="auto" w:sz="4" w:space="0"/>
              <w:right w:val="single" w:color="auto" w:sz="4" w:space="0"/>
            </w:tcBorders>
            <w:noWrap w:val="0"/>
            <w:vAlign w:val="top"/>
          </w:tcPr>
          <w:p>
            <w:pPr>
              <w:pStyle w:val="13"/>
              <w:ind w:right="0" w:rightChars="0"/>
              <w:rPr>
                <w:rFonts w:hint="eastAsia" w:ascii="宋体" w:hAnsi="宋体" w:eastAsia="宋体" w:cs="宋体"/>
                <w:kern w:val="2"/>
                <w:sz w:val="16"/>
                <w:szCs w:val="16"/>
                <w:lang w:val="zh-CN" w:eastAsia="zh-CN" w:bidi="zh-CN"/>
              </w:rPr>
            </w:pPr>
            <w:r>
              <w:rPr>
                <w:sz w:val="16"/>
                <w:szCs w:val="16"/>
              </w:rPr>
              <w:t>行政单位医疗</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29.75</w:t>
            </w:r>
          </w:p>
        </w:tc>
        <w:tc>
          <w:tcPr>
            <w:tcW w:w="83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13.75</w:t>
            </w:r>
          </w:p>
        </w:tc>
        <w:tc>
          <w:tcPr>
            <w:tcW w:w="81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13.75</w:t>
            </w: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w:t>
            </w: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210</w:t>
            </w:r>
          </w:p>
        </w:tc>
        <w:tc>
          <w:tcPr>
            <w:tcW w:w="491" w:type="dxa"/>
            <w:tcBorders>
              <w:top w:val="nil"/>
              <w:left w:val="nil"/>
              <w:bottom w:val="single" w:color="auto" w:sz="4" w:space="0"/>
              <w:right w:val="single" w:color="auto" w:sz="4" w:space="0"/>
            </w:tcBorders>
            <w:noWrap w:val="0"/>
            <w:vAlign w:val="center"/>
          </w:tcPr>
          <w:p>
            <w:pPr>
              <w:spacing w:before="96"/>
              <w:ind w:right="83" w:rightChars="0"/>
              <w:jc w:val="center"/>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11</w:t>
            </w:r>
          </w:p>
        </w:tc>
        <w:tc>
          <w:tcPr>
            <w:tcW w:w="491"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cs="宋体"/>
                <w:kern w:val="2"/>
                <w:sz w:val="16"/>
                <w:szCs w:val="16"/>
                <w:lang w:val="en-US" w:eastAsia="zh-CN" w:bidi="zh-CN"/>
              </w:rPr>
              <w:t>02</w:t>
            </w:r>
          </w:p>
        </w:tc>
        <w:tc>
          <w:tcPr>
            <w:tcW w:w="982" w:type="dxa"/>
            <w:tcBorders>
              <w:top w:val="nil"/>
              <w:left w:val="nil"/>
              <w:bottom w:val="single" w:color="auto" w:sz="4" w:space="0"/>
              <w:right w:val="single" w:color="auto" w:sz="4" w:space="0"/>
            </w:tcBorders>
            <w:noWrap w:val="0"/>
            <w:vAlign w:val="top"/>
          </w:tcPr>
          <w:p>
            <w:pPr>
              <w:pStyle w:val="13"/>
              <w:ind w:right="0" w:rightChars="0"/>
              <w:rPr>
                <w:sz w:val="16"/>
                <w:szCs w:val="16"/>
              </w:rPr>
            </w:pPr>
            <w:r>
              <w:rPr>
                <w:rFonts w:hint="eastAsia"/>
                <w:sz w:val="16"/>
                <w:szCs w:val="16"/>
                <w:lang w:eastAsia="zh-CN"/>
              </w:rPr>
              <w:t>事业</w:t>
            </w:r>
            <w:r>
              <w:rPr>
                <w:sz w:val="16"/>
                <w:szCs w:val="16"/>
              </w:rPr>
              <w:t>单位医疗</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3.05</w:t>
            </w:r>
          </w:p>
        </w:tc>
        <w:tc>
          <w:tcPr>
            <w:tcW w:w="83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3.05</w:t>
            </w:r>
          </w:p>
        </w:tc>
        <w:tc>
          <w:tcPr>
            <w:tcW w:w="81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3.05</w:t>
            </w: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eastAsia"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11</w:t>
            </w:r>
          </w:p>
        </w:tc>
        <w:tc>
          <w:tcPr>
            <w:tcW w:w="491" w:type="dxa"/>
            <w:tcBorders>
              <w:top w:val="nil"/>
              <w:left w:val="nil"/>
              <w:bottom w:val="single" w:color="auto" w:sz="4" w:space="0"/>
              <w:right w:val="single" w:color="auto" w:sz="4" w:space="0"/>
            </w:tcBorders>
            <w:noWrap w:val="0"/>
            <w:vAlign w:val="center"/>
          </w:tcPr>
          <w:p>
            <w:pPr>
              <w:pStyle w:val="13"/>
              <w:spacing w:before="96"/>
              <w:ind w:right="90" w:rightChars="0"/>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03</w:t>
            </w:r>
          </w:p>
        </w:tc>
        <w:tc>
          <w:tcPr>
            <w:tcW w:w="982" w:type="dxa"/>
            <w:tcBorders>
              <w:top w:val="nil"/>
              <w:left w:val="nil"/>
              <w:bottom w:val="single" w:color="auto" w:sz="4" w:space="0"/>
              <w:right w:val="single" w:color="auto" w:sz="4" w:space="0"/>
            </w:tcBorders>
            <w:noWrap w:val="0"/>
            <w:vAlign w:val="top"/>
          </w:tcPr>
          <w:p>
            <w:pPr>
              <w:pStyle w:val="13"/>
              <w:ind w:right="0" w:rightChars="0"/>
              <w:rPr>
                <w:rFonts w:hint="eastAsia" w:ascii="宋体" w:hAnsi="宋体" w:eastAsia="宋体" w:cs="宋体"/>
                <w:kern w:val="2"/>
                <w:sz w:val="16"/>
                <w:szCs w:val="16"/>
                <w:lang w:val="zh-CN" w:eastAsia="zh-CN" w:bidi="zh-CN"/>
              </w:rPr>
            </w:pPr>
            <w:r>
              <w:rPr>
                <w:sz w:val="16"/>
                <w:szCs w:val="16"/>
              </w:rPr>
              <w:t>公务员医疗补助</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4.62</w:t>
            </w:r>
          </w:p>
        </w:tc>
        <w:tc>
          <w:tcPr>
            <w:tcW w:w="83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4.62</w:t>
            </w:r>
          </w:p>
        </w:tc>
        <w:tc>
          <w:tcPr>
            <w:tcW w:w="81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4.62</w:t>
            </w: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eastAsia"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11</w:t>
            </w:r>
          </w:p>
        </w:tc>
        <w:tc>
          <w:tcPr>
            <w:tcW w:w="491"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99</w:t>
            </w:r>
          </w:p>
        </w:tc>
        <w:tc>
          <w:tcPr>
            <w:tcW w:w="982" w:type="dxa"/>
            <w:tcBorders>
              <w:top w:val="nil"/>
              <w:left w:val="nil"/>
              <w:bottom w:val="single" w:color="auto" w:sz="4" w:space="0"/>
              <w:right w:val="single" w:color="auto" w:sz="4" w:space="0"/>
            </w:tcBorders>
            <w:noWrap w:val="0"/>
            <w:vAlign w:val="top"/>
          </w:tcPr>
          <w:p>
            <w:pPr>
              <w:pStyle w:val="13"/>
              <w:ind w:right="0" w:rightChars="0"/>
              <w:rPr>
                <w:rFonts w:hint="eastAsia" w:ascii="宋体" w:hAnsi="宋体" w:eastAsia="宋体" w:cs="宋体"/>
                <w:kern w:val="2"/>
                <w:sz w:val="16"/>
                <w:szCs w:val="16"/>
                <w:lang w:val="zh-CN" w:eastAsia="zh-CN" w:bidi="zh-CN"/>
              </w:rPr>
            </w:pPr>
            <w:r>
              <w:rPr>
                <w:rFonts w:hint="eastAsia" w:cs="宋体"/>
                <w:sz w:val="16"/>
                <w:szCs w:val="16"/>
                <w:lang w:val="zh-CN" w:eastAsia="zh-CN" w:bidi="zh-CN"/>
              </w:rPr>
              <w:t>其他行政事业单位医疗支出</w:t>
            </w:r>
          </w:p>
        </w:tc>
        <w:tc>
          <w:tcPr>
            <w:tcW w:w="831"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83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81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pStyle w:val="13"/>
              <w:ind w:right="127" w:rightChars="0"/>
              <w:jc w:val="center"/>
              <w:rPr>
                <w:rFonts w:hint="eastAsia"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221</w:t>
            </w:r>
          </w:p>
        </w:tc>
        <w:tc>
          <w:tcPr>
            <w:tcW w:w="491" w:type="dxa"/>
            <w:tcBorders>
              <w:top w:val="single" w:color="auto" w:sz="4" w:space="0"/>
              <w:left w:val="single" w:color="auto" w:sz="4" w:space="0"/>
              <w:bottom w:val="single" w:color="auto" w:sz="4" w:space="0"/>
              <w:right w:val="single" w:color="auto" w:sz="4" w:space="0"/>
            </w:tcBorders>
            <w:noWrap w:val="0"/>
            <w:vAlign w:val="center"/>
          </w:tcPr>
          <w:p>
            <w:pPr>
              <w:pStyle w:val="13"/>
              <w:ind w:right="127" w:rightChars="0"/>
              <w:jc w:val="center"/>
              <w:rPr>
                <w:rFonts w:hint="eastAsia" w:ascii="宋体" w:hAnsi="宋体" w:eastAsia="宋体" w:cs="宋体"/>
                <w:kern w:val="2"/>
                <w:sz w:val="16"/>
                <w:szCs w:val="16"/>
                <w:lang w:val="en-US" w:eastAsia="zh-CN" w:bidi="zh-CN"/>
              </w:rPr>
            </w:pPr>
          </w:p>
        </w:tc>
        <w:tc>
          <w:tcPr>
            <w:tcW w:w="491" w:type="dxa"/>
            <w:tcBorders>
              <w:top w:val="single" w:color="auto" w:sz="4" w:space="0"/>
              <w:left w:val="single" w:color="auto" w:sz="4" w:space="0"/>
              <w:bottom w:val="single" w:color="auto" w:sz="4" w:space="0"/>
              <w:right w:val="single" w:color="auto" w:sz="4" w:space="0"/>
            </w:tcBorders>
            <w:noWrap w:val="0"/>
            <w:vAlign w:val="center"/>
          </w:tcPr>
          <w:p>
            <w:pPr>
              <w:pStyle w:val="13"/>
              <w:ind w:right="127" w:rightChars="0"/>
              <w:jc w:val="center"/>
              <w:rPr>
                <w:rFonts w:hint="eastAsia" w:ascii="宋体" w:hAnsi="宋体" w:eastAsia="宋体" w:cs="宋体"/>
                <w:kern w:val="2"/>
                <w:sz w:val="16"/>
                <w:szCs w:val="16"/>
                <w:lang w:val="en-US" w:eastAsia="zh-CN" w:bidi="zh-CN"/>
              </w:rPr>
            </w:pPr>
          </w:p>
        </w:tc>
        <w:tc>
          <w:tcPr>
            <w:tcW w:w="982" w:type="dxa"/>
            <w:tcBorders>
              <w:top w:val="single" w:color="auto" w:sz="4" w:space="0"/>
              <w:left w:val="single" w:color="auto" w:sz="4" w:space="0"/>
              <w:bottom w:val="single" w:color="auto" w:sz="4" w:space="0"/>
              <w:right w:val="single" w:color="auto" w:sz="4" w:space="0"/>
            </w:tcBorders>
            <w:noWrap w:val="0"/>
            <w:vAlign w:val="top"/>
          </w:tcPr>
          <w:p>
            <w:pPr>
              <w:pStyle w:val="13"/>
              <w:ind w:right="0" w:rightChars="0"/>
              <w:rPr>
                <w:rFonts w:hint="eastAsia" w:ascii="宋体" w:hAnsi="宋体" w:eastAsia="宋体" w:cs="宋体"/>
                <w:kern w:val="2"/>
                <w:sz w:val="16"/>
                <w:szCs w:val="16"/>
                <w:lang w:val="zh-CN" w:eastAsia="zh-CN" w:bidi="zh-CN"/>
              </w:rPr>
            </w:pPr>
            <w:r>
              <w:rPr>
                <w:rFonts w:hint="eastAsia" w:cs="宋体"/>
                <w:sz w:val="16"/>
                <w:szCs w:val="16"/>
                <w:lang w:val="zh-CN" w:eastAsia="zh-CN" w:bidi="zh-CN"/>
              </w:rPr>
              <w:t>住房保障支出</w:t>
            </w:r>
          </w:p>
        </w:tc>
        <w:tc>
          <w:tcPr>
            <w:tcW w:w="83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67.42</w:t>
            </w:r>
          </w:p>
        </w:tc>
        <w:tc>
          <w:tcPr>
            <w:tcW w:w="83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27.42</w:t>
            </w:r>
          </w:p>
        </w:tc>
        <w:tc>
          <w:tcPr>
            <w:tcW w:w="81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27.42</w:t>
            </w:r>
          </w:p>
        </w:tc>
        <w:tc>
          <w:tcPr>
            <w:tcW w:w="62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3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2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40</w:t>
            </w: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221</w:t>
            </w:r>
          </w:p>
        </w:tc>
        <w:tc>
          <w:tcPr>
            <w:tcW w:w="49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02</w:t>
            </w:r>
          </w:p>
        </w:tc>
        <w:tc>
          <w:tcPr>
            <w:tcW w:w="49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6"/>
                <w:szCs w:val="16"/>
                <w:lang w:val="en-US" w:eastAsia="zh-CN" w:bidi="zh-CN"/>
              </w:rPr>
            </w:pPr>
          </w:p>
        </w:tc>
        <w:tc>
          <w:tcPr>
            <w:tcW w:w="982" w:type="dxa"/>
            <w:tcBorders>
              <w:top w:val="single" w:color="auto" w:sz="4" w:space="0"/>
              <w:left w:val="single" w:color="auto" w:sz="4" w:space="0"/>
              <w:bottom w:val="single" w:color="auto" w:sz="4" w:space="0"/>
              <w:right w:val="single" w:color="auto" w:sz="4" w:space="0"/>
            </w:tcBorders>
            <w:noWrap w:val="0"/>
            <w:vAlign w:val="top"/>
          </w:tcPr>
          <w:p>
            <w:pPr>
              <w:pStyle w:val="13"/>
              <w:rPr>
                <w:rFonts w:hint="eastAsia" w:ascii="Times New Roman" w:hAnsi="宋体" w:eastAsia="宋体" w:cs="宋体"/>
                <w:kern w:val="2"/>
                <w:sz w:val="16"/>
                <w:szCs w:val="16"/>
                <w:lang w:val="zh-CN" w:eastAsia="zh-CN" w:bidi="zh-CN"/>
              </w:rPr>
            </w:pPr>
            <w:r>
              <w:rPr>
                <w:rFonts w:hint="eastAsia" w:ascii="Times New Roman"/>
                <w:sz w:val="16"/>
                <w:szCs w:val="16"/>
                <w:lang w:eastAsia="zh-CN"/>
              </w:rPr>
              <w:t>住房改革支出</w:t>
            </w:r>
          </w:p>
        </w:tc>
        <w:tc>
          <w:tcPr>
            <w:tcW w:w="83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67.42</w:t>
            </w:r>
          </w:p>
        </w:tc>
        <w:tc>
          <w:tcPr>
            <w:tcW w:w="83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27.42</w:t>
            </w:r>
          </w:p>
        </w:tc>
        <w:tc>
          <w:tcPr>
            <w:tcW w:w="81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27.42</w:t>
            </w:r>
          </w:p>
        </w:tc>
        <w:tc>
          <w:tcPr>
            <w:tcW w:w="62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3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6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3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2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40</w:t>
            </w: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single" w:color="auto" w:sz="4" w:space="0"/>
              <w:left w:val="single" w:color="auto" w:sz="4" w:space="0"/>
              <w:bottom w:val="single" w:color="auto" w:sz="4" w:space="0"/>
              <w:right w:val="single" w:color="auto" w:sz="4" w:space="0"/>
            </w:tcBorders>
            <w:vAlign w:val="center"/>
          </w:tcPr>
          <w:p>
            <w:pPr>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221</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02</w:t>
            </w:r>
          </w:p>
        </w:tc>
        <w:tc>
          <w:tcPr>
            <w:tcW w:w="491"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01</w:t>
            </w:r>
          </w:p>
        </w:tc>
        <w:tc>
          <w:tcPr>
            <w:tcW w:w="982" w:type="dxa"/>
            <w:tcBorders>
              <w:top w:val="single" w:color="auto" w:sz="4" w:space="0"/>
              <w:left w:val="single" w:color="auto" w:sz="4" w:space="0"/>
              <w:bottom w:val="single" w:color="auto" w:sz="4" w:space="0"/>
              <w:right w:val="single" w:color="auto" w:sz="4" w:space="0"/>
            </w:tcBorders>
            <w:vAlign w:val="top"/>
          </w:tcPr>
          <w:p>
            <w:pPr>
              <w:pStyle w:val="13"/>
              <w:rPr>
                <w:rFonts w:hint="eastAsia" w:ascii="Times New Roman" w:hAnsi="宋体" w:eastAsia="宋体" w:cs="宋体"/>
                <w:kern w:val="2"/>
                <w:sz w:val="16"/>
                <w:szCs w:val="16"/>
                <w:lang w:val="zh-CN" w:eastAsia="zh-CN" w:bidi="zh-CN"/>
              </w:rPr>
            </w:pPr>
            <w:r>
              <w:rPr>
                <w:sz w:val="16"/>
                <w:szCs w:val="16"/>
              </w:rPr>
              <w:t>住住房公积金</w:t>
            </w:r>
          </w:p>
        </w:tc>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67.42</w:t>
            </w:r>
          </w:p>
        </w:tc>
        <w:tc>
          <w:tcPr>
            <w:tcW w:w="83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27.42</w:t>
            </w: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27.42</w:t>
            </w:r>
          </w:p>
        </w:tc>
        <w:tc>
          <w:tcPr>
            <w:tcW w:w="62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39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62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40</w:t>
            </w:r>
          </w:p>
        </w:tc>
        <w:tc>
          <w:tcPr>
            <w:tcW w:w="4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3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highlight w:val="none"/>
        </w:rPr>
        <w:t xml:space="preserve">   单位：万元                                     </w:t>
      </w:r>
    </w:p>
    <w:tbl>
      <w:tblPr>
        <w:tblStyle w:val="8"/>
        <w:tblW w:w="9420" w:type="dxa"/>
        <w:tblInd w:w="-240" w:type="dxa"/>
        <w:tblLayout w:type="fixed"/>
        <w:tblCellMar>
          <w:top w:w="0" w:type="dxa"/>
          <w:left w:w="108" w:type="dxa"/>
          <w:bottom w:w="0" w:type="dxa"/>
          <w:right w:w="108" w:type="dxa"/>
        </w:tblCellMar>
      </w:tblPr>
      <w:tblGrid>
        <w:gridCol w:w="591"/>
        <w:gridCol w:w="627"/>
        <w:gridCol w:w="627"/>
        <w:gridCol w:w="3464"/>
        <w:gridCol w:w="1650"/>
        <w:gridCol w:w="1268"/>
        <w:gridCol w:w="1193"/>
      </w:tblGrid>
      <w:tr>
        <w:tblPrEx>
          <w:tblLayout w:type="fixed"/>
          <w:tblCellMar>
            <w:top w:w="0" w:type="dxa"/>
            <w:left w:w="108" w:type="dxa"/>
            <w:bottom w:w="0" w:type="dxa"/>
            <w:right w:w="108" w:type="dxa"/>
          </w:tblCellMar>
        </w:tblPrEx>
        <w:trPr>
          <w:trHeight w:val="328" w:hRule="atLeast"/>
        </w:trPr>
        <w:tc>
          <w:tcPr>
            <w:tcW w:w="530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11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11" w:hRule="atLeast"/>
        </w:trPr>
        <w:tc>
          <w:tcPr>
            <w:tcW w:w="184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46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5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26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1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46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5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26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1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337"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一般公共服务支出</w:t>
            </w:r>
            <w:r>
              <w:rPr>
                <w:rFonts w:hint="eastAsia" w:ascii="仿宋_GB2312" w:hAnsi="仿宋_GB2312" w:eastAsia="仿宋_GB2312" w:cs="仿宋_GB2312"/>
                <w:b/>
                <w:bCs/>
                <w:color w:val="auto"/>
                <w:kern w:val="0"/>
                <w:sz w:val="20"/>
                <w:szCs w:val="20"/>
                <w:highlight w:val="none"/>
              </w:rPr>
              <w:t>　</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463.14</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380.14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83　</w:t>
            </w:r>
          </w:p>
        </w:tc>
      </w:tr>
      <w:tr>
        <w:tblPrEx>
          <w:tblLayout w:type="fixed"/>
          <w:tblCellMar>
            <w:top w:w="0" w:type="dxa"/>
            <w:left w:w="108" w:type="dxa"/>
            <w:bottom w:w="0" w:type="dxa"/>
            <w:right w:w="108" w:type="dxa"/>
          </w:tblCellMar>
        </w:tblPrEx>
        <w:trPr>
          <w:trHeight w:val="364"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政协事务</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463.14</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380.14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83　</w:t>
            </w:r>
          </w:p>
        </w:tc>
      </w:tr>
      <w:tr>
        <w:tblPrEx>
          <w:tblLayout w:type="fixed"/>
          <w:tblCellMar>
            <w:top w:w="0" w:type="dxa"/>
            <w:left w:w="108" w:type="dxa"/>
            <w:bottom w:w="0" w:type="dxa"/>
            <w:right w:w="108" w:type="dxa"/>
          </w:tblCellMar>
        </w:tblPrEx>
        <w:trPr>
          <w:trHeight w:val="323"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行政运行</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440.14　</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380.14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60　</w:t>
            </w: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04</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政协会议</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　</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　</w:t>
            </w: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其他政协事务支出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　</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　</w:t>
            </w:r>
          </w:p>
        </w:tc>
      </w:tr>
      <w:tr>
        <w:tblPrEx>
          <w:tblLayout w:type="fixed"/>
          <w:tblCellMar>
            <w:top w:w="0" w:type="dxa"/>
            <w:left w:w="108" w:type="dxa"/>
            <w:bottom w:w="0" w:type="dxa"/>
            <w:right w:w="108" w:type="dxa"/>
          </w:tblCellMar>
        </w:tblPrEx>
        <w:trPr>
          <w:trHeight w:val="337"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社会保障和就业支出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111.31　</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111.31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324"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行政事业单位养老支出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111.31　</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111.31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01</w:t>
            </w: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行政单位离退休</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13.72　</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13.72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364"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机关事业单位基本养老保险缴费支出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69.59　</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69.59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36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06</w:t>
            </w: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机关事业单位职业年金缴费支出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28　</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28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324"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卫生健康支出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37.52</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37.52</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行政事业单位医疗</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37.52</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37.52</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行政单位医疗</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29.75</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29.75</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事业单位医疗</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3.05</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3.05</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03</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公务员医疗补助</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4.6</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4.6</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其他行政事业单位医疗支出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323"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住房保障支出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67.42</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67.42</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377"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住房改革支出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67.42</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67.42</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378"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住房公积金</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67.42</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67.42</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346"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346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679.39</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596.39</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83</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szCs w:val="24"/>
          <w:highlight w:val="none"/>
        </w:rPr>
        <w:t xml:space="preserve">   单位：万元                               </w:t>
      </w:r>
    </w:p>
    <w:tbl>
      <w:tblPr>
        <w:tblStyle w:val="8"/>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469.39</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373.14</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373.14</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469.39</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47.31</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47.31</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21.52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21.52</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27.42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27.42</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宋体" w:hAnsi="宋体" w:cs="宋体"/>
                <w:color w:val="auto"/>
                <w:kern w:val="0"/>
                <w:sz w:val="18"/>
                <w:szCs w:val="18"/>
                <w:highlight w:val="none"/>
                <w:lang w:val="en-US" w:eastAsia="zh-CN"/>
              </w:rPr>
              <w:t>469.39</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469.39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469.39</w:t>
            </w:r>
            <w:r>
              <w:rPr>
                <w:rFonts w:hint="eastAsia" w:ascii="宋体" w:hAnsi="宋体" w:cs="宋体"/>
                <w:color w:val="auto"/>
                <w:kern w:val="0"/>
                <w:sz w:val="18"/>
                <w:szCs w:val="18"/>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rPr>
          <w:rFonts w:hint="default" w:ascii="宋体" w:hAnsi="宋体" w:eastAsia="宋体" w:cs="宋体"/>
          <w:i w:val="0"/>
          <w:color w:val="auto"/>
          <w:kern w:val="0"/>
          <w:sz w:val="20"/>
          <w:szCs w:val="20"/>
          <w:highlight w:val="none"/>
          <w:u w:val="none"/>
          <w:lang w:val="en-US" w:eastAsia="zh-CN" w:bidi="ar"/>
        </w:rPr>
      </w:pPr>
      <w:r>
        <w:rPr>
          <w:rFonts w:hint="default"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szCs w:val="24"/>
                <w:highlight w:val="none"/>
              </w:rPr>
              <w:t xml:space="preserve"> </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rPr>
              <w:t>一般公共服务支出</w:t>
            </w:r>
            <w:r>
              <w:rPr>
                <w:rFonts w:hint="eastAsia" w:ascii="仿宋_GB2312" w:hAnsi="仿宋_GB2312" w:eastAsia="仿宋_GB2312" w:cs="仿宋_GB2312"/>
                <w:b/>
                <w:bCs/>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373.14</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290.14</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83</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政协事务</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373.14</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290.14</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83</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行政运行</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350.14</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290.14</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04</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政协会议</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其他政协事务支出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社会保障和就业支出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47.31</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47.31</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行政事业单位养老支出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47.31</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47.31</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行政单位离退休</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13.72</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13.72</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机关事业单位基本养老保险缴费支出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33.59</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33.59</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卫生健康支出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21.52</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21.52</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行政事业单位医疗</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21.52</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21.52</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行政单位医疗</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13.75</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13.75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事业单位医疗</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3.05</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3.05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xml:space="preserve">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03</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公务员医疗补助</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4.62</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4.62</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其他行政事业单位医疗支出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住房保障支出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27.42</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27.42</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住房改革支出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27.42</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27.42</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住房公积金</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27.42</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27.42</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469.39</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386.39</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83</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fixed"/>
        <w:tblCellMar>
          <w:top w:w="0" w:type="dxa"/>
          <w:left w:w="108" w:type="dxa"/>
          <w:bottom w:w="0" w:type="dxa"/>
          <w:right w:w="108" w:type="dxa"/>
        </w:tblCellMar>
      </w:tblPr>
      <w:tblGrid>
        <w:gridCol w:w="757"/>
        <w:gridCol w:w="577"/>
        <w:gridCol w:w="2891"/>
        <w:gridCol w:w="1701"/>
        <w:gridCol w:w="1701"/>
        <w:gridCol w:w="1701"/>
      </w:tblGrid>
      <w:tr>
        <w:tblPrEx>
          <w:tblLayout w:type="fixed"/>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7627" w:type="dxa"/>
            <w:gridSpan w:val="5"/>
            <w:tcBorders>
              <w:top w:val="nil"/>
              <w:left w:val="nil"/>
              <w:bottom w:val="nil"/>
              <w:right w:val="nil"/>
            </w:tcBorders>
            <w:noWrap w:val="0"/>
            <w:vAlign w:val="center"/>
          </w:tcPr>
          <w:p>
            <w:pPr>
              <w:widowControl/>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中国人民政治协商会议新疆维吾尔自治区呼图壁县委员会</w:t>
            </w:r>
          </w:p>
        </w:tc>
        <w:tc>
          <w:tcPr>
            <w:tcW w:w="1701" w:type="dxa"/>
            <w:tcBorders>
              <w:top w:val="nil"/>
              <w:left w:val="nil"/>
              <w:bottom w:val="nil"/>
              <w:right w:val="nil"/>
            </w:tcBorders>
            <w:noWrap w:val="0"/>
            <w:vAlign w:val="center"/>
          </w:tcPr>
          <w:p>
            <w:pPr>
              <w:widowControl/>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340.22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340.22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88.62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88.62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津贴补贴</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67.29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67.29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奖金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62.22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62.22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绩效工资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10.39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10.39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机关事业单位基本养老保险缴费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33.59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33.59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职工基本医疗保险缴费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16.8</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16.8</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公务员医疗补助缴费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4.62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4.62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其他社会保障缴费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1.13</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1.13</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住房公积金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27.42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27.42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28.14</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28.14</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商品和服务支出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32.41</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32.41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宋体" w:hAnsi="宋体" w:cs="宋体"/>
                <w:color w:val="auto"/>
                <w:kern w:val="0"/>
                <w:sz w:val="20"/>
                <w:szCs w:val="20"/>
                <w:highlight w:val="none"/>
                <w:lang w:val="en-US" w:eastAsia="zh-CN"/>
              </w:rPr>
              <w:t>办公费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1.95</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邮电费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差旅费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0.48</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0.48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会议费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公务接待费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0.51</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工会经费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4.05</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4.05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公务用车运行维护费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39</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其他交通费用</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0.31</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13.75</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13.75</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退休费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12.6</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12.6</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奖励金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0.04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0.04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386.39</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353.97</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32.41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9"/>
        <w:gridCol w:w="447"/>
        <w:gridCol w:w="417"/>
        <w:gridCol w:w="417"/>
        <w:gridCol w:w="798"/>
        <w:gridCol w:w="1408"/>
        <w:gridCol w:w="727"/>
        <w:gridCol w:w="110"/>
        <w:gridCol w:w="449"/>
        <w:gridCol w:w="528"/>
        <w:gridCol w:w="635"/>
        <w:gridCol w:w="635"/>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9" w:type="dxa"/>
          <w:wAfter w:w="77" w:type="dxa"/>
          <w:trHeight w:val="375" w:hRule="atLeast"/>
        </w:trPr>
        <w:tc>
          <w:tcPr>
            <w:tcW w:w="9454"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9" w:type="dxa"/>
          <w:wAfter w:w="77" w:type="dxa"/>
          <w:trHeight w:val="405" w:hRule="atLeast"/>
        </w:trPr>
        <w:tc>
          <w:tcPr>
            <w:tcW w:w="4324"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中国人民政治协商会议新疆维吾尔自治区呼图壁县委员会</w:t>
            </w:r>
          </w:p>
        </w:tc>
        <w:tc>
          <w:tcPr>
            <w:tcW w:w="977"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74"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9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9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8"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2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59"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2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5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9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9"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Hans" w:bidi="ar-SA"/>
              </w:rPr>
            </w:pPr>
          </w:p>
        </w:tc>
        <w:tc>
          <w:tcPr>
            <w:tcW w:w="417" w:type="dxa"/>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798" w:type="dxa"/>
            <w:noWrap w:val="0"/>
            <w:vAlign w:val="center"/>
          </w:tcPr>
          <w:p>
            <w:pPr>
              <w:widowControl/>
              <w:spacing w:line="280" w:lineRule="exact"/>
              <w:jc w:val="left"/>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一般公共服务支出</w:t>
            </w:r>
            <w:r>
              <w:rPr>
                <w:rFonts w:hint="eastAsia" w:ascii="仿宋_GB2312" w:hAnsi="仿宋_GB2312" w:eastAsia="仿宋_GB2312" w:cs="仿宋_GB2312"/>
                <w:b/>
                <w:bCs/>
                <w:color w:val="auto"/>
                <w:kern w:val="0"/>
                <w:sz w:val="18"/>
                <w:szCs w:val="18"/>
                <w:highlight w:val="none"/>
              </w:rPr>
              <w:t>　</w:t>
            </w:r>
          </w:p>
        </w:tc>
        <w:tc>
          <w:tcPr>
            <w:tcW w:w="1408"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p>
        </w:tc>
        <w:tc>
          <w:tcPr>
            <w:tcW w:w="727"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83</w:t>
            </w:r>
          </w:p>
        </w:tc>
        <w:tc>
          <w:tcPr>
            <w:tcW w:w="559"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8"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83</w:t>
            </w:r>
          </w:p>
        </w:tc>
        <w:tc>
          <w:tcPr>
            <w:tcW w:w="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417" w:type="dxa"/>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798"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政协事务</w:t>
            </w:r>
          </w:p>
        </w:tc>
        <w:tc>
          <w:tcPr>
            <w:tcW w:w="140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27"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83</w:t>
            </w:r>
          </w:p>
        </w:tc>
        <w:tc>
          <w:tcPr>
            <w:tcW w:w="559"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8"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83</w:t>
            </w:r>
          </w:p>
        </w:tc>
        <w:tc>
          <w:tcPr>
            <w:tcW w:w="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798"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行政运行</w:t>
            </w:r>
          </w:p>
        </w:tc>
        <w:tc>
          <w:tcPr>
            <w:tcW w:w="140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2024年政协运转经费（非定额）</w:t>
            </w:r>
            <w:r>
              <w:rPr>
                <w:rFonts w:hint="eastAsia" w:ascii="仿宋_GB2312" w:hAnsi="宋体" w:eastAsia="仿宋_GB2312"/>
                <w:color w:val="auto"/>
                <w:kern w:val="0"/>
                <w:sz w:val="18"/>
                <w:szCs w:val="18"/>
                <w:highlight w:val="none"/>
              </w:rPr>
              <w:t>　　</w:t>
            </w:r>
          </w:p>
        </w:tc>
        <w:tc>
          <w:tcPr>
            <w:tcW w:w="727"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60</w:t>
            </w:r>
          </w:p>
        </w:tc>
        <w:tc>
          <w:tcPr>
            <w:tcW w:w="559"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8"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60</w:t>
            </w:r>
          </w:p>
        </w:tc>
        <w:tc>
          <w:tcPr>
            <w:tcW w:w="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04</w:t>
            </w:r>
          </w:p>
        </w:tc>
        <w:tc>
          <w:tcPr>
            <w:tcW w:w="798"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政协会议</w:t>
            </w:r>
          </w:p>
        </w:tc>
        <w:tc>
          <w:tcPr>
            <w:tcW w:w="140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2024年政协会议费（非定额）</w:t>
            </w:r>
            <w:r>
              <w:rPr>
                <w:rFonts w:hint="eastAsia" w:ascii="仿宋_GB2312" w:hAnsi="宋体" w:eastAsia="仿宋_GB2312"/>
                <w:color w:val="auto"/>
                <w:kern w:val="0"/>
                <w:sz w:val="18"/>
                <w:szCs w:val="18"/>
                <w:highlight w:val="none"/>
              </w:rPr>
              <w:t>　　</w:t>
            </w:r>
          </w:p>
        </w:tc>
        <w:tc>
          <w:tcPr>
            <w:tcW w:w="727"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18</w:t>
            </w:r>
          </w:p>
        </w:tc>
        <w:tc>
          <w:tcPr>
            <w:tcW w:w="559"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8"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18</w:t>
            </w:r>
          </w:p>
        </w:tc>
        <w:tc>
          <w:tcPr>
            <w:tcW w:w="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798"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其他政协事务支出</w:t>
            </w:r>
          </w:p>
        </w:tc>
        <w:tc>
          <w:tcPr>
            <w:tcW w:w="140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2024年度自治区基层政协补助资金</w:t>
            </w:r>
            <w:r>
              <w:rPr>
                <w:rFonts w:hint="eastAsia" w:ascii="仿宋_GB2312" w:hAnsi="宋体" w:eastAsia="仿宋_GB2312"/>
                <w:color w:val="auto"/>
                <w:kern w:val="0"/>
                <w:sz w:val="18"/>
                <w:szCs w:val="18"/>
                <w:highlight w:val="none"/>
              </w:rPr>
              <w:t>　　</w:t>
            </w:r>
          </w:p>
        </w:tc>
        <w:tc>
          <w:tcPr>
            <w:tcW w:w="727"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w:t>
            </w:r>
          </w:p>
        </w:tc>
        <w:tc>
          <w:tcPr>
            <w:tcW w:w="559"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528"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5</w:t>
            </w:r>
          </w:p>
        </w:tc>
        <w:tc>
          <w:tcPr>
            <w:tcW w:w="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798" w:type="dxa"/>
            <w:noWrap w:val="0"/>
            <w:vAlign w:val="top"/>
          </w:tcPr>
          <w:p>
            <w:pPr>
              <w:widowControl/>
              <w:jc w:val="left"/>
              <w:outlineLvl w:val="1"/>
              <w:rPr>
                <w:rFonts w:ascii="仿宋_GB2312" w:hAnsi="宋体" w:eastAsia="仿宋_GB2312"/>
                <w:color w:val="auto"/>
                <w:kern w:val="0"/>
                <w:sz w:val="32"/>
                <w:szCs w:val="32"/>
                <w:highlight w:val="none"/>
              </w:rPr>
            </w:pPr>
          </w:p>
        </w:tc>
        <w:tc>
          <w:tcPr>
            <w:tcW w:w="1408" w:type="dxa"/>
            <w:noWrap w:val="0"/>
            <w:vAlign w:val="top"/>
          </w:tcPr>
          <w:p>
            <w:pPr>
              <w:widowControl/>
              <w:jc w:val="left"/>
              <w:outlineLvl w:val="1"/>
              <w:rPr>
                <w:rFonts w:ascii="仿宋_GB2312" w:hAnsi="宋体" w:eastAsia="仿宋_GB2312"/>
                <w:color w:val="auto"/>
                <w:kern w:val="0"/>
                <w:sz w:val="32"/>
                <w:szCs w:val="32"/>
                <w:highlight w:val="none"/>
              </w:rPr>
            </w:pP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2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8"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27" w:type="dxa"/>
            <w:noWrap w:val="0"/>
            <w:vAlign w:val="center"/>
          </w:tcPr>
          <w:p>
            <w:pPr>
              <w:widowControl/>
              <w:jc w:val="center"/>
              <w:outlineLvl w:val="1"/>
              <w:rPr>
                <w:rFonts w:ascii="仿宋_GB2312" w:hAnsi="宋体" w:eastAsia="仿宋_GB2312"/>
                <w:color w:val="auto"/>
                <w:kern w:val="0"/>
                <w:szCs w:val="21"/>
                <w:highlight w:val="none"/>
              </w:rPr>
            </w:pPr>
            <w:r>
              <w:rPr>
                <w:rFonts w:hint="eastAsia" w:ascii="仿宋_GB2312" w:hAnsi="宋体" w:eastAsia="仿宋_GB2312"/>
                <w:color w:val="auto"/>
                <w:kern w:val="0"/>
                <w:sz w:val="18"/>
                <w:szCs w:val="18"/>
                <w:highlight w:val="none"/>
                <w:lang w:val="en-US" w:eastAsia="zh-CN"/>
              </w:rPr>
              <w:t>83</w:t>
            </w:r>
          </w:p>
        </w:tc>
        <w:tc>
          <w:tcPr>
            <w:tcW w:w="559"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8" w:type="dxa"/>
            <w:noWrap w:val="0"/>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18"/>
                <w:szCs w:val="18"/>
                <w:highlight w:val="none"/>
                <w:lang w:val="en-US" w:eastAsia="zh-CN"/>
              </w:rPr>
              <w:t>83</w:t>
            </w:r>
          </w:p>
        </w:tc>
        <w:tc>
          <w:tcPr>
            <w:tcW w:w="63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3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highlight w:val="none"/>
        </w:rPr>
        <w:t xml:space="preserve">   单位：万元                                 </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备注：本单位2024年无政府性基金预算，此表为空。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highlight w:val="none"/>
        </w:rPr>
        <w:t xml:space="preserve">  单位：万元                            </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备注：本单位2024年无国有资本经营预算，此表为空。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中国人民政治协商会议新疆维吾尔自治区呼图壁县委员会</w:t>
      </w:r>
      <w:r>
        <w:rPr>
          <w:rFonts w:hint="eastAsia" w:ascii="仿宋_GB2312" w:hAnsi="宋体" w:eastAsia="仿宋_GB2312"/>
          <w:color w:val="auto"/>
          <w:kern w:val="0"/>
          <w:sz w:val="24"/>
          <w:highlight w:val="none"/>
        </w:rPr>
        <w:t xml:space="preserve">   单位：万元</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 xml:space="preserve">                                  </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1.01</w:t>
            </w:r>
          </w:p>
        </w:tc>
        <w:tc>
          <w:tcPr>
            <w:tcW w:w="1314"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1.01</w:t>
            </w: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29</w:t>
            </w:r>
          </w:p>
        </w:tc>
        <w:tc>
          <w:tcPr>
            <w:tcW w:w="1314"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29</w:t>
            </w: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rPr>
            </w:pPr>
          </w:p>
        </w:tc>
        <w:tc>
          <w:tcPr>
            <w:tcW w:w="1314"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29</w:t>
            </w:r>
          </w:p>
        </w:tc>
        <w:tc>
          <w:tcPr>
            <w:tcW w:w="1314"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29</w:t>
            </w: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rPr>
          <w:rFonts w:hint="eastAsia"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br w:type="page"/>
      </w: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备注：本单位2023年无结转结余情况，此表为空。</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中国人民政治协商会议新疆维吾尔自治区呼图壁县委员会2024年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lang w:eastAsia="zh-CN"/>
        </w:rPr>
        <w:t>中国人民政治协商会议新疆维吾尔自治区呼图壁县委员会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679.39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469.39万元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210万元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463.14万元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111.31万元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37.52万元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67.42万元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中国人民政治协商会议新疆维吾尔自治区呼图壁县委员会2024年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中国人民政治协商会议新疆维吾尔自治区呼图壁县委员会</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679.39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463.14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68.17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105.56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29.52%，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lang w:eastAsia="zh-CN"/>
        </w:rPr>
        <w:t>去年工资普调，增加了基础性绩效工资，社保公积金基数也随之调整；</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lang w:eastAsia="zh-CN"/>
        </w:rPr>
        <w:t>将单位资金预计要支出的社保公积金职业年金等也加进预算中</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0.74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去年将此笔资金列入一般公共预算中</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政府性基金预算未安排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210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31.09</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14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6.25%，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2024年有退休人员，做预算时将社保公积金相应减少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中国人民政治协商会议新疆维吾尔自治区呼图壁县委员会2024年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中国人民政治协商会议新疆维吾尔自治区呼图壁县委员会2024年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679.39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596.39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87.78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291.81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95.81%，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lang w:eastAsia="zh-CN"/>
        </w:rPr>
        <w:t>去年工资普调，增加了基础性绩效工资，社保公积金基数也随之调整；</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lang w:eastAsia="zh-CN"/>
        </w:rPr>
        <w:t>将单位资金预计要支出的社保公积金职业年金等也加进预算中。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83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12.22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70.04%，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2023年将单位资金全部纳入项目支出，今年将单位资金全部按照支出科目列入基本支出中</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中国人民政治协商会议新疆维吾尔自治区呼图壁县委员会2024年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469.39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469.39</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373.14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spacing w:val="-6"/>
          <w:kern w:val="0"/>
          <w:sz w:val="32"/>
          <w:szCs w:val="32"/>
        </w:rPr>
        <w:t>主要用于单位人员基本支出和项目支出；社会保障和就业支出</w:t>
      </w:r>
      <w:r>
        <w:rPr>
          <w:rFonts w:hint="eastAsia" w:ascii="仿宋_GB2312" w:hAnsi="宋体" w:eastAsia="仿宋_GB2312" w:cs="宋体"/>
          <w:spacing w:val="-6"/>
          <w:kern w:val="0"/>
          <w:sz w:val="32"/>
          <w:szCs w:val="32"/>
          <w:lang w:val="en-US" w:eastAsia="zh-CN"/>
        </w:rPr>
        <w:t>47.31</w:t>
      </w:r>
      <w:r>
        <w:rPr>
          <w:rFonts w:hint="eastAsia" w:ascii="仿宋_GB2312" w:hAnsi="宋体" w:eastAsia="仿宋_GB2312" w:cs="宋体"/>
          <w:spacing w:val="-6"/>
          <w:kern w:val="0"/>
          <w:sz w:val="32"/>
          <w:szCs w:val="32"/>
        </w:rPr>
        <w:t>万元， 主要用于人员</w:t>
      </w:r>
      <w:r>
        <w:rPr>
          <w:rFonts w:hint="eastAsia" w:ascii="仿宋_GB2312" w:hAnsi="宋体" w:eastAsia="仿宋_GB2312" w:cs="宋体"/>
          <w:spacing w:val="-6"/>
          <w:kern w:val="0"/>
          <w:sz w:val="32"/>
          <w:szCs w:val="32"/>
          <w:lang w:eastAsia="zh-CN"/>
        </w:rPr>
        <w:t>养老</w:t>
      </w:r>
      <w:r>
        <w:rPr>
          <w:rFonts w:hint="eastAsia" w:ascii="仿宋_GB2312" w:hAnsi="宋体" w:eastAsia="仿宋_GB2312" w:cs="宋体"/>
          <w:spacing w:val="-6"/>
          <w:kern w:val="0"/>
          <w:sz w:val="32"/>
          <w:szCs w:val="32"/>
        </w:rPr>
        <w:t>支出；卫生健康支出</w:t>
      </w:r>
      <w:r>
        <w:rPr>
          <w:rFonts w:hint="eastAsia" w:ascii="仿宋_GB2312" w:hAnsi="宋体" w:eastAsia="仿宋_GB2312" w:cs="宋体"/>
          <w:spacing w:val="-6"/>
          <w:kern w:val="0"/>
          <w:sz w:val="32"/>
          <w:szCs w:val="32"/>
          <w:lang w:val="en-US" w:eastAsia="zh-CN"/>
        </w:rPr>
        <w:t>21.52</w:t>
      </w:r>
      <w:r>
        <w:rPr>
          <w:rFonts w:hint="eastAsia" w:ascii="仿宋_GB2312" w:hAnsi="宋体" w:eastAsia="仿宋_GB2312" w:cs="宋体"/>
          <w:spacing w:val="-6"/>
          <w:kern w:val="0"/>
          <w:sz w:val="32"/>
          <w:szCs w:val="32"/>
        </w:rPr>
        <w:t>万元，主要用于人员医疗支出；住房保障支出</w:t>
      </w:r>
      <w:r>
        <w:rPr>
          <w:rFonts w:hint="eastAsia" w:ascii="仿宋_GB2312" w:hAnsi="宋体" w:eastAsia="仿宋_GB2312" w:cs="宋体"/>
          <w:spacing w:val="-6"/>
          <w:kern w:val="0"/>
          <w:sz w:val="32"/>
          <w:szCs w:val="32"/>
          <w:lang w:val="en-US" w:eastAsia="zh-CN"/>
        </w:rPr>
        <w:t>27.42</w:t>
      </w:r>
      <w:r>
        <w:rPr>
          <w:rFonts w:hint="eastAsia" w:ascii="仿宋_GB2312" w:hAnsi="宋体" w:eastAsia="仿宋_GB2312" w:cs="宋体"/>
          <w:spacing w:val="-6"/>
          <w:kern w:val="0"/>
          <w:sz w:val="32"/>
          <w:szCs w:val="32"/>
        </w:rPr>
        <w:t xml:space="preserve"> 万元，主要用于人员住房公积金支出。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中国人民政治协商会议新疆维吾尔自治区呼图壁县委员会2024年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宋体" w:eastAsia="仿宋_GB2312" w:cs="宋体"/>
          <w:color w:val="auto"/>
          <w:kern w:val="0"/>
          <w:sz w:val="32"/>
          <w:szCs w:val="32"/>
          <w:highlight w:val="none"/>
          <w:lang w:val="en-US" w:eastAsia="zh-CN"/>
        </w:rPr>
        <w:t>469.39</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386.39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81.81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26.86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去年工资普调，增加了基础性绩效工资，社保公积金基数也随之调整</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83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56.6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2024年政协运转经费预算到60万元，去年预算30万元。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color w:val="auto"/>
          <w:kern w:val="0"/>
          <w:sz w:val="32"/>
          <w:szCs w:val="32"/>
          <w:highlight w:val="none"/>
          <w:lang w:val="en-US" w:eastAsia="zh-CN"/>
        </w:rPr>
        <w:t>373.14</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79.49</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kern w:val="0"/>
          <w:sz w:val="32"/>
          <w:szCs w:val="32"/>
          <w:lang w:eastAsia="zh-CN"/>
        </w:rPr>
        <w:t>社会保障和就业支出（类）</w:t>
      </w:r>
      <w:r>
        <w:rPr>
          <w:rFonts w:hint="eastAsia" w:ascii="仿宋_GB2312" w:hAnsi="仿宋_GB2312" w:eastAsia="仿宋_GB2312" w:cs="仿宋_GB2312"/>
          <w:kern w:val="0"/>
          <w:sz w:val="32"/>
          <w:szCs w:val="32"/>
          <w:lang w:val="en-US" w:eastAsia="zh-CN"/>
        </w:rPr>
        <w:t>47.31</w:t>
      </w:r>
      <w:r>
        <w:rPr>
          <w:rFonts w:hint="eastAsia" w:ascii="仿宋_GB2312" w:hAnsi="仿宋_GB2312" w:eastAsia="仿宋_GB2312" w:cs="仿宋_GB2312"/>
          <w:kern w:val="0"/>
          <w:sz w:val="32"/>
          <w:szCs w:val="32"/>
          <w:lang w:eastAsia="zh-CN"/>
        </w:rPr>
        <w:t>万元，占</w:t>
      </w:r>
      <w:r>
        <w:rPr>
          <w:rFonts w:hint="eastAsia" w:ascii="仿宋_GB2312" w:hAnsi="仿宋_GB2312" w:eastAsia="仿宋_GB2312" w:cs="仿宋_GB2312"/>
          <w:kern w:val="0"/>
          <w:sz w:val="32"/>
          <w:szCs w:val="32"/>
          <w:lang w:val="en-US" w:eastAsia="zh-CN"/>
        </w:rPr>
        <w:t>10.08</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3.卫生健康支出（类）</w:t>
      </w:r>
      <w:r>
        <w:rPr>
          <w:rFonts w:hint="eastAsia" w:ascii="仿宋_GB2312" w:hAnsi="仿宋_GB2312" w:eastAsia="仿宋_GB2312" w:cs="仿宋_GB2312"/>
          <w:kern w:val="0"/>
          <w:sz w:val="32"/>
          <w:szCs w:val="32"/>
          <w:lang w:val="en-US" w:eastAsia="zh-CN"/>
        </w:rPr>
        <w:t>21.52</w:t>
      </w:r>
      <w:r>
        <w:rPr>
          <w:rFonts w:hint="eastAsia" w:ascii="仿宋_GB2312" w:hAnsi="仿宋_GB2312" w:eastAsia="仿宋_GB2312" w:cs="仿宋_GB2312"/>
          <w:kern w:val="0"/>
          <w:sz w:val="32"/>
          <w:szCs w:val="32"/>
          <w:lang w:eastAsia="zh-CN"/>
        </w:rPr>
        <w:t xml:space="preserve"> 万元，占</w:t>
      </w:r>
      <w:r>
        <w:rPr>
          <w:rFonts w:hint="eastAsia" w:ascii="仿宋_GB2312" w:hAnsi="仿宋_GB2312" w:eastAsia="仿宋_GB2312" w:cs="仿宋_GB2312"/>
          <w:kern w:val="0"/>
          <w:sz w:val="32"/>
          <w:szCs w:val="32"/>
          <w:lang w:val="en-US" w:eastAsia="zh-CN"/>
        </w:rPr>
        <w:t>4.58</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kern w:val="0"/>
          <w:sz w:val="32"/>
          <w:szCs w:val="32"/>
          <w:lang w:eastAsia="zh-CN"/>
        </w:rPr>
        <w:t>4.住房保障支出（类）</w:t>
      </w:r>
      <w:r>
        <w:rPr>
          <w:rFonts w:hint="eastAsia" w:ascii="仿宋_GB2312" w:hAnsi="仿宋_GB2312" w:eastAsia="仿宋_GB2312" w:cs="仿宋_GB2312"/>
          <w:kern w:val="0"/>
          <w:sz w:val="32"/>
          <w:szCs w:val="32"/>
          <w:lang w:val="en-US" w:eastAsia="zh-CN"/>
        </w:rPr>
        <w:t>27.42</w:t>
      </w:r>
      <w:r>
        <w:rPr>
          <w:rFonts w:hint="eastAsia" w:ascii="仿宋_GB2312" w:hAnsi="仿宋_GB2312" w:eastAsia="仿宋_GB2312" w:cs="仿宋_GB2312"/>
          <w:kern w:val="0"/>
          <w:sz w:val="32"/>
          <w:szCs w:val="32"/>
          <w:lang w:eastAsia="zh-CN"/>
        </w:rPr>
        <w:t xml:space="preserve"> 万元，占 </w:t>
      </w:r>
      <w:r>
        <w:rPr>
          <w:rFonts w:hint="eastAsia" w:ascii="仿宋_GB2312" w:hAnsi="仿宋_GB2312" w:eastAsia="仿宋_GB2312" w:cs="仿宋_GB2312"/>
          <w:kern w:val="0"/>
          <w:sz w:val="32"/>
          <w:szCs w:val="32"/>
          <w:lang w:val="en-US" w:eastAsia="zh-CN"/>
        </w:rPr>
        <w:t>5.85</w:t>
      </w:r>
      <w:r>
        <w:rPr>
          <w:rFonts w:hint="eastAsia" w:ascii="仿宋_GB2312" w:hAnsi="仿宋_GB2312" w:eastAsia="仿宋_GB2312" w:cs="仿宋_GB2312"/>
          <w:kern w:val="0"/>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政协事务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行政运行（项）:2024</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350.14</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95.38</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37.44</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去年工资普调，增加了基础性绩效工资</w:t>
      </w:r>
      <w:r>
        <w:rPr>
          <w:rFonts w:hint="eastAsia" w:ascii="仿宋_GB2312" w:hAnsi="宋体" w:eastAsia="仿宋_GB2312" w:cs="宋体"/>
          <w:kern w:val="0"/>
          <w:sz w:val="32"/>
          <w:szCs w:val="32"/>
          <w:lang w:val="en-US" w:eastAsia="zh-CN"/>
        </w:rPr>
        <w:t>,2024年政协运转经费比去年多预算30万元，将单位资金预算列入此科目</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政协事务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政协会议（项）:2024</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18</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%，主要原因是：会议费为每年固定金额。</w:t>
      </w:r>
    </w:p>
    <w:p>
      <w:pPr>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政协事务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zh-CN" w:eastAsia="zh-CN"/>
        </w:rPr>
        <w:t>其他政协事务支出</w:t>
      </w:r>
      <w:r>
        <w:rPr>
          <w:rFonts w:hint="eastAsia" w:ascii="仿宋_GB2312" w:hAnsi="仿宋_GB2312" w:eastAsia="仿宋_GB2312" w:cs="仿宋_GB2312"/>
          <w:kern w:val="0"/>
          <w:sz w:val="32"/>
          <w:szCs w:val="32"/>
          <w:lang w:val="en-US" w:eastAsia="zh-CN"/>
        </w:rPr>
        <w:t>（项）:2024</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%，主要原因是：基层政协补助资金为每年固定金额。</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lang w:eastAsia="zh-CN"/>
        </w:rPr>
        <w:t>.社会保障和就业支出（类）行政事业单位养老支出（款）</w:t>
      </w:r>
      <w:r>
        <w:rPr>
          <w:rFonts w:hint="eastAsia" w:ascii="仿宋_GB2312" w:hAnsi="仿宋_GB2312" w:eastAsia="仿宋_GB2312" w:cs="仿宋_GB2312"/>
          <w:kern w:val="0"/>
          <w:sz w:val="32"/>
          <w:szCs w:val="32"/>
          <w:lang w:val="zh-CN" w:eastAsia="zh-CN"/>
        </w:rPr>
        <w:t>行政单位离退休（</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2024年预算数为13.72</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13.72</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今年将退休人员缴纳医疗和采暖补贴单列此科目</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社会保障和就业支出（类）行政事业单位养老支出（款）</w:t>
      </w:r>
      <w:r>
        <w:rPr>
          <w:rFonts w:hint="eastAsia" w:ascii="仿宋_GB2312" w:hAnsi="仿宋_GB2312" w:eastAsia="仿宋_GB2312" w:cs="仿宋_GB2312"/>
          <w:kern w:val="0"/>
          <w:sz w:val="32"/>
          <w:szCs w:val="32"/>
          <w:lang w:val="zh-CN" w:eastAsia="zh-CN"/>
        </w:rPr>
        <w:t>机关事业单位基本养老保险缴费支出（</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2024年预算数为33.59</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6.73</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25.06</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去年工资普调，增加了基础性绩效工资，社保基数也随之调整</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.卫生健康支出（类）行政事业单位医疗（款）行政单位医疗（</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2024年预算数为13.75</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10.86</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44.13</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kern w:val="0"/>
          <w:sz w:val="32"/>
          <w:szCs w:val="32"/>
          <w:lang w:val="en-US" w:eastAsia="zh-CN"/>
        </w:rPr>
        <w:t>1.</w:t>
      </w:r>
      <w:r>
        <w:rPr>
          <w:rFonts w:hint="eastAsia" w:ascii="仿宋_GB2312" w:hAnsi="宋体" w:eastAsia="仿宋_GB2312" w:cs="宋体"/>
          <w:kern w:val="0"/>
          <w:sz w:val="32"/>
          <w:szCs w:val="32"/>
          <w:lang w:eastAsia="zh-CN"/>
        </w:rPr>
        <w:t>将退休人员医疗单列</w:t>
      </w:r>
      <w:r>
        <w:rPr>
          <w:rFonts w:hint="eastAsia" w:ascii="仿宋_GB2312" w:hAnsi="仿宋_GB2312" w:eastAsia="仿宋_GB2312" w:cs="仿宋_GB2312"/>
          <w:kern w:val="0"/>
          <w:sz w:val="32"/>
          <w:szCs w:val="32"/>
          <w:lang w:val="zh-CN" w:eastAsia="zh-CN"/>
        </w:rPr>
        <w:t>行政单位离退休科目内</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w:t>
      </w:r>
      <w:r>
        <w:rPr>
          <w:rFonts w:hint="eastAsia" w:ascii="仿宋_GB2312" w:hAnsi="宋体" w:eastAsia="仿宋_GB2312" w:cs="宋体"/>
          <w:kern w:val="0"/>
          <w:sz w:val="32"/>
          <w:szCs w:val="32"/>
          <w:lang w:eastAsia="zh-CN"/>
        </w:rPr>
        <w:t>去年将行政、事业单位医疗都放在此科目下，今年将事业单位医疗单列</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lang w:eastAsia="zh-CN"/>
        </w:rPr>
        <w:t>.卫生健康支出（类）行政事业单位医疗（款）事业单位医疗（</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2024年预算数为3.05</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3.05</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今年将事业单位医疗单列</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卫生健康支出（类）行政事业单位医疗（款）公务员医疗补助（</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2024年预算数为4.62</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2.15</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31.76</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将退休人员医疗剔出单列</w:t>
      </w:r>
      <w:r>
        <w:rPr>
          <w:rFonts w:hint="eastAsia" w:ascii="仿宋_GB2312" w:hAnsi="仿宋_GB2312" w:eastAsia="仿宋_GB2312" w:cs="仿宋_GB2312"/>
          <w:kern w:val="0"/>
          <w:sz w:val="32"/>
          <w:szCs w:val="32"/>
          <w:lang w:val="zh-CN" w:eastAsia="zh-CN"/>
        </w:rPr>
        <w:t>行政单位离退休科目内</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lang w:eastAsia="zh-CN"/>
        </w:rPr>
        <w:t>.卫生健康支出（类）行政事业单位医疗（款）</w:t>
      </w:r>
      <w:r>
        <w:rPr>
          <w:rFonts w:hint="eastAsia" w:ascii="仿宋_GB2312" w:hAnsi="仿宋_GB2312" w:eastAsia="仿宋_GB2312" w:cs="仿宋_GB2312"/>
          <w:kern w:val="0"/>
          <w:sz w:val="32"/>
          <w:szCs w:val="32"/>
          <w:lang w:val="zh-CN" w:eastAsia="zh-CN"/>
        </w:rPr>
        <w:t>其他行政事业单位医疗支出</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2024年预算数为0.1</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将工伤、失业、大病保险缴纳人员无变化</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lang w:eastAsia="zh-CN"/>
        </w:rPr>
        <w:t>. 住房保障支出（类）住房改革支出（款）住房公积金（</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2024年预算数为27.42</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5.94</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27.65</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去年工资普调，增加了基础性绩效工资，住房公积金基数也随之调整</w:t>
      </w:r>
      <w:r>
        <w:rPr>
          <w:rFonts w:hint="eastAsia" w:ascii="仿宋_GB2312" w:hAnsi="仿宋_GB2312" w:eastAsia="仿宋_GB2312" w:cs="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中国人民政治协商会议新疆维吾尔自治区呼图壁县委员会2024年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中国人民政治协商会议新疆维吾尔自治区呼图壁县委员会2024年一般公共预算基本支出</w:t>
      </w:r>
      <w:r>
        <w:rPr>
          <w:rFonts w:hint="eastAsia" w:ascii="仿宋_GB2312" w:hAnsi="仿宋_GB2312" w:eastAsia="仿宋_GB2312" w:cs="仿宋_GB2312"/>
          <w:kern w:val="0"/>
          <w:sz w:val="32"/>
          <w:szCs w:val="32"/>
          <w:lang w:val="en-US" w:eastAsia="zh-CN"/>
        </w:rPr>
        <w:t>386.39</w:t>
      </w:r>
      <w:r>
        <w:rPr>
          <w:rFonts w:hint="eastAsia" w:ascii="仿宋_GB2312" w:hAnsi="仿宋_GB2312" w:eastAsia="仿宋_GB2312" w:cs="仿宋_GB2312"/>
          <w:kern w:val="0"/>
          <w:sz w:val="32"/>
          <w:szCs w:val="32"/>
          <w:lang w:eastAsia="zh-CN"/>
        </w:rPr>
        <w:t>万元， 其中：</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人员经费</w:t>
      </w:r>
      <w:r>
        <w:rPr>
          <w:rFonts w:hint="eastAsia" w:ascii="仿宋_GB2312" w:hAnsi="仿宋_GB2312" w:eastAsia="仿宋_GB2312" w:cs="仿宋_GB2312"/>
          <w:kern w:val="0"/>
          <w:sz w:val="32"/>
          <w:szCs w:val="32"/>
          <w:lang w:val="en-US" w:eastAsia="zh-CN"/>
        </w:rPr>
        <w:t>353.97</w:t>
      </w:r>
      <w:r>
        <w:rPr>
          <w:rFonts w:hint="eastAsia" w:ascii="仿宋_GB2312" w:hAnsi="仿宋_GB2312" w:eastAsia="仿宋_GB2312" w:cs="仿宋_GB2312"/>
          <w:kern w:val="0"/>
          <w:sz w:val="32"/>
          <w:szCs w:val="32"/>
          <w:lang w:eastAsia="zh-CN"/>
        </w:rPr>
        <w:t>万元，主要包括：基本工资、津贴补贴、奖金、绩效工资、机关事业单位基本养老保险缴费、职工基本医疗保险缴费、公务员医疗补助缴费、其他社会保障缴费、住房公积金、其他工资福利支出、退休费、奖励金、其他对个人和家庭的补助。</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公用经费</w:t>
      </w:r>
      <w:r>
        <w:rPr>
          <w:rFonts w:hint="eastAsia" w:ascii="仿宋_GB2312" w:hAnsi="仿宋_GB2312" w:eastAsia="仿宋_GB2312" w:cs="仿宋_GB2312"/>
          <w:kern w:val="0"/>
          <w:sz w:val="32"/>
          <w:szCs w:val="32"/>
          <w:lang w:val="en-US" w:eastAsia="zh-CN"/>
        </w:rPr>
        <w:t>32.41</w:t>
      </w:r>
      <w:r>
        <w:rPr>
          <w:rFonts w:hint="eastAsia" w:ascii="仿宋_GB2312" w:hAnsi="仿宋_GB2312" w:eastAsia="仿宋_GB2312" w:cs="仿宋_GB2312"/>
          <w:kern w:val="0"/>
          <w:sz w:val="32"/>
          <w:szCs w:val="32"/>
          <w:lang w:eastAsia="zh-CN"/>
        </w:rPr>
        <w:t>万元，主要包括：办公费、邮电费、差旅费、会议费、公务接待费、工会经费、公务用车运行维护费、其他交通费用。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中国人民政治协商会议新疆维吾尔自治区呼图壁县委员会2024年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政协会议费</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呼财字（</w:t>
      </w:r>
      <w:r>
        <w:rPr>
          <w:rFonts w:hint="eastAsia" w:ascii="仿宋_GB2312" w:hAnsi="宋体" w:eastAsia="仿宋_GB2312" w:cs="宋体"/>
          <w:kern w:val="0"/>
          <w:sz w:val="32"/>
          <w:szCs w:val="32"/>
          <w:lang w:val="en-US" w:eastAsia="zh-CN"/>
        </w:rPr>
        <w:t>2024）5号</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18万元</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中国人民政治协商会议新疆维吾尔自治区呼图壁县委员会</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18万元</w:t>
      </w:r>
      <w:r>
        <w:rPr>
          <w:rFonts w:hint="eastAsia" w:ascii="仿宋_GB2312" w:hAnsi="黑体" w:eastAsia="仿宋_GB2312"/>
          <w:sz w:val="32"/>
          <w:szCs w:val="32"/>
          <w:lang w:eastAsia="zh-CN"/>
        </w:rPr>
        <w:t>主要用于</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政协会议费，</w:t>
      </w:r>
      <w:r>
        <w:rPr>
          <w:rFonts w:hint="eastAsia" w:ascii="仿宋_GB2312" w:hAnsi="黑体" w:eastAsia="仿宋_GB2312"/>
          <w:sz w:val="32"/>
          <w:szCs w:val="32"/>
          <w:lang w:eastAsia="zh-CN"/>
        </w:rPr>
        <w:t>保障</w:t>
      </w:r>
      <w:r>
        <w:rPr>
          <w:rFonts w:hint="eastAsia" w:ascii="仿宋_GB2312" w:hAnsi="黑体" w:eastAsia="仿宋_GB2312"/>
          <w:sz w:val="32"/>
          <w:szCs w:val="32"/>
          <w:lang w:val="en-US" w:eastAsia="zh-CN"/>
        </w:rPr>
        <w:t>2024</w:t>
      </w:r>
      <w:r>
        <w:rPr>
          <w:rFonts w:hint="eastAsia" w:ascii="仿宋_GB2312" w:hAnsi="黑体" w:eastAsia="仿宋_GB2312"/>
          <w:sz w:val="32"/>
          <w:szCs w:val="32"/>
          <w:lang w:eastAsia="zh-CN"/>
        </w:rPr>
        <w:t>年政协全会顺利召开</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2024年1月1日-2024年12月31日</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政协运转经费</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呼财字（</w:t>
      </w:r>
      <w:r>
        <w:rPr>
          <w:rFonts w:hint="eastAsia" w:ascii="仿宋_GB2312" w:hAnsi="宋体" w:eastAsia="仿宋_GB2312" w:cs="宋体"/>
          <w:kern w:val="0"/>
          <w:sz w:val="32"/>
          <w:szCs w:val="32"/>
          <w:lang w:val="en-US" w:eastAsia="zh-CN"/>
        </w:rPr>
        <w:t>2024）5号</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60万元</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中国人民政治协商会议新疆维吾尔自治区呼图壁县委员会</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60万元主要用于</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政协运转经费</w:t>
      </w:r>
    </w:p>
    <w:p>
      <w:pPr>
        <w:spacing w:line="560" w:lineRule="exact"/>
        <w:rPr>
          <w:rFonts w:hint="eastAsia" w:ascii="仿宋_GB2312" w:hAnsi="宋体" w:eastAsia="仿宋_GB2312" w:cs="宋体"/>
          <w:kern w:val="0"/>
          <w:sz w:val="32"/>
          <w:szCs w:val="32"/>
          <w:lang w:eastAsia="zh-CN"/>
        </w:rPr>
      </w:pPr>
      <w:r>
        <w:rPr>
          <w:rFonts w:hint="eastAsia" w:ascii="仿宋_GB2312" w:hAnsi="黑体" w:eastAsia="仿宋_GB2312"/>
          <w:sz w:val="32"/>
          <w:szCs w:val="32"/>
          <w:lang w:eastAsia="zh-CN"/>
        </w:rPr>
        <w:t>保障政协常委会、调研视察各项工作顺利开展</w:t>
      </w:r>
    </w:p>
    <w:p>
      <w:pPr>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lang w:val="en-US" w:eastAsia="zh-CN"/>
        </w:rPr>
      </w:pP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自治区基层政协补助经费</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昌州财行（</w:t>
      </w:r>
      <w:r>
        <w:rPr>
          <w:rFonts w:hint="eastAsia" w:ascii="仿宋_GB2312" w:hAnsi="宋体" w:eastAsia="仿宋_GB2312" w:cs="宋体"/>
          <w:kern w:val="0"/>
          <w:sz w:val="32"/>
          <w:szCs w:val="32"/>
          <w:lang w:val="en-US" w:eastAsia="zh-CN"/>
        </w:rPr>
        <w:t>2023</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44号</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5万元</w:t>
      </w:r>
    </w:p>
    <w:p>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中国人民政治协商会议新疆维吾尔自治区呼图壁县委员会</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5万元主要用于</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自治区基层政协补助经费，保障基层政协办公费用</w:t>
      </w:r>
    </w:p>
    <w:p>
      <w:pPr>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中国人民政治协商会议新疆维吾尔自治区呼图壁县委员会2024年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中国人民政治协商会议新疆维吾尔自治区呼图壁县委员会2024年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中国人民政治协商会议新疆维吾尔自治区呼图壁县委员会2024年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中国人民政治协商会议新疆维吾尔自治区呼图壁县委员会2024年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30.01</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29</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1.01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20.41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212.6%，</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19.4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202.08%，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列入了政协运转经费和自治区政协基层补助资金中列支的公务用车运行经费</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1.01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w:t>
      </w:r>
      <w:r>
        <w:rPr>
          <w:rFonts w:hint="eastAsia" w:ascii="仿宋_GB2312" w:hAnsi="宋体" w:eastAsia="仿宋_GB2312" w:cs="宋体"/>
          <w:kern w:val="0"/>
          <w:sz w:val="32"/>
          <w:szCs w:val="32"/>
          <w:lang w:eastAsia="zh-CN"/>
        </w:rPr>
        <w:t>未安排预算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中国人民政治协商会议新疆维吾尔自治区呼图壁县委员会2024年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 xml:space="preserve">  32.41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5.74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21.52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公车运行经费预算增加和补选了政协委员，政协委员活动经费有所增加</w:t>
      </w:r>
      <w:r>
        <w:rPr>
          <w:rFonts w:hint="eastAsia" w:ascii="仿宋_GB2312" w:hAnsi="仿宋_GB2312" w:eastAsia="仿宋_GB2312" w:cs="仿宋_GB2312"/>
          <w:color w:val="auto"/>
          <w:kern w:val="0"/>
          <w:sz w:val="32"/>
          <w:szCs w:val="32"/>
          <w:highlight w:val="none"/>
        </w:rPr>
        <w:t>。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138.32</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22.7</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115.62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115.62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92.5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因办公用房属于县四套班子有其他部门综合办公楼</w:t>
      </w:r>
      <w:r>
        <w:rPr>
          <w:rFonts w:hint="eastAsia" w:ascii="仿宋_GB2312" w:hAnsi="仿宋_GB2312" w:eastAsia="仿宋_GB2312" w:cs="仿宋_GB2312"/>
          <w:kern w:val="0"/>
          <w:sz w:val="32"/>
          <w:szCs w:val="32"/>
          <w:lang w:eastAsia="zh-CN"/>
        </w:rPr>
        <w:t>，资产不在我单位登记，故我单位账面房屋无价值）。</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82.3</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82.3</w:t>
      </w:r>
      <w:r>
        <w:rPr>
          <w:rFonts w:hint="eastAsia" w:ascii="仿宋_GB2312" w:hAnsi="仿宋_GB2312" w:eastAsia="仿宋_GB2312" w:cs="仿宋_GB2312"/>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12.05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40.86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中国人民政治协商会议新疆维吾尔自治区呼图壁县委员会</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2024年中国人民政治协商会议新疆维吾尔自治区呼图壁县委员会</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整体预算绩效目标1个，涉及金额469.39万元；当年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涉及预算金额83万元；当年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8"/>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sz w:val="18"/>
              </w:rPr>
              <w:t>中国人民政治协商会议新疆维吾尔自治区呼图壁县委员会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许瑛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13999968420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通过正常发放、缴纳单位干部职工工资社保公积金，保证单位正常运转。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469.39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ind w:firstLine="291" w:firstLineChars="0"/>
              <w:jc w:val="left"/>
              <w:textAlignment w:val="center"/>
              <w:rPr>
                <w:rFonts w:hint="eastAsia" w:ascii="宋体" w:hAnsi="宋体" w:eastAsia="宋体" w:cs="宋体"/>
                <w:i w:val="0"/>
                <w:iCs w:val="0"/>
                <w:color w:val="000000"/>
                <w:sz w:val="20"/>
                <w:szCs w:val="20"/>
                <w:u w:val="none"/>
              </w:rPr>
            </w:pPr>
            <w:r>
              <w:rPr>
                <w:rFonts w:ascii="Arial" w:hAnsi="Arial" w:eastAsia="宋体" w:cs="Arial"/>
                <w:i w:val="0"/>
                <w:iCs w:val="0"/>
                <w:caps w:val="0"/>
                <w:color w:val="2B2B2B"/>
                <w:spacing w:val="0"/>
                <w:sz w:val="19"/>
                <w:szCs w:val="19"/>
                <w:shd w:val="clear" w:fill="FFFFFF" w:themeFill="background1"/>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ascii="Arial" w:hAnsi="Arial" w:eastAsia="宋体" w:cs="Arial"/>
                <w:i w:val="0"/>
                <w:iCs w:val="0"/>
                <w:caps w:val="0"/>
                <w:color w:val="2B2B2B"/>
                <w:spacing w:val="0"/>
                <w:sz w:val="19"/>
                <w:szCs w:val="19"/>
                <w:shd w:val="clear" w:fill="FFFFFF" w:themeFill="background1"/>
              </w:rPr>
              <w:t>组织召开政协全会次数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ascii="Arial" w:hAnsi="Arial" w:eastAsia="宋体" w:cs="Arial"/>
                <w:i w:val="0"/>
                <w:iCs w:val="0"/>
                <w:caps w:val="0"/>
                <w:color w:val="auto"/>
                <w:spacing w:val="0"/>
                <w:sz w:val="19"/>
                <w:szCs w:val="19"/>
                <w:shd w:val="clear" w:fill="FFFFFF" w:themeFill="background1"/>
              </w:rPr>
              <w:t>2024年工作要点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ascii="Arial" w:hAnsi="Arial" w:eastAsia="宋体" w:cs="Arial"/>
                <w:i w:val="0"/>
                <w:iCs w:val="0"/>
                <w:caps w:val="0"/>
                <w:color w:val="auto"/>
                <w:spacing w:val="0"/>
                <w:sz w:val="19"/>
                <w:szCs w:val="19"/>
                <w:shd w:val="clear" w:fill="FFFFFF" w:themeFill="background1"/>
              </w:rPr>
              <w:t>组织召开政协常委会次数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ascii="Arial" w:hAnsi="Arial" w:eastAsia="宋体" w:cs="Arial"/>
                <w:i w:val="0"/>
                <w:iCs w:val="0"/>
                <w:caps w:val="0"/>
                <w:color w:val="2B2B2B"/>
                <w:spacing w:val="0"/>
                <w:sz w:val="19"/>
                <w:szCs w:val="19"/>
                <w:shd w:val="clear" w:fill="FFFFFF" w:themeFill="background1"/>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ascii="Arial" w:hAnsi="Arial" w:eastAsia="宋体" w:cs="Arial"/>
                <w:i w:val="0"/>
                <w:iCs w:val="0"/>
                <w:caps w:val="0"/>
                <w:color w:val="auto"/>
                <w:spacing w:val="0"/>
                <w:sz w:val="19"/>
                <w:szCs w:val="19"/>
                <w:shd w:val="clear" w:fill="FFFFFF" w:themeFill="background1"/>
              </w:rPr>
              <w:t>2024年工作要点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ascii="Arial" w:hAnsi="Arial" w:eastAsia="宋体" w:cs="Arial"/>
                <w:i w:val="0"/>
                <w:iCs w:val="0"/>
                <w:caps w:val="0"/>
                <w:color w:val="2B2B2B"/>
                <w:spacing w:val="0"/>
                <w:sz w:val="19"/>
                <w:szCs w:val="19"/>
                <w:shd w:val="clear" w:fill="FFFFFF" w:themeFill="background1"/>
              </w:rPr>
              <w:t>举办政协委员专题培训班次数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ascii="Arial" w:hAnsi="Arial" w:eastAsia="宋体" w:cs="Arial"/>
                <w:i w:val="0"/>
                <w:iCs w:val="0"/>
                <w:caps w:val="0"/>
                <w:color w:val="auto"/>
                <w:spacing w:val="0"/>
                <w:sz w:val="19"/>
                <w:szCs w:val="19"/>
                <w:shd w:val="clear" w:fill="FFFFFF" w:themeFill="background1"/>
              </w:rPr>
              <w:t>2024年工作要点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ascii="Arial" w:hAnsi="Arial" w:eastAsia="宋体" w:cs="Arial"/>
                <w:i w:val="0"/>
                <w:iCs w:val="0"/>
                <w:caps w:val="0"/>
                <w:color w:val="2B2B2B"/>
                <w:spacing w:val="0"/>
                <w:sz w:val="19"/>
                <w:szCs w:val="19"/>
                <w:shd w:val="clear" w:fill="FFFFFF" w:themeFill="background1"/>
              </w:rPr>
              <w:t>编发社情民意信息期数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ascii="Arial" w:hAnsi="Arial" w:eastAsia="宋体" w:cs="Arial"/>
                <w:i w:val="0"/>
                <w:iCs w:val="0"/>
                <w:caps w:val="0"/>
                <w:color w:val="2B2B2B"/>
                <w:spacing w:val="0"/>
                <w:sz w:val="19"/>
                <w:szCs w:val="19"/>
                <w:shd w:val="clear" w:fill="FFFFFF" w:themeFill="background1"/>
              </w:rPr>
              <w:t>&gt;=25期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ascii="Arial" w:hAnsi="Arial" w:eastAsia="宋体" w:cs="Arial"/>
                <w:i w:val="0"/>
                <w:iCs w:val="0"/>
                <w:caps w:val="0"/>
                <w:color w:val="auto"/>
                <w:spacing w:val="0"/>
                <w:sz w:val="19"/>
                <w:szCs w:val="19"/>
                <w:shd w:val="clear" w:fill="FFFFFF" w:themeFill="background1"/>
              </w:rPr>
              <w:t>2024年工作要点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32"/>
        <w:gridCol w:w="818"/>
        <w:gridCol w:w="962"/>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sz w:val="18"/>
              </w:rPr>
              <w:t>中国人民政治协商会议新疆维吾尔自治区呼图壁县委员会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2024年政协会议费</w:t>
            </w:r>
          </w:p>
        </w:tc>
        <w:tc>
          <w:tcPr>
            <w:tcW w:w="17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寇立新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aps w:val="0"/>
                <w:color w:val="333333"/>
                <w:spacing w:val="0"/>
                <w:sz w:val="21"/>
                <w:szCs w:val="21"/>
                <w:shd w:val="clear" w:fill="FFFFFF"/>
              </w:rPr>
              <w:t>召开县政协十五届四次全体会议，就县委重点工作部署、政府工作报告、计划报告、预算报告、县人民法院工作报告</w:t>
            </w:r>
            <w:r>
              <w:rPr>
                <w:rFonts w:hint="eastAsia" w:ascii="宋体" w:hAnsi="宋体" w:cs="宋体"/>
                <w:i w:val="0"/>
                <w:iCs w:val="0"/>
                <w:caps w:val="0"/>
                <w:color w:val="333333"/>
                <w:spacing w:val="0"/>
                <w:sz w:val="21"/>
                <w:szCs w:val="21"/>
                <w:shd w:val="clear" w:fill="FFFFFF"/>
                <w:lang w:eastAsia="zh-CN"/>
              </w:rPr>
              <w:t>、</w:t>
            </w:r>
            <w:r>
              <w:rPr>
                <w:rFonts w:hint="eastAsia" w:ascii="宋体" w:hAnsi="宋体" w:eastAsia="宋体" w:cs="宋体"/>
                <w:i w:val="0"/>
                <w:iCs w:val="0"/>
                <w:caps w:val="0"/>
                <w:color w:val="333333"/>
                <w:spacing w:val="0"/>
                <w:sz w:val="21"/>
                <w:szCs w:val="21"/>
                <w:shd w:val="clear" w:fill="FFFFFF"/>
              </w:rPr>
              <w:t>县人民检察院工作报告协商建言。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参会政协委员人数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&gt;=10</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eastAsia="zh-CN"/>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2B2B2B"/>
                <w:spacing w:val="0"/>
                <w:sz w:val="16"/>
                <w:szCs w:val="16"/>
                <w:shd w:val="clear" w:fill="FFFFFF" w:themeFill="background1"/>
              </w:rPr>
              <w:t>召开政协会议次数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既定会议完成率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政协会保障资金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正常运转率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Arial" w:hAnsi="Arial" w:eastAsia="宋体" w:cs="Arial"/>
                <w:i w:val="0"/>
                <w:iCs w:val="0"/>
                <w:caps w:val="0"/>
                <w:color w:val="auto"/>
                <w:spacing w:val="0"/>
                <w:sz w:val="19"/>
                <w:szCs w:val="19"/>
                <w:shd w:val="clear" w:fill="FFFFFF" w:themeFill="background1"/>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政协委员满意度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Arial" w:hAnsi="Arial" w:eastAsia="宋体" w:cs="Arial"/>
                <w:i w:val="0"/>
                <w:iCs w:val="0"/>
                <w:caps w:val="0"/>
                <w:color w:val="auto"/>
                <w:spacing w:val="0"/>
                <w:sz w:val="19"/>
                <w:szCs w:val="19"/>
                <w:shd w:val="clear" w:fill="FFFFFF" w:themeFill="background1"/>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6"/>
                <w:szCs w:val="16"/>
                <w:highlight w:val="none"/>
                <w:u w:val="none"/>
                <w:lang w:eastAsia="zh-CN"/>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32"/>
        <w:gridCol w:w="818"/>
        <w:gridCol w:w="962"/>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sz w:val="18"/>
              </w:rPr>
              <w:t>中国人民政治协商会议新疆维吾尔自治区呼图壁县委员会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2024年政协运转经费</w:t>
            </w:r>
          </w:p>
        </w:tc>
        <w:tc>
          <w:tcPr>
            <w:tcW w:w="17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寇立新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aps w:val="0"/>
                <w:color w:val="333333"/>
                <w:spacing w:val="0"/>
                <w:sz w:val="21"/>
                <w:szCs w:val="21"/>
                <w:shd w:val="clear" w:fill="FFFFFF"/>
              </w:rPr>
              <w:t>保障机关正常运转，日常办公、车辆运行，调研视察、乡镇、社区委员联络站建设、组织开展委员培训活动等费用。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开展调研视察次数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eastAsia="zh-CN"/>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开展界别活动次数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w:t>
            </w:r>
            <w:r>
              <w:rPr>
                <w:rFonts w:hint="eastAsia" w:ascii="宋体" w:hAnsi="宋体" w:eastAsia="宋体" w:cs="宋体"/>
                <w:i w:val="0"/>
                <w:iCs w:val="0"/>
                <w:color w:val="000000"/>
                <w:sz w:val="18"/>
                <w:szCs w:val="18"/>
                <w:highlight w:val="none"/>
                <w:u w:val="none"/>
              </w:rPr>
              <w:t>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调研报告采纳率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全力保障单位正常运转资金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w:t>
            </w:r>
            <w:r>
              <w:rPr>
                <w:rFonts w:hint="eastAsia" w:ascii="宋体" w:hAnsi="宋体" w:cs="宋体"/>
                <w:i w:val="0"/>
                <w:iCs w:val="0"/>
                <w:color w:val="000000"/>
                <w:sz w:val="16"/>
                <w:szCs w:val="16"/>
                <w:highlight w:val="none"/>
                <w:u w:val="none"/>
                <w:lang w:val="en-US" w:eastAsia="zh-CN"/>
              </w:rPr>
              <w:t>60</w:t>
            </w:r>
            <w:r>
              <w:rPr>
                <w:rFonts w:hint="eastAsia" w:ascii="宋体" w:hAnsi="宋体" w:eastAsia="宋体" w:cs="宋体"/>
                <w:i w:val="0"/>
                <w:iCs w:val="0"/>
                <w:color w:val="000000"/>
                <w:sz w:val="16"/>
                <w:szCs w:val="16"/>
                <w:highlight w:val="none"/>
                <w:u w:val="none"/>
              </w:rPr>
              <w:t>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正常运转率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Arial" w:hAnsi="Arial" w:eastAsia="宋体" w:cs="Arial"/>
                <w:i w:val="0"/>
                <w:iCs w:val="0"/>
                <w:caps w:val="0"/>
                <w:color w:val="auto"/>
                <w:spacing w:val="0"/>
                <w:sz w:val="19"/>
                <w:szCs w:val="19"/>
                <w:shd w:val="clear" w:fill="FFFFFF" w:themeFill="background1"/>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政协委员满意度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Arial" w:hAnsi="Arial" w:eastAsia="宋体" w:cs="Arial"/>
                <w:i w:val="0"/>
                <w:iCs w:val="0"/>
                <w:caps w:val="0"/>
                <w:color w:val="auto"/>
                <w:spacing w:val="0"/>
                <w:sz w:val="19"/>
                <w:szCs w:val="19"/>
                <w:shd w:val="clear" w:fill="FFFFFF" w:themeFill="background1"/>
              </w:rPr>
              <w:t>&gt;=9</w:t>
            </w:r>
            <w:r>
              <w:rPr>
                <w:rFonts w:hint="eastAsia" w:ascii="Arial" w:hAnsi="Arial" w:cs="Arial"/>
                <w:i w:val="0"/>
                <w:iCs w:val="0"/>
                <w:caps w:val="0"/>
                <w:color w:val="auto"/>
                <w:spacing w:val="0"/>
                <w:sz w:val="19"/>
                <w:szCs w:val="19"/>
                <w:shd w:val="clear" w:fill="FFFFFF" w:themeFill="background1"/>
                <w:lang w:val="en-US" w:eastAsia="zh-CN"/>
              </w:rPr>
              <w:t>0</w:t>
            </w:r>
            <w:r>
              <w:rPr>
                <w:rFonts w:ascii="Arial" w:hAnsi="Arial" w:eastAsia="宋体" w:cs="Arial"/>
                <w:i w:val="0"/>
                <w:iCs w:val="0"/>
                <w:caps w:val="0"/>
                <w:color w:val="auto"/>
                <w:spacing w:val="0"/>
                <w:sz w:val="19"/>
                <w:szCs w:val="19"/>
                <w:shd w:val="clear" w:fill="FFFFFF" w:themeFill="background1"/>
              </w:rPr>
              <w:t>%</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6"/>
                <w:szCs w:val="16"/>
                <w:highlight w:val="none"/>
                <w:u w:val="none"/>
                <w:lang w:eastAsia="zh-CN"/>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932"/>
        <w:gridCol w:w="818"/>
        <w:gridCol w:w="962"/>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sz w:val="18"/>
              </w:rPr>
              <w:t>中国人民政治协商会议新疆维吾尔自治区呼图壁县委员会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lang w:val="en-US" w:eastAsia="zh-CN"/>
              </w:rPr>
              <w:t>2024年度自治区基层政协补助经费</w:t>
            </w:r>
          </w:p>
        </w:tc>
        <w:tc>
          <w:tcPr>
            <w:tcW w:w="17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寇立新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ascii="宋体" w:hAnsi="宋体" w:eastAsia="宋体" w:cs="宋体"/>
                <w:sz w:val="24"/>
                <w:szCs w:val="24"/>
              </w:rPr>
              <w:br w:type="textWrapping"/>
            </w:r>
            <w:r>
              <w:rPr>
                <w:rFonts w:hint="eastAsia" w:ascii="宋体" w:hAnsi="宋体" w:eastAsia="宋体" w:cs="宋体"/>
                <w:i w:val="0"/>
                <w:iCs w:val="0"/>
                <w:caps w:val="0"/>
                <w:color w:val="333333"/>
                <w:spacing w:val="0"/>
                <w:sz w:val="21"/>
                <w:szCs w:val="21"/>
                <w:shd w:val="clear" w:fill="FFFFFF"/>
              </w:rPr>
              <w:t>补充基层政协工作经费不足，保障机关正常运转。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召开常委会次数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lang w:eastAsia="zh-CN"/>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组织政协委员培训次数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培训合格率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&lt;=</w:t>
            </w:r>
            <w:r>
              <w:rPr>
                <w:rFonts w:hint="eastAsia" w:ascii="宋体" w:hAnsi="宋体" w:cs="宋体"/>
                <w:i w:val="0"/>
                <w:iCs w:val="0"/>
                <w:color w:val="000000"/>
                <w:sz w:val="16"/>
                <w:szCs w:val="16"/>
                <w:highlight w:val="none"/>
                <w:u w:val="none"/>
                <w:lang w:val="en-US" w:eastAsia="zh-CN"/>
              </w:rPr>
              <w:t>5</w:t>
            </w:r>
            <w:r>
              <w:rPr>
                <w:rFonts w:hint="eastAsia" w:ascii="宋体" w:hAnsi="宋体" w:eastAsia="宋体" w:cs="宋体"/>
                <w:i w:val="0"/>
                <w:iCs w:val="0"/>
                <w:color w:val="000000"/>
                <w:sz w:val="16"/>
                <w:szCs w:val="16"/>
                <w:highlight w:val="none"/>
                <w:u w:val="none"/>
              </w:rPr>
              <w:t>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6"/>
                <w:szCs w:val="16"/>
                <w:highlight w:val="none"/>
                <w:u w:val="none"/>
                <w:lang w:val="en-US" w:eastAsia="zh-CN"/>
              </w:rPr>
            </w:pPr>
            <w:r>
              <w:rPr>
                <w:rFonts w:hint="eastAsia" w:ascii="宋体" w:hAnsi="宋体" w:cs="宋体"/>
                <w:i w:val="0"/>
                <w:iCs w:val="0"/>
                <w:color w:val="000000"/>
                <w:sz w:val="16"/>
                <w:szCs w:val="16"/>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6"/>
                <w:szCs w:val="16"/>
                <w:highlight w:val="none"/>
                <w:u w:val="none"/>
              </w:rPr>
            </w:pPr>
            <w:r>
              <w:rPr>
                <w:rFonts w:ascii="Arial" w:hAnsi="Arial" w:eastAsia="宋体" w:cs="Arial"/>
                <w:i w:val="0"/>
                <w:iCs w:val="0"/>
                <w:caps w:val="0"/>
                <w:color w:val="auto"/>
                <w:spacing w:val="0"/>
                <w:sz w:val="16"/>
                <w:szCs w:val="16"/>
                <w:shd w:val="clear" w:fill="FFFFFF" w:themeFill="background1"/>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保障工作持续性开展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Arial" w:hAnsi="Arial" w:eastAsia="宋体" w:cs="Arial"/>
                <w:i w:val="0"/>
                <w:iCs w:val="0"/>
                <w:caps w:val="0"/>
                <w:color w:val="auto"/>
                <w:spacing w:val="0"/>
                <w:sz w:val="16"/>
                <w:szCs w:val="16"/>
                <w:shd w:val="clear" w:fill="FFFFFF" w:themeFill="background1"/>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政协委员满意度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Arial" w:hAnsi="Arial" w:eastAsia="宋体" w:cs="Arial"/>
                <w:i w:val="0"/>
                <w:iCs w:val="0"/>
                <w:caps w:val="0"/>
                <w:color w:val="auto"/>
                <w:spacing w:val="0"/>
                <w:sz w:val="19"/>
                <w:szCs w:val="19"/>
                <w:shd w:val="clear" w:fill="FFFFFF" w:themeFill="background1"/>
              </w:rPr>
              <w:t>&gt;=9</w:t>
            </w:r>
            <w:r>
              <w:rPr>
                <w:rFonts w:hint="eastAsia" w:ascii="Arial" w:hAnsi="Arial" w:cs="Arial"/>
                <w:i w:val="0"/>
                <w:iCs w:val="0"/>
                <w:caps w:val="0"/>
                <w:color w:val="auto"/>
                <w:spacing w:val="0"/>
                <w:sz w:val="19"/>
                <w:szCs w:val="19"/>
                <w:shd w:val="clear" w:fill="FFFFFF" w:themeFill="background1"/>
                <w:lang w:val="en-US" w:eastAsia="zh-CN"/>
              </w:rPr>
              <w:t>8</w:t>
            </w:r>
            <w:r>
              <w:rPr>
                <w:rFonts w:ascii="Arial" w:hAnsi="Arial" w:eastAsia="宋体" w:cs="Arial"/>
                <w:i w:val="0"/>
                <w:iCs w:val="0"/>
                <w:caps w:val="0"/>
                <w:color w:val="auto"/>
                <w:spacing w:val="0"/>
                <w:sz w:val="19"/>
                <w:szCs w:val="19"/>
                <w:shd w:val="clear" w:fill="FFFFFF" w:themeFill="background1"/>
              </w:rPr>
              <w:t>%</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Arial" w:hAnsi="Arial" w:eastAsia="宋体" w:cs="Arial"/>
                <w:i w:val="0"/>
                <w:iCs w:val="0"/>
                <w:caps w:val="0"/>
                <w:color w:val="auto"/>
                <w:spacing w:val="0"/>
                <w:sz w:val="16"/>
                <w:szCs w:val="16"/>
                <w:shd w:val="clear" w:fill="FFFFFF" w:themeFill="background1"/>
              </w:rPr>
              <w:t>2024年工作要点</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6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6"/>
                <w:szCs w:val="16"/>
                <w:highlight w:val="none"/>
                <w:u w:val="none"/>
                <w:lang w:eastAsia="zh-CN"/>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bookmarkStart w:id="0" w:name="_GoBack"/>
      <w:bookmarkEnd w:id="0"/>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spacing w:line="560" w:lineRule="exact"/>
        <w:ind w:firstLine="4160" w:firstLineChars="1300"/>
        <w:jc w:val="righ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lang w:eastAsia="zh-CN"/>
        </w:rPr>
        <w:t>中国人民政治协商会议新疆</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lang w:eastAsia="zh-CN"/>
        </w:rPr>
        <w:t>维吾尔自治区呼图壁县委员会</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28</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Microsoft Sans Serif">
    <w:panose1 w:val="020B0604020202020204"/>
    <w:charset w:val="00"/>
    <w:family w:val="swiss"/>
    <w:pitch w:val="default"/>
    <w:sig w:usb0="E1002AFF" w:usb1="C0000002" w:usb2="00000008"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- 2 -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6466840</wp:posOffset>
              </wp:positionH>
              <wp:positionV relativeFrom="page">
                <wp:posOffset>9701530</wp:posOffset>
              </wp:positionV>
              <wp:extent cx="205740" cy="1397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205740" cy="139700"/>
                      </a:xfrm>
                      <a:prstGeom prst="rect">
                        <a:avLst/>
                      </a:prstGeom>
                      <a:noFill/>
                      <a:ln>
                        <a:noFill/>
                      </a:ln>
                    </wps:spPr>
                    <wps:txbx>
                      <w:txbxContent>
                        <w:p>
                          <w:pPr>
                            <w:spacing w:before="0" w:line="193" w:lineRule="exact"/>
                            <w:ind w:left="20" w:right="0" w:firstLine="0"/>
                            <w:jc w:val="left"/>
                            <w:rPr>
                              <w:rFonts w:ascii="Microsoft Sans Serif"/>
                              <w:sz w:val="18"/>
                            </w:rPr>
                          </w:pPr>
                          <w:r>
                            <w:rPr>
                              <w:rFonts w:ascii="Microsoft Sans Serif"/>
                              <w:sz w:val="18"/>
                            </w:rPr>
                            <w:t xml:space="preserve">- </w:t>
                          </w:r>
                          <w:r>
                            <w:fldChar w:fldCharType="begin"/>
                          </w:r>
                          <w:r>
                            <w:rPr>
                              <w:rFonts w:ascii="Microsoft Sans Serif"/>
                              <w:sz w:val="18"/>
                            </w:rPr>
                            <w:instrText xml:space="preserve"> PAGE </w:instrText>
                          </w:r>
                          <w:r>
                            <w:fldChar w:fldCharType="separate"/>
                          </w:r>
                          <w:r>
                            <w:t>1</w:t>
                          </w:r>
                          <w:r>
                            <w:fldChar w:fldCharType="end"/>
                          </w:r>
                          <w:r>
                            <w:rPr>
                              <w:rFonts w:ascii="Microsoft Sans Serif"/>
                              <w:spacing w:val="-30"/>
                              <w:sz w:val="18"/>
                            </w:rPr>
                            <w:t xml:space="preserve"> </w:t>
                          </w:r>
                          <w:r>
                            <w:rPr>
                              <w:rFonts w:ascii="Microsoft Sans Serif"/>
                              <w:sz w:val="18"/>
                            </w:rPr>
                            <w:t>-</w:t>
                          </w:r>
                        </w:p>
                      </w:txbxContent>
                    </wps:txbx>
                    <wps:bodyPr lIns="0" tIns="0" rIns="0" bIns="0" upright="1"/>
                  </wps:wsp>
                </a:graphicData>
              </a:graphic>
            </wp:anchor>
          </w:drawing>
        </mc:Choice>
        <mc:Fallback>
          <w:pict>
            <v:shape id="_x0000_s1026" o:spid="_x0000_s1026" o:spt="202" type="#_x0000_t202" style="position:absolute;left:0pt;margin-left:509.2pt;margin-top:763.9pt;height:11pt;width:16.2pt;mso-position-horizontal-relative:page;mso-position-vertical-relative:page;z-index:-251657216;mso-width-relative:page;mso-height-relative:page;" filled="f" stroked="f" coordsize="21600,21600" o:gfxdata="UEsDBAoAAAAAAIdO4kAAAAAAAAAAAAAAAAAEAAAAZHJzL1BLAwQUAAAACACHTuJAR8XAr9oAAAAP&#10;AQAADwAAAGRycy9kb3ducmV2LnhtbE1Py07DMBC8I/UfrK3Ejdqp2pKGOBVCcEJCpOHA0YndxGq8&#10;DrH74O/ZnOhtZmc0O5Pvrq5nZzMG61FCshDADDZeW2wlfFVvDymwEBVq1Xs0En5NgF0xu8tVpv0F&#10;S3Pex5ZRCIZMSehiHDLOQ9MZp8LCDwZJO/jRqUh0bLke1YXCXc+XQmy4UxbpQ6cG89KZ5rg/OQnP&#10;31i+2p+P+rM8lLaqtgLfN0cp7+eJeAIWzTX+m2GqT9WhoE61P6EOrCcuknRFXkLr5SOtmDxiLQjV&#10;0221TYEXOb/dUfwBUEsDBBQAAAAIAIdO4kDabQgBnwEAACMDAAAOAAAAZHJzL2Uyb0RvYy54bWyt&#10;Uktu2zAQ3RfIHQjua8qu0ySC5QBFkCBA0RZIcwCaIi0CJIcgGUu+QHODrLrpvufyOTpkLOe3C7oZ&#10;DWdGj++94eJ8sIZsZIgaXEOnk4oS6QS02q0bevvz8uMpJTFx13IDTjZ0KyM9Xx59WPS+ljPowLQy&#10;EARxse59Q7uUfM1YFJ20PE7AS4dNBcHyhMewZm3gPaJbw2ZV9Zn1EFofQMgYsXrx2KTLgq+UFOm7&#10;UlEmYhqK3FKJocRVjmy54PU6cN9psafB38HCcu3w0gPUBU+c3AX9BspqESCCShMBloFSWsiiAdVM&#10;q1dqbjruZdGC5kR/sCn+P1jxbfMjEN02dE6J4xZXtHu43/3+u/vzi8yzPb2PNU7deJxLwxcYcM1j&#10;PWIxqx5UsPmLegj20ejtwVw5JCKwOKuOT+bYEdiafjo7qYr57OlnH2K6kmBJThoacHfFUr75GhMS&#10;wdFxJN/l4FIbU/Zn3IsCDuYKy8wfGeYsDathL2cF7RbVmGuHTuZXMSZhTFZjcueDXndIp2gukLiJ&#10;Qmb/avKqn5/LxU9ve/k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R8XAr9oAAAAPAQAADwAAAAAA&#10;AAABACAAAAAiAAAAZHJzL2Rvd25yZXYueG1sUEsBAhQAFAAAAAgAh07iQNptCAGfAQAAIwMAAA4A&#10;AAAAAAAAAQAgAAAAKQEAAGRycy9lMm9Eb2MueG1sUEsFBgAAAAAGAAYAWQEAADoFAAAAAA==&#10;">
              <v:fill on="f" focussize="0,0"/>
              <v:stroke on="f"/>
              <v:imagedata o:title=""/>
              <o:lock v:ext="edit" aspectratio="f"/>
              <v:textbox inset="0mm,0mm,0mm,0mm">
                <w:txbxContent>
                  <w:p>
                    <w:pPr>
                      <w:spacing w:before="0" w:line="193" w:lineRule="exact"/>
                      <w:ind w:left="20" w:right="0" w:firstLine="0"/>
                      <w:jc w:val="left"/>
                      <w:rPr>
                        <w:rFonts w:ascii="Microsoft Sans Serif"/>
                        <w:sz w:val="18"/>
                      </w:rPr>
                    </w:pPr>
                    <w:r>
                      <w:rPr>
                        <w:rFonts w:ascii="Microsoft Sans Serif"/>
                        <w:sz w:val="18"/>
                      </w:rPr>
                      <w:t xml:space="preserve">- </w:t>
                    </w:r>
                    <w:r>
                      <w:fldChar w:fldCharType="begin"/>
                    </w:r>
                    <w:r>
                      <w:rPr>
                        <w:rFonts w:ascii="Microsoft Sans Serif"/>
                        <w:sz w:val="18"/>
                      </w:rPr>
                      <w:instrText xml:space="preserve"> PAGE </w:instrText>
                    </w:r>
                    <w:r>
                      <w:fldChar w:fldCharType="separate"/>
                    </w:r>
                    <w:r>
                      <w:t>1</w:t>
                    </w:r>
                    <w:r>
                      <w:fldChar w:fldCharType="end"/>
                    </w:r>
                    <w:r>
                      <w:rPr>
                        <w:rFonts w:ascii="Microsoft Sans Serif"/>
                        <w:spacing w:val="-30"/>
                        <w:sz w:val="18"/>
                      </w:rPr>
                      <w:t xml:space="preserve"> </w:t>
                    </w:r>
                    <w:r>
                      <w:rPr>
                        <w:rFonts w:ascii="Microsoft Sans Serif"/>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p>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- 56 -</w:t>
                    </w:r>
                    <w: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ODIyOWI3OGY0NGY4YzdjYzlmNWI5ODBmZGU5ZDgifQ=="/>
  </w:docVars>
  <w:rsids>
    <w:rsidRoot w:val="10587512"/>
    <w:rsid w:val="00EE2224"/>
    <w:rsid w:val="04267B2D"/>
    <w:rsid w:val="05397FD9"/>
    <w:rsid w:val="05F257ED"/>
    <w:rsid w:val="070E6657"/>
    <w:rsid w:val="08450B28"/>
    <w:rsid w:val="0B247F12"/>
    <w:rsid w:val="0D6E5FD0"/>
    <w:rsid w:val="0E9208E7"/>
    <w:rsid w:val="10587512"/>
    <w:rsid w:val="10916BDA"/>
    <w:rsid w:val="1697741D"/>
    <w:rsid w:val="1732414C"/>
    <w:rsid w:val="1BEB54C3"/>
    <w:rsid w:val="1C3C6084"/>
    <w:rsid w:val="1CEB6DC6"/>
    <w:rsid w:val="1D3E1AFE"/>
    <w:rsid w:val="1EB61656"/>
    <w:rsid w:val="20DD55C0"/>
    <w:rsid w:val="22DB78DD"/>
    <w:rsid w:val="244D65B8"/>
    <w:rsid w:val="2492221D"/>
    <w:rsid w:val="26B4291F"/>
    <w:rsid w:val="26E769FA"/>
    <w:rsid w:val="293B2E83"/>
    <w:rsid w:val="2983527C"/>
    <w:rsid w:val="2A012DF7"/>
    <w:rsid w:val="2A092C9B"/>
    <w:rsid w:val="2AFC4894"/>
    <w:rsid w:val="2BF04276"/>
    <w:rsid w:val="2D480265"/>
    <w:rsid w:val="2D977453"/>
    <w:rsid w:val="2EE31DCC"/>
    <w:rsid w:val="2EF22236"/>
    <w:rsid w:val="340F2DD0"/>
    <w:rsid w:val="3FDF4D23"/>
    <w:rsid w:val="429631A2"/>
    <w:rsid w:val="43C26223"/>
    <w:rsid w:val="43D8307E"/>
    <w:rsid w:val="44085E95"/>
    <w:rsid w:val="465228C5"/>
    <w:rsid w:val="46CE3131"/>
    <w:rsid w:val="482A00E0"/>
    <w:rsid w:val="494F7907"/>
    <w:rsid w:val="4C0055E5"/>
    <w:rsid w:val="4C3677AE"/>
    <w:rsid w:val="4C706B3A"/>
    <w:rsid w:val="51C15CED"/>
    <w:rsid w:val="52285DEB"/>
    <w:rsid w:val="52AD62F0"/>
    <w:rsid w:val="546308FE"/>
    <w:rsid w:val="55082C4D"/>
    <w:rsid w:val="56F00E02"/>
    <w:rsid w:val="5B57329D"/>
    <w:rsid w:val="5F2346ED"/>
    <w:rsid w:val="61086613"/>
    <w:rsid w:val="6408782B"/>
    <w:rsid w:val="65322CBF"/>
    <w:rsid w:val="65334C03"/>
    <w:rsid w:val="68CC52CB"/>
    <w:rsid w:val="68DE4FFE"/>
    <w:rsid w:val="694B58D7"/>
    <w:rsid w:val="69CE4E15"/>
    <w:rsid w:val="69DE7E59"/>
    <w:rsid w:val="6B7F3246"/>
    <w:rsid w:val="6EF07839"/>
    <w:rsid w:val="6F63000B"/>
    <w:rsid w:val="72B56DCF"/>
    <w:rsid w:val="75B570E6"/>
    <w:rsid w:val="76D94210"/>
    <w:rsid w:val="77AF7C7C"/>
    <w:rsid w:val="780A1873"/>
    <w:rsid w:val="787D11B8"/>
    <w:rsid w:val="792C5912"/>
    <w:rsid w:val="7E715CB3"/>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 w:type="paragraph" w:customStyle="1" w:styleId="13">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2024-07-26T05:04:06Z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