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ind w:left="1325" w:hanging="1325" w:hangingChars="300"/>
        <w:jc w:val="center"/>
        <w:rPr>
          <w:rFonts w:hint="eastAsia" w:ascii="黑体" w:hAnsi="黑体" w:eastAsia="黑体" w:cs="黑体"/>
          <w:b/>
          <w:bCs/>
          <w:sz w:val="44"/>
          <w:szCs w:val="44"/>
        </w:rPr>
      </w:pPr>
      <w:r>
        <w:rPr>
          <w:rFonts w:hint="eastAsia" w:ascii="黑体" w:hAnsi="黑体" w:eastAsia="黑体" w:cs="黑体"/>
          <w:b/>
          <w:bCs/>
          <w:sz w:val="44"/>
          <w:szCs w:val="44"/>
        </w:rPr>
        <w:t>呼图壁县人民代表大会常务委员会办公室</w:t>
      </w:r>
    </w:p>
    <w:p>
      <w:pPr>
        <w:ind w:left="1325" w:hanging="1325" w:hangingChars="300"/>
        <w:jc w:val="center"/>
        <w:rPr>
          <w:rFonts w:hint="eastAsia" w:ascii="黑体" w:hAnsi="黑体" w:eastAsia="黑体" w:cs="黑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4</w:t>
      </w:r>
      <w:r>
        <w:rPr>
          <w:rFonts w:hint="eastAsia" w:ascii="黑体" w:hAnsi="黑体" w:eastAsia="黑体" w:cs="黑体"/>
          <w:b/>
          <w:bCs/>
          <w:sz w:val="44"/>
          <w:szCs w:val="44"/>
        </w:rPr>
        <w:t>年</w:t>
      </w:r>
      <w:r>
        <w:rPr>
          <w:rFonts w:hint="eastAsia" w:ascii="黑体" w:hAnsi="黑体" w:eastAsia="黑体" w:cs="黑体"/>
          <w:b/>
          <w:bCs/>
          <w:sz w:val="44"/>
          <w:szCs w:val="44"/>
          <w:lang w:eastAsia="zh-CN"/>
        </w:rPr>
        <w:t>单位</w:t>
      </w:r>
      <w:r>
        <w:rPr>
          <w:rFonts w:hint="eastAsia" w:ascii="黑体" w:hAnsi="黑体" w:eastAsia="黑体" w:cs="黑体"/>
          <w:b/>
          <w:bCs/>
          <w:sz w:val="44"/>
          <w:szCs w:val="44"/>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3840" w:firstLineChars="120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2024年呼图壁县人民代表大会常务委员会单位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2024年呼图壁县人民代表大会常务委员会</w:t>
      </w:r>
      <w:r>
        <w:rPr>
          <w:rFonts w:hint="eastAsia" w:ascii="仿宋_GB2312" w:hAnsi="仿宋_GB2312" w:eastAsia="仿宋_GB2312" w:cs="仿宋_GB2312"/>
          <w:b/>
          <w:bCs/>
          <w:sz w:val="32"/>
          <w:szCs w:val="32"/>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kern w:val="0"/>
          <w:sz w:val="32"/>
          <w:szCs w:val="32"/>
        </w:rPr>
        <w:t>单位</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2024年呼图壁县人民代表大会常务委员会</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呼图壁县人大</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呼图壁县人大2024年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呼图壁县人民代表大会常务委员会办公室单位2024年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2024年呼图壁县人民代表大会常务委员会办公室</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4160" w:firstLineChars="1300"/>
        <w:jc w:val="both"/>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县人大常委会主要职权：</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1.在本行政区域内，保证宪法、法律、行政法规和上级人民代表大会及其常务委员会决议的遵守和执行；</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2.领导或者主持本级人民代表大会代表的选举；</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3.召集本级人民代表大会会议；</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4.讨论、决定本行政区域内的政治、经济、教育、科学、文化、卫生、环境和资源保护、民政、民族等工作的重大事项；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5.根据本级人民政府的建议，决定对本行政区域内的国民经济和社会发展计划、预算的部分变更；</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6.监督本级人民政府、人民法院和人民检察院的工作，联系本级人民代表大会代表，受理人民群众对上述机关和国家工作人员的申诉和意见；</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7.撤销本级人民政府的不适当的决定和命令；</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8.在本级人民代表大会闭会期间，决定“一府两院”个别组成人员的任免；</w:t>
      </w:r>
    </w:p>
    <w:p>
      <w:pPr>
        <w:widowControl/>
        <w:spacing w:line="560" w:lineRule="exact"/>
        <w:ind w:firstLine="640" w:firstLineChars="200"/>
        <w:rPr>
          <w:rFonts w:ascii="仿宋_GB2312" w:hAnsi="宋体" w:eastAsia="仿宋_GB2312" w:cs="宋体"/>
          <w:bCs/>
          <w:kern w:val="0"/>
          <w:sz w:val="32"/>
          <w:szCs w:val="32"/>
        </w:rPr>
      </w:pPr>
      <w:r>
        <w:rPr>
          <w:rFonts w:hint="eastAsia" w:ascii="仿宋_GB2312" w:hAnsi="仿宋_GB2312" w:eastAsia="仿宋_GB2312" w:cs="仿宋_GB2312"/>
          <w:sz w:val="32"/>
          <w:szCs w:val="32"/>
        </w:rPr>
        <w:t>9.在本级人民代表大会闭会期间，补选上一级人民代表大会出缺的代表和罢免个别代表。</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jc w:val="left"/>
        <w:rPr>
          <w:rFonts w:hint="eastAsia" w:ascii="仿宋_GB2312" w:hAnsi="宋体" w:eastAsia="仿宋_GB2312" w:cs="宋体"/>
          <w:kern w:val="0"/>
          <w:sz w:val="32"/>
          <w:szCs w:val="32"/>
        </w:rPr>
      </w:pPr>
      <w:r>
        <w:rPr>
          <w:rFonts w:hint="eastAsia" w:ascii="黑体" w:hAnsi="黑体" w:eastAsia="黑体" w:cs="宋体"/>
          <w:b/>
          <w:bCs/>
          <w:kern w:val="0"/>
          <w:sz w:val="32"/>
          <w:szCs w:val="32"/>
        </w:rPr>
        <w:t xml:space="preserve"> </w:t>
      </w:r>
      <w:r>
        <w:rPr>
          <w:rFonts w:hint="eastAsia" w:ascii="黑体" w:hAnsi="黑体" w:eastAsia="黑体" w:cs="宋体"/>
          <w:b/>
          <w:bCs/>
          <w:kern w:val="0"/>
          <w:sz w:val="32"/>
          <w:szCs w:val="32"/>
          <w:lang w:val="en-US" w:eastAsia="zh-CN"/>
        </w:rPr>
        <w:t xml:space="preserve"> </w:t>
      </w:r>
      <w:r>
        <w:rPr>
          <w:rFonts w:hint="eastAsia" w:ascii="黑体" w:hAnsi="黑体" w:eastAsia="黑体" w:cs="宋体"/>
          <w:b/>
          <w:bCs/>
          <w:kern w:val="0"/>
          <w:sz w:val="32"/>
          <w:szCs w:val="32"/>
        </w:rPr>
        <w:t xml:space="preserve"> </w:t>
      </w:r>
      <w:r>
        <w:rPr>
          <w:rFonts w:hint="eastAsia" w:ascii="仿宋_GB2312" w:hAnsi="黑体" w:eastAsia="仿宋_GB2312" w:cs="宋体"/>
          <w:bCs/>
          <w:sz w:val="32"/>
          <w:szCs w:val="32"/>
        </w:rPr>
        <w:t>呼图壁县人民代表大会常务委员会办公室无下属预算单位，</w:t>
      </w:r>
      <w:r>
        <w:rPr>
          <w:rFonts w:hint="eastAsia" w:ascii="仿宋_GB2312" w:hAnsi="黑体" w:eastAsia="仿宋_GB2312" w:cs="宋体"/>
          <w:bCs/>
          <w:kern w:val="0"/>
          <w:sz w:val="32"/>
          <w:szCs w:val="32"/>
        </w:rPr>
        <w:t>下设 5 个处室，一个中心。分别是：</w:t>
      </w:r>
      <w:r>
        <w:rPr>
          <w:rFonts w:hint="eastAsia" w:ascii="仿宋_GB2312" w:hAnsi="宋体" w:eastAsia="仿宋_GB2312" w:cs="宋体"/>
          <w:kern w:val="0"/>
          <w:sz w:val="32"/>
          <w:szCs w:val="32"/>
        </w:rPr>
        <w:t>人大常委会办公室</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法制工作委员会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财经工作委员会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教科文卫工作委员会、民族侨务工作委员会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代表人事工作委员会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人大代表联络中心。</w:t>
      </w:r>
    </w:p>
    <w:p>
      <w:pPr>
        <w:spacing w:line="560" w:lineRule="exact"/>
        <w:ind w:firstLine="640"/>
        <w:jc w:val="left"/>
        <w:rPr>
          <w:rFonts w:hint="eastAsia" w:ascii="仿宋_GB2312" w:hAnsi="仿宋_GB2312" w:eastAsia="仿宋_GB2312" w:cs="仿宋_GB2312"/>
          <w:sz w:val="32"/>
          <w:szCs w:val="32"/>
        </w:rPr>
      </w:pPr>
      <w:r>
        <w:rPr>
          <w:rFonts w:hint="eastAsia" w:ascii="仿宋_GB2312" w:hAnsi="宋体" w:eastAsia="仿宋_GB2312" w:cs="宋体"/>
          <w:sz w:val="32"/>
          <w:szCs w:val="32"/>
        </w:rPr>
        <w:t>呼图壁县人民代表大会常务委员会办公室编制数2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人，实有人数4</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人，其中：在职2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人，增加3人，减少</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人；退休2</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人，增加</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left="2877" w:leftChars="608" w:hanging="1600" w:hangingChars="500"/>
        <w:jc w:val="both"/>
        <w:textAlignment w:val="auto"/>
        <w:outlineLvl w:val="1"/>
        <w:rPr>
          <w:rFonts w:hint="eastAsia" w:ascii="仿宋_GB2312" w:hAnsi="仿宋_GB2312" w:eastAsia="仿宋_GB2312" w:cs="仿宋_GB2312"/>
          <w:b/>
          <w:color w:val="auto"/>
          <w:kern w:val="0"/>
          <w:sz w:val="32"/>
          <w:szCs w:val="32"/>
          <w:highlight w:val="none"/>
          <w:lang w:eastAsia="zh-CN"/>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2024年呼图壁县人民代表大会常务委员会办公室单位预算公开表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778.13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548.56</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609.13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108.53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43.70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77.33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778.13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778.13</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660" w:type="dxa"/>
        <w:tblInd w:w="-450" w:type="dxa"/>
        <w:tblLayout w:type="fixed"/>
        <w:tblCellMar>
          <w:top w:w="0" w:type="dxa"/>
          <w:left w:w="108" w:type="dxa"/>
          <w:bottom w:w="0" w:type="dxa"/>
          <w:right w:w="108" w:type="dxa"/>
        </w:tblCellMar>
      </w:tblPr>
      <w:tblGrid>
        <w:gridCol w:w="596"/>
        <w:gridCol w:w="491"/>
        <w:gridCol w:w="496"/>
        <w:gridCol w:w="1260"/>
        <w:gridCol w:w="780"/>
        <w:gridCol w:w="825"/>
        <w:gridCol w:w="780"/>
        <w:gridCol w:w="585"/>
        <w:gridCol w:w="315"/>
        <w:gridCol w:w="604"/>
        <w:gridCol w:w="611"/>
        <w:gridCol w:w="630"/>
        <w:gridCol w:w="273"/>
        <w:gridCol w:w="717"/>
        <w:gridCol w:w="333"/>
        <w:gridCol w:w="364"/>
      </w:tblGrid>
      <w:tr>
        <w:tblPrEx>
          <w:tblLayout w:type="fixed"/>
          <w:tblCellMar>
            <w:top w:w="0" w:type="dxa"/>
            <w:left w:w="108" w:type="dxa"/>
            <w:bottom w:w="0" w:type="dxa"/>
            <w:right w:w="108" w:type="dxa"/>
          </w:tblCellMar>
        </w:tblPrEx>
        <w:trPr>
          <w:trHeight w:val="697" w:hRule="atLeast"/>
        </w:trPr>
        <w:tc>
          <w:tcPr>
            <w:tcW w:w="158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功能分类科目编码</w:t>
            </w:r>
          </w:p>
        </w:tc>
        <w:tc>
          <w:tcPr>
            <w:tcW w:w="12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功能分类科目名称</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eastAsia="仿宋_GB2312"/>
                <w:b/>
                <w:bCs w:val="0"/>
                <w:color w:val="auto"/>
                <w:sz w:val="18"/>
                <w:szCs w:val="18"/>
                <w:highlight w:val="none"/>
              </w:rPr>
              <w:t>总  计</w:t>
            </w:r>
          </w:p>
        </w:tc>
        <w:tc>
          <w:tcPr>
            <w:tcW w:w="435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18"/>
                <w:szCs w:val="18"/>
                <w:highlight w:val="none"/>
              </w:rPr>
            </w:pPr>
            <w:r>
              <w:rPr>
                <w:rFonts w:hint="eastAsia" w:ascii="仿宋_GB2312" w:hAnsi="宋体" w:eastAsia="仿宋_GB2312" w:cs="宋体"/>
                <w:b/>
                <w:bCs w:val="0"/>
                <w:color w:val="auto"/>
                <w:sz w:val="18"/>
                <w:szCs w:val="18"/>
                <w:highlight w:val="none"/>
              </w:rPr>
              <w:t>财  政  拨  款  (  补  助  )</w:t>
            </w:r>
          </w:p>
        </w:tc>
        <w:tc>
          <w:tcPr>
            <w:tcW w:w="27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18"/>
                <w:szCs w:val="18"/>
                <w:highlight w:val="none"/>
              </w:rPr>
            </w:pPr>
            <w:r>
              <w:rPr>
                <w:rFonts w:hint="eastAsia" w:ascii="仿宋_GB2312" w:eastAsia="仿宋_GB2312"/>
                <w:b/>
                <w:bCs w:val="0"/>
                <w:color w:val="auto"/>
                <w:sz w:val="18"/>
                <w:szCs w:val="18"/>
                <w:highlight w:val="none"/>
              </w:rPr>
              <w:t>财政专户（教育收费）</w:t>
            </w:r>
          </w:p>
        </w:tc>
        <w:tc>
          <w:tcPr>
            <w:tcW w:w="71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单位资金</w:t>
            </w:r>
          </w:p>
        </w:tc>
        <w:tc>
          <w:tcPr>
            <w:tcW w:w="33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财政拨款结转</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非财政拨款结转结余</w:t>
            </w:r>
          </w:p>
        </w:tc>
      </w:tr>
      <w:tr>
        <w:tblPrEx>
          <w:tblLayout w:type="fixed"/>
          <w:tblCellMar>
            <w:top w:w="0" w:type="dxa"/>
            <w:left w:w="108" w:type="dxa"/>
            <w:bottom w:w="0" w:type="dxa"/>
            <w:right w:w="108" w:type="dxa"/>
          </w:tblCellMar>
        </w:tblPrEx>
        <w:trPr>
          <w:trHeight w:val="1860" w:hRule="atLeast"/>
        </w:trPr>
        <w:tc>
          <w:tcPr>
            <w:tcW w:w="59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类</w:t>
            </w:r>
          </w:p>
        </w:tc>
        <w:tc>
          <w:tcPr>
            <w:tcW w:w="49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款</w:t>
            </w:r>
          </w:p>
        </w:tc>
        <w:tc>
          <w:tcPr>
            <w:tcW w:w="49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18"/>
                <w:szCs w:val="18"/>
                <w:highlight w:val="none"/>
                <w:lang w:val="en-US" w:eastAsia="zh-Hans"/>
              </w:rPr>
            </w:pPr>
            <w:r>
              <w:rPr>
                <w:rFonts w:hint="eastAsia" w:ascii="仿宋_GB2312" w:eastAsia="仿宋_GB2312"/>
                <w:b/>
                <w:color w:val="auto"/>
                <w:sz w:val="18"/>
                <w:szCs w:val="18"/>
                <w:highlight w:val="none"/>
                <w:lang w:val="en-US" w:eastAsia="zh-Hans"/>
              </w:rPr>
              <w:t>项</w:t>
            </w:r>
          </w:p>
        </w:tc>
        <w:tc>
          <w:tcPr>
            <w:tcW w:w="12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一般公共预算</w:t>
            </w:r>
          </w:p>
        </w:tc>
        <w:tc>
          <w:tcPr>
            <w:tcW w:w="5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上级一般公共预算安排的转移支付</w:t>
            </w:r>
          </w:p>
        </w:tc>
        <w:tc>
          <w:tcPr>
            <w:tcW w:w="3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政府性基金预算</w:t>
            </w:r>
          </w:p>
        </w:tc>
        <w:tc>
          <w:tcPr>
            <w:tcW w:w="60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上级政府性基金安排的转移支付</w:t>
            </w:r>
          </w:p>
        </w:tc>
        <w:tc>
          <w:tcPr>
            <w:tcW w:w="61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27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71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33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c>
          <w:tcPr>
            <w:tcW w:w="3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18"/>
                <w:szCs w:val="18"/>
                <w:highlight w:val="none"/>
              </w:rPr>
            </w:pPr>
          </w:p>
        </w:tc>
      </w:tr>
      <w:tr>
        <w:tblPrEx>
          <w:tblLayout w:type="fixed"/>
          <w:tblCellMar>
            <w:top w:w="0" w:type="dxa"/>
            <w:left w:w="108" w:type="dxa"/>
            <w:bottom w:w="0" w:type="dxa"/>
            <w:right w:w="108" w:type="dxa"/>
          </w:tblCellMar>
        </w:tblPrEx>
        <w:trPr>
          <w:trHeight w:val="435" w:hRule="atLeast"/>
        </w:trPr>
        <w:tc>
          <w:tcPr>
            <w:tcW w:w="596" w:type="dxa"/>
            <w:tcBorders>
              <w:top w:val="nil"/>
              <w:left w:val="single" w:color="auto" w:sz="4" w:space="0"/>
              <w:bottom w:val="single" w:color="auto" w:sz="4" w:space="0"/>
              <w:right w:val="single" w:color="auto" w:sz="4" w:space="0"/>
            </w:tcBorders>
            <w:shd w:val="clear" w:color="auto" w:fill="auto"/>
            <w:noWrap w:val="0"/>
            <w:vAlign w:val="center"/>
          </w:tcPr>
          <w:p>
            <w:pPr>
              <w:pStyle w:val="13"/>
              <w:ind w:right="127" w:rightChars="0"/>
              <w:jc w:val="center"/>
              <w:rPr>
                <w:rFonts w:hint="eastAsia" w:ascii="宋体" w:hAnsi="宋体" w:eastAsia="宋体" w:cs="宋体"/>
                <w:kern w:val="2"/>
                <w:sz w:val="16"/>
                <w:szCs w:val="16"/>
                <w:lang w:val="en-US"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shd w:val="clear" w:color="auto" w:fill="auto"/>
            <w:noWrap w:val="0"/>
            <w:vAlign w:val="center"/>
          </w:tcPr>
          <w:p>
            <w:pPr>
              <w:pStyle w:val="13"/>
              <w:ind w:left="91" w:leftChars="0" w:right="84"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shd w:val="clear" w:color="auto" w:fill="auto"/>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shd w:val="clear" w:color="auto" w:fill="auto"/>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一般公共服务支出</w:t>
            </w:r>
          </w:p>
        </w:tc>
        <w:tc>
          <w:tcPr>
            <w:tcW w:w="780"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548.56</w:t>
            </w:r>
          </w:p>
        </w:tc>
        <w:tc>
          <w:tcPr>
            <w:tcW w:w="825"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483.06</w:t>
            </w:r>
          </w:p>
        </w:tc>
        <w:tc>
          <w:tcPr>
            <w:tcW w:w="780" w:type="dxa"/>
            <w:tcBorders>
              <w:top w:val="nil"/>
              <w:left w:val="nil"/>
              <w:bottom w:val="single" w:color="auto" w:sz="4" w:space="0"/>
              <w:right w:val="single" w:color="auto" w:sz="4" w:space="0"/>
            </w:tcBorders>
            <w:shd w:val="clear" w:color="000000" w:fill="auto"/>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483.06</w:t>
            </w:r>
          </w:p>
        </w:tc>
        <w:tc>
          <w:tcPr>
            <w:tcW w:w="585" w:type="dxa"/>
            <w:tcBorders>
              <w:top w:val="nil"/>
              <w:left w:val="nil"/>
              <w:bottom w:val="single" w:color="auto" w:sz="4" w:space="0"/>
              <w:right w:val="single" w:color="auto" w:sz="4" w:space="0"/>
            </w:tcBorders>
            <w:shd w:val="clear" w:color="000000" w:fill="auto"/>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shd w:val="clear" w:color="000000" w:fill="auto"/>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shd w:val="clear" w:color="000000" w:fill="auto"/>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70"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hint="default" w:ascii="宋体" w:hAnsi="宋体" w:eastAsia="宋体" w:cs="宋体"/>
                <w:kern w:val="2"/>
                <w:sz w:val="16"/>
                <w:szCs w:val="16"/>
                <w:lang w:val="en-US" w:eastAsia="zh-CN" w:bidi="zh-CN"/>
              </w:rPr>
            </w:pPr>
            <w:r>
              <w:rPr>
                <w:rFonts w:hint="eastAsia" w:ascii="仿宋_GB2312" w:hAnsi="仿宋_GB2312" w:eastAsia="仿宋_GB2312" w:cs="仿宋_GB2312"/>
                <w:sz w:val="18"/>
                <w:szCs w:val="18"/>
              </w:rPr>
              <w:t>01</w:t>
            </w:r>
          </w:p>
        </w:tc>
        <w:tc>
          <w:tcPr>
            <w:tcW w:w="496" w:type="dxa"/>
            <w:tcBorders>
              <w:top w:val="nil"/>
              <w:left w:val="nil"/>
              <w:bottom w:val="single" w:color="auto" w:sz="4" w:space="0"/>
              <w:right w:val="single" w:color="auto" w:sz="4" w:space="0"/>
            </w:tcBorders>
            <w:noWrap w:val="0"/>
            <w:vAlign w:val="center"/>
          </w:tcPr>
          <w:p>
            <w:pPr>
              <w:pStyle w:val="13"/>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rPr>
                <w:rFonts w:hint="eastAsia" w:ascii="宋体" w:hAnsi="宋体" w:eastAsia="宋体" w:cs="宋体"/>
                <w:kern w:val="2"/>
                <w:sz w:val="16"/>
                <w:szCs w:val="16"/>
                <w:lang w:val="zh-CN" w:eastAsia="zh-CN" w:bidi="zh-CN"/>
              </w:rPr>
            </w:pPr>
            <w:r>
              <w:rPr>
                <w:rFonts w:hint="eastAsia"/>
                <w:sz w:val="16"/>
                <w:szCs w:val="16"/>
                <w:lang w:eastAsia="zh-CN"/>
              </w:rPr>
              <w:t>人大事务</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548.56</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483.06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483.06</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18"/>
                <w:szCs w:val="18"/>
              </w:rPr>
              <w:t>01</w:t>
            </w:r>
          </w:p>
        </w:tc>
        <w:tc>
          <w:tcPr>
            <w:tcW w:w="496" w:type="dxa"/>
            <w:tcBorders>
              <w:top w:val="nil"/>
              <w:left w:val="nil"/>
              <w:bottom w:val="single" w:color="auto" w:sz="4" w:space="0"/>
              <w:right w:val="single" w:color="auto" w:sz="4" w:space="0"/>
            </w:tcBorders>
            <w:noWrap w:val="0"/>
            <w:vAlign w:val="center"/>
          </w:tcPr>
          <w:p>
            <w:pPr>
              <w:pStyle w:val="13"/>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r>
              <w:rPr>
                <w:rFonts w:hint="eastAsia" w:cs="宋体"/>
                <w:kern w:val="2"/>
                <w:sz w:val="16"/>
                <w:szCs w:val="16"/>
                <w:lang w:val="en-US" w:eastAsia="zh-CN" w:bidi="zh-CN"/>
              </w:rPr>
              <w:t xml:space="preserve">  </w:t>
            </w:r>
          </w:p>
        </w:tc>
        <w:tc>
          <w:tcPr>
            <w:tcW w:w="1260" w:type="dxa"/>
            <w:tcBorders>
              <w:top w:val="nil"/>
              <w:left w:val="nil"/>
              <w:bottom w:val="single" w:color="auto" w:sz="4" w:space="0"/>
              <w:right w:val="single" w:color="auto" w:sz="4" w:space="0"/>
            </w:tcBorders>
            <w:noWrap w:val="0"/>
            <w:vAlign w:val="top"/>
          </w:tcPr>
          <w:p>
            <w:pPr>
              <w:pStyle w:val="13"/>
              <w:spacing w:before="3" w:line="253" w:lineRule="exact"/>
              <w:rPr>
                <w:rFonts w:ascii="宋体" w:hAnsi="宋体" w:eastAsia="宋体" w:cs="宋体"/>
                <w:kern w:val="2"/>
                <w:sz w:val="16"/>
                <w:szCs w:val="16"/>
                <w:lang w:val="zh-CN" w:eastAsia="zh-CN" w:bidi="zh-CN"/>
              </w:rPr>
            </w:pPr>
            <w:r>
              <w:rPr>
                <w:sz w:val="16"/>
                <w:szCs w:val="16"/>
              </w:rPr>
              <w:t>行政运行</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516.56</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451.06</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451.06</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56"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top"/>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20"/>
                <w:szCs w:val="20"/>
              </w:rPr>
              <w:t>01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eastAsia" w:ascii="宋体" w:hAnsi="宋体" w:eastAsia="宋体" w:cs="宋体"/>
                <w:kern w:val="2"/>
                <w:sz w:val="16"/>
                <w:szCs w:val="16"/>
                <w:lang w:val="zh-CN" w:eastAsia="zh-CN" w:bidi="zh-CN"/>
              </w:rPr>
            </w:pPr>
            <w:r>
              <w:rPr>
                <w:rFonts w:hint="eastAsia" w:ascii="宋体" w:hAnsi="宋体" w:eastAsia="宋体" w:cs="宋体"/>
                <w:kern w:val="2"/>
                <w:sz w:val="16"/>
                <w:szCs w:val="16"/>
                <w:lang w:val="zh-CN" w:eastAsia="zh-CN" w:bidi="zh-CN"/>
              </w:rPr>
              <w:t>04</w:t>
            </w: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sz w:val="16"/>
                <w:szCs w:val="16"/>
                <w:lang w:eastAsia="zh-CN"/>
              </w:rPr>
              <w:t>人大</w:t>
            </w:r>
            <w:r>
              <w:rPr>
                <w:sz w:val="16"/>
                <w:szCs w:val="16"/>
              </w:rPr>
              <w:t>会议</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9"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201</w:t>
            </w:r>
          </w:p>
        </w:tc>
        <w:tc>
          <w:tcPr>
            <w:tcW w:w="49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01</w:t>
            </w:r>
          </w:p>
        </w:tc>
        <w:tc>
          <w:tcPr>
            <w:tcW w:w="496" w:type="dxa"/>
            <w:tcBorders>
              <w:top w:val="nil"/>
              <w:left w:val="nil"/>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08</w:t>
            </w:r>
          </w:p>
        </w:tc>
        <w:tc>
          <w:tcPr>
            <w:tcW w:w="1260"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hint="eastAsia" w:ascii="宋体" w:hAnsi="宋体" w:cs="宋体"/>
                <w:kern w:val="2"/>
                <w:sz w:val="16"/>
                <w:szCs w:val="16"/>
                <w:lang w:val="zh-CN" w:eastAsia="zh-CN" w:bidi="zh-CN"/>
              </w:rPr>
              <w:t>代表工作</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5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w:t>
            </w:r>
            <w:r>
              <w:rPr>
                <w:rFonts w:hint="eastAsia" w:ascii="宋体" w:hAnsi="宋体" w:eastAsia="宋体" w:cs="宋体"/>
                <w:kern w:val="2"/>
                <w:sz w:val="16"/>
                <w:szCs w:val="16"/>
                <w:lang w:val="en-US" w:eastAsia="zh-CN" w:bidi="zh-CN"/>
              </w:rPr>
              <w:t>1</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仿宋_GB2312" w:hAnsi="仿宋_GB2312" w:eastAsia="仿宋_GB2312" w:cs="仿宋_GB2312"/>
                <w:sz w:val="20"/>
                <w:szCs w:val="20"/>
              </w:rPr>
              <w:t>01</w:t>
            </w:r>
          </w:p>
        </w:tc>
        <w:tc>
          <w:tcPr>
            <w:tcW w:w="496" w:type="dxa"/>
            <w:tcBorders>
              <w:top w:val="nil"/>
              <w:left w:val="nil"/>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99</w:t>
            </w:r>
          </w:p>
        </w:tc>
        <w:tc>
          <w:tcPr>
            <w:tcW w:w="126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000000"/>
                <w:kern w:val="2"/>
                <w:sz w:val="16"/>
                <w:szCs w:val="16"/>
                <w:lang w:val="en-US" w:eastAsia="zh-CN" w:bidi="ar-SA"/>
              </w:rPr>
            </w:pPr>
            <w:r>
              <w:rPr>
                <w:rFonts w:hint="eastAsia" w:ascii="宋体" w:hAnsi="宋体" w:eastAsia="宋体" w:cs="宋体"/>
                <w:kern w:val="2"/>
                <w:sz w:val="16"/>
                <w:szCs w:val="16"/>
                <w:lang w:val="zh-CN" w:eastAsia="zh-CN" w:bidi="zh-CN"/>
              </w:rPr>
              <w:t>其他</w:t>
            </w:r>
            <w:r>
              <w:rPr>
                <w:rFonts w:hint="eastAsia" w:ascii="宋体" w:hAnsi="宋体" w:cs="宋体"/>
                <w:kern w:val="2"/>
                <w:sz w:val="16"/>
                <w:szCs w:val="16"/>
                <w:lang w:val="zh-CN" w:eastAsia="zh-CN" w:bidi="zh-CN"/>
              </w:rPr>
              <w:t>人大</w:t>
            </w:r>
            <w:r>
              <w:rPr>
                <w:rFonts w:hint="eastAsia" w:ascii="宋体" w:hAnsi="宋体" w:eastAsia="宋体" w:cs="宋体"/>
                <w:kern w:val="2"/>
                <w:sz w:val="16"/>
                <w:szCs w:val="16"/>
                <w:lang w:val="zh-CN" w:eastAsia="zh-CN" w:bidi="zh-CN"/>
              </w:rPr>
              <w:t>事务支出</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82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w:t>
            </w: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74"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spacing w:before="3" w:line="253" w:lineRule="exact"/>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社会保障和就业支出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108.53</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68.53</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68.53</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行政事业单位养老支出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108.53</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68.53</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68.53</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4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01</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行政单位离退休</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05</w:t>
            </w: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机关事业单位基本养老保险缴费支出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70.58</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45.58</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45.58</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208</w:t>
            </w:r>
          </w:p>
        </w:tc>
        <w:tc>
          <w:tcPr>
            <w:tcW w:w="491"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05</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06</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cs="宋体"/>
                <w:sz w:val="16"/>
                <w:szCs w:val="16"/>
                <w:lang w:val="zh-CN" w:eastAsia="zh-CN" w:bidi="zh-CN"/>
              </w:rPr>
            </w:pPr>
            <w:r>
              <w:rPr>
                <w:rFonts w:hint="eastAsia" w:cs="宋体"/>
                <w:sz w:val="16"/>
                <w:szCs w:val="16"/>
                <w:lang w:val="zh-CN" w:eastAsia="zh-CN" w:bidi="zh-CN"/>
              </w:rPr>
              <w:t>机关事业单位职业年金缴费</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12.00</w:t>
            </w:r>
          </w:p>
        </w:tc>
        <w:tc>
          <w:tcPr>
            <w:tcW w:w="8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7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00" w:hRule="atLeast"/>
        </w:trPr>
        <w:tc>
          <w:tcPr>
            <w:tcW w:w="596" w:type="dxa"/>
            <w:tcBorders>
              <w:top w:val="nil"/>
              <w:left w:val="single" w:color="auto" w:sz="4" w:space="0"/>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496" w:type="dxa"/>
            <w:tcBorders>
              <w:top w:val="nil"/>
              <w:left w:val="nil"/>
              <w:bottom w:val="single" w:color="auto" w:sz="4" w:space="0"/>
              <w:right w:val="single" w:color="auto" w:sz="4" w:space="0"/>
            </w:tcBorders>
            <w:noWrap w:val="0"/>
            <w:vAlign w:val="center"/>
          </w:tcPr>
          <w:p>
            <w:pPr>
              <w:pStyle w:val="13"/>
              <w:ind w:right="127"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卫生健康支出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43.70</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29.20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29.20</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pStyle w:val="13"/>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left="100" w:leftChars="0" w:right="90" w:rightChars="0"/>
              <w:jc w:val="center"/>
              <w:rPr>
                <w:rFonts w:ascii="宋体" w:hAnsi="宋体" w:eastAsia="宋体" w:cs="宋体"/>
                <w:kern w:val="2"/>
                <w:sz w:val="16"/>
                <w:szCs w:val="16"/>
                <w:lang w:val="zh-CN" w:eastAsia="zh-CN" w:bidi="zh-CN"/>
              </w:rPr>
            </w:pPr>
          </w:p>
        </w:tc>
        <w:tc>
          <w:tcPr>
            <w:tcW w:w="1260" w:type="dxa"/>
            <w:tcBorders>
              <w:top w:val="nil"/>
              <w:left w:val="nil"/>
              <w:bottom w:val="single" w:color="auto" w:sz="4" w:space="0"/>
              <w:right w:val="single" w:color="auto" w:sz="4" w:space="0"/>
            </w:tcBorders>
            <w:noWrap w:val="0"/>
            <w:vAlign w:val="top"/>
          </w:tcPr>
          <w:p>
            <w:pPr>
              <w:pStyle w:val="13"/>
              <w:ind w:right="0" w:rightChars="0"/>
              <w:rPr>
                <w:rFonts w:ascii="宋体" w:hAnsi="宋体" w:eastAsia="宋体" w:cs="宋体"/>
                <w:kern w:val="2"/>
                <w:sz w:val="16"/>
                <w:szCs w:val="16"/>
                <w:lang w:val="zh-CN" w:eastAsia="zh-CN" w:bidi="zh-CN"/>
              </w:rPr>
            </w:pPr>
            <w:r>
              <w:rPr>
                <w:rFonts w:hint="eastAsia" w:cs="宋体"/>
                <w:sz w:val="16"/>
                <w:szCs w:val="16"/>
                <w:lang w:val="zh-CN" w:eastAsia="zh-CN" w:bidi="zh-CN"/>
              </w:rPr>
              <w:t>行政事业单位医疗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43.70</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29.20</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29.20</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zh-CN" w:eastAsia="zh-CN" w:bidi="zh-CN"/>
              </w:rPr>
            </w:pPr>
            <w:r>
              <w:rPr>
                <w:rFonts w:hint="eastAsia" w:ascii="宋体" w:hAnsi="宋体" w:eastAsia="宋体" w:cs="宋体"/>
                <w:kern w:val="2"/>
                <w:sz w:val="16"/>
                <w:szCs w:val="16"/>
                <w:lang w:val="en-US" w:eastAsia="zh-CN" w:bidi="zh-CN"/>
              </w:rPr>
              <w:t>01</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行政单位医疗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26.45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18.45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18.45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8.00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1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default" w:ascii="宋体" w:hAnsi="宋体" w:eastAsia="宋体" w:cs="宋体"/>
                <w:kern w:val="2"/>
                <w:sz w:val="16"/>
                <w:szCs w:val="16"/>
                <w:lang w:val="en-US" w:eastAsia="zh-CN" w:bidi="zh-CN"/>
              </w:rPr>
            </w:pPr>
            <w:r>
              <w:rPr>
                <w:rFonts w:hint="eastAsia" w:ascii="宋体" w:hAnsi="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cs="宋体"/>
                <w:kern w:val="2"/>
                <w:sz w:val="16"/>
                <w:szCs w:val="16"/>
                <w:lang w:val="en-US" w:eastAsia="zh-CN" w:bidi="zh-CN"/>
              </w:rPr>
              <w:t>02</w:t>
            </w:r>
          </w:p>
        </w:tc>
        <w:tc>
          <w:tcPr>
            <w:tcW w:w="1260" w:type="dxa"/>
            <w:tcBorders>
              <w:top w:val="nil"/>
              <w:left w:val="nil"/>
              <w:bottom w:val="single" w:color="auto" w:sz="4" w:space="0"/>
              <w:right w:val="single" w:color="auto" w:sz="4" w:space="0"/>
            </w:tcBorders>
            <w:noWrap w:val="0"/>
            <w:vAlign w:val="top"/>
          </w:tcPr>
          <w:p>
            <w:pPr>
              <w:pStyle w:val="13"/>
              <w:ind w:right="0" w:rightChars="0"/>
              <w:rPr>
                <w:sz w:val="16"/>
                <w:szCs w:val="16"/>
              </w:rPr>
            </w:pPr>
            <w:r>
              <w:rPr>
                <w:rFonts w:hint="eastAsia"/>
                <w:sz w:val="16"/>
                <w:szCs w:val="16"/>
                <w:lang w:eastAsia="zh-CN"/>
              </w:rPr>
              <w:t>事业</w:t>
            </w:r>
            <w:r>
              <w:rPr>
                <w:sz w:val="16"/>
                <w:szCs w:val="16"/>
              </w:rPr>
              <w:t>单位医疗</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4.35</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lang w:val="en-US" w:eastAsia="zh-CN"/>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03</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sz w:val="16"/>
                <w:szCs w:val="16"/>
              </w:rPr>
              <w:t>公务员医疗补助</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12.77</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6.27</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6.27</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6.50</w:t>
            </w: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nil"/>
              <w:left w:val="single" w:color="auto" w:sz="4" w:space="0"/>
              <w:bottom w:val="single" w:color="auto" w:sz="4" w:space="0"/>
              <w:right w:val="single" w:color="auto" w:sz="4" w:space="0"/>
            </w:tcBorders>
            <w:noWrap w:val="0"/>
            <w:vAlign w:val="center"/>
          </w:tcPr>
          <w:p>
            <w:pPr>
              <w:jc w:val="both"/>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210</w:t>
            </w:r>
          </w:p>
        </w:tc>
        <w:tc>
          <w:tcPr>
            <w:tcW w:w="491" w:type="dxa"/>
            <w:tcBorders>
              <w:top w:val="nil"/>
              <w:left w:val="nil"/>
              <w:bottom w:val="single" w:color="auto" w:sz="4" w:space="0"/>
              <w:right w:val="single" w:color="auto" w:sz="4" w:space="0"/>
            </w:tcBorders>
            <w:noWrap w:val="0"/>
            <w:vAlign w:val="center"/>
          </w:tcPr>
          <w:p>
            <w:pPr>
              <w:spacing w:before="96"/>
              <w:ind w:right="83" w:rightChars="0"/>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11</w:t>
            </w:r>
          </w:p>
        </w:tc>
        <w:tc>
          <w:tcPr>
            <w:tcW w:w="496" w:type="dxa"/>
            <w:tcBorders>
              <w:top w:val="nil"/>
              <w:left w:val="nil"/>
              <w:bottom w:val="single" w:color="auto" w:sz="4" w:space="0"/>
              <w:right w:val="single" w:color="auto" w:sz="4" w:space="0"/>
            </w:tcBorders>
            <w:noWrap w:val="0"/>
            <w:vAlign w:val="center"/>
          </w:tcPr>
          <w:p>
            <w:pPr>
              <w:pStyle w:val="13"/>
              <w:spacing w:before="96"/>
              <w:ind w:right="90" w:rightChars="0"/>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99</w:t>
            </w:r>
          </w:p>
        </w:tc>
        <w:tc>
          <w:tcPr>
            <w:tcW w:w="1260" w:type="dxa"/>
            <w:tcBorders>
              <w:top w:val="nil"/>
              <w:left w:val="nil"/>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其他行政事业单位医疗支出</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7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3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zh-CN" w:eastAsia="zh-CN" w:bidi="zh-CN"/>
              </w:rPr>
            </w:pPr>
            <w:r>
              <w:rPr>
                <w:rFonts w:ascii="宋体" w:hAnsi="宋体" w:eastAsia="宋体" w:cs="宋体"/>
                <w:kern w:val="2"/>
                <w:sz w:val="16"/>
                <w:szCs w:val="16"/>
                <w:lang w:val="zh-CN"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496" w:type="dxa"/>
            <w:tcBorders>
              <w:top w:val="single" w:color="auto" w:sz="4" w:space="0"/>
              <w:left w:val="single" w:color="auto" w:sz="4" w:space="0"/>
              <w:bottom w:val="single" w:color="auto" w:sz="4" w:space="0"/>
              <w:right w:val="single" w:color="auto" w:sz="4" w:space="0"/>
            </w:tcBorders>
            <w:noWrap w:val="0"/>
            <w:vAlign w:val="center"/>
          </w:tcPr>
          <w:p>
            <w:pPr>
              <w:pStyle w:val="13"/>
              <w:ind w:right="127" w:rightChars="0"/>
              <w:jc w:val="center"/>
              <w:rPr>
                <w:rFonts w:hint="eastAsia" w:ascii="宋体" w:hAnsi="宋体" w:eastAsia="宋体" w:cs="宋体"/>
                <w:kern w:val="2"/>
                <w:sz w:val="16"/>
                <w:szCs w:val="16"/>
                <w:lang w:val="en-US" w:eastAsia="zh-CN" w:bidi="zh-CN"/>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13"/>
              <w:ind w:right="0" w:rightChars="0"/>
              <w:rPr>
                <w:rFonts w:hint="eastAsia" w:ascii="宋体" w:hAnsi="宋体" w:eastAsia="宋体" w:cs="宋体"/>
                <w:kern w:val="2"/>
                <w:sz w:val="16"/>
                <w:szCs w:val="16"/>
                <w:lang w:val="zh-CN" w:eastAsia="zh-CN" w:bidi="zh-CN"/>
              </w:rPr>
            </w:pPr>
            <w:r>
              <w:rPr>
                <w:rFonts w:hint="eastAsia" w:cs="宋体"/>
                <w:sz w:val="16"/>
                <w:szCs w:val="16"/>
                <w:lang w:val="zh-CN" w:eastAsia="zh-CN" w:bidi="zh-CN"/>
              </w:rPr>
              <w:t>住房保障支出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3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2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365" w:hRule="atLeast"/>
        </w:trPr>
        <w:tc>
          <w:tcPr>
            <w:tcW w:w="596"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kern w:val="2"/>
                <w:sz w:val="16"/>
                <w:szCs w:val="16"/>
                <w:lang w:val="en-US" w:eastAsia="zh-CN" w:bidi="zh-CN"/>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13"/>
              <w:rPr>
                <w:rFonts w:hint="eastAsia" w:ascii="Times New Roman" w:hAnsi="宋体" w:eastAsia="宋体" w:cs="宋体"/>
                <w:kern w:val="2"/>
                <w:sz w:val="16"/>
                <w:szCs w:val="16"/>
                <w:lang w:val="zh-CN" w:eastAsia="zh-CN" w:bidi="zh-CN"/>
              </w:rPr>
            </w:pPr>
            <w:r>
              <w:rPr>
                <w:rFonts w:hint="eastAsia" w:ascii="Times New Roman"/>
                <w:sz w:val="16"/>
                <w:szCs w:val="16"/>
                <w:lang w:eastAsia="zh-CN"/>
              </w:rPr>
              <w:t>住房改革支出</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31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596"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221</w:t>
            </w:r>
          </w:p>
        </w:tc>
        <w:tc>
          <w:tcPr>
            <w:tcW w:w="49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02</w:t>
            </w:r>
          </w:p>
        </w:tc>
        <w:tc>
          <w:tcPr>
            <w:tcW w:w="496" w:type="dxa"/>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kern w:val="2"/>
                <w:sz w:val="16"/>
                <w:szCs w:val="16"/>
                <w:lang w:val="en-US" w:eastAsia="zh-CN" w:bidi="zh-CN"/>
              </w:rPr>
            </w:pPr>
            <w:r>
              <w:rPr>
                <w:rFonts w:hint="eastAsia" w:ascii="宋体" w:hAnsi="宋体" w:eastAsia="宋体" w:cs="宋体"/>
                <w:kern w:val="2"/>
                <w:sz w:val="16"/>
                <w:szCs w:val="16"/>
                <w:lang w:val="en-US" w:eastAsia="zh-CN" w:bidi="zh-CN"/>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13"/>
              <w:rPr>
                <w:rFonts w:hint="eastAsia" w:ascii="Times New Roman" w:hAnsi="宋体" w:eastAsia="宋体" w:cs="宋体"/>
                <w:kern w:val="2"/>
                <w:sz w:val="16"/>
                <w:szCs w:val="16"/>
                <w:lang w:val="zh-CN" w:eastAsia="zh-CN" w:bidi="zh-CN"/>
              </w:rPr>
            </w:pPr>
            <w:r>
              <w:rPr>
                <w:sz w:val="16"/>
                <w:szCs w:val="16"/>
              </w:rPr>
              <w:t>住住房公积金</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77.33</w:t>
            </w:r>
          </w:p>
        </w:tc>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7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auto"/>
                <w:kern w:val="2"/>
                <w:sz w:val="18"/>
                <w:szCs w:val="18"/>
                <w:highlight w:val="none"/>
                <w:lang w:val="en-US" w:eastAsia="zh-CN" w:bidi="ar-SA"/>
              </w:rPr>
            </w:pPr>
            <w:r>
              <w:rPr>
                <w:rFonts w:hint="eastAsia" w:ascii="仿宋_GB2312" w:hAnsi="宋体" w:eastAsia="仿宋_GB2312" w:cs="宋体"/>
                <w:color w:val="auto"/>
                <w:sz w:val="18"/>
                <w:szCs w:val="18"/>
                <w:highlight w:val="none"/>
                <w:lang w:val="en-US" w:eastAsia="zh-CN"/>
              </w:rPr>
              <w:t>37.33</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3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kern w:val="2"/>
                <w:sz w:val="18"/>
                <w:szCs w:val="18"/>
                <w:highlight w:val="none"/>
                <w:lang w:val="en-US" w:eastAsia="zh-CN" w:bidi="ar-SA"/>
              </w:rPr>
            </w:pPr>
          </w:p>
        </w:tc>
        <w:tc>
          <w:tcPr>
            <w:tcW w:w="2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p>
        </w:tc>
        <w:tc>
          <w:tcPr>
            <w:tcW w:w="71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40</w:t>
            </w:r>
          </w:p>
        </w:tc>
        <w:tc>
          <w:tcPr>
            <w:tcW w:w="3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3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91"/>
        <w:gridCol w:w="627"/>
        <w:gridCol w:w="627"/>
        <w:gridCol w:w="3464"/>
        <w:gridCol w:w="1650"/>
        <w:gridCol w:w="1268"/>
        <w:gridCol w:w="1193"/>
      </w:tblGrid>
      <w:tr>
        <w:tblPrEx>
          <w:tblLayout w:type="fixed"/>
          <w:tblCellMar>
            <w:top w:w="0" w:type="dxa"/>
            <w:left w:w="108" w:type="dxa"/>
            <w:bottom w:w="0" w:type="dxa"/>
            <w:right w:w="108" w:type="dxa"/>
          </w:tblCellMar>
        </w:tblPrEx>
        <w:trPr>
          <w:trHeight w:val="328" w:hRule="atLeast"/>
        </w:trPr>
        <w:tc>
          <w:tcPr>
            <w:tcW w:w="530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11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11" w:hRule="atLeast"/>
        </w:trPr>
        <w:tc>
          <w:tcPr>
            <w:tcW w:w="184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46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6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1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46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6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1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548.56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　</w:t>
            </w:r>
          </w:p>
        </w:tc>
      </w:tr>
      <w:tr>
        <w:tblPrEx>
          <w:tblLayout w:type="fixed"/>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548.56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　</w:t>
            </w:r>
          </w:p>
        </w:tc>
      </w:tr>
      <w:tr>
        <w:tblPrEx>
          <w:tblLayout w:type="fixed"/>
          <w:tblCellMar>
            <w:top w:w="0" w:type="dxa"/>
            <w:left w:w="108" w:type="dxa"/>
            <w:bottom w:w="0" w:type="dxa"/>
            <w:right w:w="108" w:type="dxa"/>
          </w:tblCellMar>
        </w:tblPrEx>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516.56</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456.56</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60.00</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会议</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　</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　</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代表工作</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w:t>
            </w: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r>
      <w:tr>
        <w:tblPrEx>
          <w:tblLayout w:type="fixed"/>
          <w:tblCellMar>
            <w:top w:w="0" w:type="dxa"/>
            <w:left w:w="108" w:type="dxa"/>
            <w:bottom w:w="0" w:type="dxa"/>
            <w:right w:w="108" w:type="dxa"/>
          </w:tblCellMar>
        </w:tblPrEx>
        <w:trPr>
          <w:trHeight w:val="33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108.53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25.95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25.95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6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70.58</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70.58</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6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机关事业单位职业年金缴费支出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12.00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12.00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w:t>
            </w:r>
          </w:p>
        </w:tc>
      </w:tr>
      <w:tr>
        <w:tblPrEx>
          <w:tblLayout w:type="fixed"/>
          <w:tblCellMar>
            <w:top w:w="0" w:type="dxa"/>
            <w:left w:w="108" w:type="dxa"/>
            <w:bottom w:w="0" w:type="dxa"/>
            <w:right w:w="108" w:type="dxa"/>
          </w:tblCellMar>
        </w:tblPrEx>
        <w:trPr>
          <w:trHeight w:val="324"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43.70</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26.45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26.45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12.77</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12.77</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23"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77"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78"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6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3464"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77.33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346" w:hRule="atLeast"/>
        </w:trPr>
        <w:tc>
          <w:tcPr>
            <w:tcW w:w="59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46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778.13</w:t>
            </w:r>
          </w:p>
        </w:tc>
        <w:tc>
          <w:tcPr>
            <w:tcW w:w="126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686.13</w:t>
            </w:r>
          </w:p>
        </w:tc>
        <w:tc>
          <w:tcPr>
            <w:tcW w:w="119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lang w:eastAsia="zh-CN"/>
        </w:rPr>
        <w:t xml:space="preserve">呼图壁县人民代表大会常务委员会办公室 </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483.06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483.06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618.13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68.53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68.53</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29.20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29.20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37.33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18"/>
                <w:szCs w:val="18"/>
                <w:highlight w:val="none"/>
                <w:lang w:val="en-US" w:eastAsia="zh-CN"/>
              </w:rPr>
              <w:t>618.13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618.13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618.13</w:t>
            </w:r>
            <w:r>
              <w:rPr>
                <w:rFonts w:hint="eastAsia" w:ascii="宋体" w:hAnsi="宋体" w:cs="宋体"/>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ind w:left="1200" w:hanging="1200" w:hangingChars="50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rPr>
              <w:t>一般公共服务支出</w:t>
            </w:r>
            <w:r>
              <w:rPr>
                <w:rFonts w:hint="eastAsia" w:ascii="仿宋_GB2312" w:hAnsi="仿宋_GB2312" w:eastAsia="仿宋_GB2312" w:cs="仿宋_GB2312"/>
                <w:b/>
                <w:bCs/>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483.06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483.06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行政运行</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451.06</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391.06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会议</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default"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代表工作</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w:t>
            </w:r>
            <w:r>
              <w:rPr>
                <w:rFonts w:hint="eastAsia" w:ascii="仿宋_GB2312" w:hAnsi="仿宋_GB2312" w:eastAsia="仿宋_GB2312" w:cs="仿宋_GB2312"/>
                <w:b w:val="0"/>
                <w:bCs w:val="0"/>
                <w:color w:val="auto"/>
                <w:kern w:val="0"/>
                <w:sz w:val="20"/>
                <w:szCs w:val="20"/>
                <w:highlight w:val="none"/>
                <w:lang w:val="en-US" w:eastAsia="zh-CN"/>
              </w:rPr>
              <w:t>人大</w:t>
            </w:r>
            <w:r>
              <w:rPr>
                <w:rFonts w:hint="default" w:ascii="仿宋_GB2312" w:hAnsi="仿宋_GB2312" w:eastAsia="仿宋_GB2312" w:cs="仿宋_GB2312"/>
                <w:b w:val="0"/>
                <w:bCs w:val="0"/>
                <w:color w:val="auto"/>
                <w:kern w:val="0"/>
                <w:sz w:val="20"/>
                <w:szCs w:val="20"/>
                <w:highlight w:val="none"/>
                <w:lang w:val="en-US" w:eastAsia="zh-CN"/>
              </w:rPr>
              <w:t>事务支出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68.53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行政单位离退休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45.58</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45.58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29.20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18.45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18.45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4.35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 xml:space="preserve">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03</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6.27</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6.27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0.14</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2510" w:type="dxa"/>
            <w:tcBorders>
              <w:top w:val="nil"/>
              <w:left w:val="nil"/>
              <w:bottom w:val="single" w:color="auto" w:sz="4" w:space="0"/>
              <w:right w:val="single" w:color="auto" w:sz="4" w:space="0"/>
            </w:tcBorders>
            <w:noWrap w:val="0"/>
            <w:vAlign w:val="top"/>
          </w:tcPr>
          <w:p>
            <w:pPr>
              <w:widowControl/>
              <w:spacing w:line="280" w:lineRule="exact"/>
              <w:jc w:val="left"/>
              <w:rPr>
                <w:rFonts w:hint="eastAsia" w:ascii="仿宋_GB2312" w:hAnsi="仿宋_GB2312" w:eastAsia="仿宋_GB2312" w:cs="仿宋_GB2312"/>
                <w:b w:val="0"/>
                <w:bCs w:val="0"/>
                <w:color w:val="auto"/>
                <w:kern w:val="0"/>
                <w:sz w:val="20"/>
                <w:szCs w:val="20"/>
                <w:highlight w:val="none"/>
                <w:lang w:val="en-US" w:eastAsia="zh-CN" w:bidi="ar-SA"/>
              </w:rPr>
            </w:pPr>
            <w:r>
              <w:rPr>
                <w:rFonts w:hint="default" w:ascii="仿宋_GB2312" w:hAnsi="仿宋_GB2312" w:eastAsia="仿宋_GB2312" w:cs="仿宋_GB2312"/>
                <w:b w:val="0"/>
                <w:bCs w:val="0"/>
                <w:color w:val="auto"/>
                <w:kern w:val="0"/>
                <w:sz w:val="20"/>
                <w:szCs w:val="20"/>
                <w:highlight w:val="none"/>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37.33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618.13</w:t>
            </w:r>
          </w:p>
        </w:tc>
        <w:tc>
          <w:tcPr>
            <w:tcW w:w="1842"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526.13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92.00</w:t>
            </w:r>
          </w:p>
        </w:tc>
      </w:tr>
    </w:tbl>
    <w:p>
      <w:pPr>
        <w:widowControl/>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tbl>
      <w:tblPr>
        <w:tblStyle w:val="8"/>
        <w:tblpPr w:leftFromText="180" w:rightFromText="180" w:vertAnchor="text" w:horzAnchor="page" w:tblpX="1495" w:tblpY="185"/>
        <w:tblOverlap w:val="never"/>
        <w:tblW w:w="9105" w:type="dxa"/>
        <w:tblInd w:w="0" w:type="dxa"/>
        <w:tblLayout w:type="fixed"/>
        <w:tblCellMar>
          <w:top w:w="0" w:type="dxa"/>
          <w:left w:w="108" w:type="dxa"/>
          <w:bottom w:w="0" w:type="dxa"/>
          <w:right w:w="108" w:type="dxa"/>
        </w:tblCellMar>
      </w:tblPr>
      <w:tblGrid>
        <w:gridCol w:w="757"/>
        <w:gridCol w:w="577"/>
        <w:gridCol w:w="3196"/>
        <w:gridCol w:w="690"/>
        <w:gridCol w:w="706"/>
        <w:gridCol w:w="976"/>
        <w:gridCol w:w="523"/>
        <w:gridCol w:w="1680"/>
      </w:tblGrid>
      <w:tr>
        <w:tblPrEx>
          <w:tblLayout w:type="fixed"/>
          <w:tblCellMar>
            <w:top w:w="0" w:type="dxa"/>
            <w:left w:w="108" w:type="dxa"/>
            <w:bottom w:w="0" w:type="dxa"/>
            <w:right w:w="108" w:type="dxa"/>
          </w:tblCellMar>
        </w:tblPrEx>
        <w:trPr>
          <w:trHeight w:val="375" w:hRule="atLeast"/>
        </w:trPr>
        <w:tc>
          <w:tcPr>
            <w:tcW w:w="9105" w:type="dxa"/>
            <w:gridSpan w:val="8"/>
            <w:tcBorders>
              <w:top w:val="nil"/>
              <w:left w:val="nil"/>
              <w:bottom w:val="nil"/>
              <w:right w:val="nil"/>
            </w:tcBorders>
            <w:noWrap w:val="0"/>
            <w:vAlign w:val="center"/>
          </w:tcPr>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530" w:type="dxa"/>
            <w:gridSpan w:val="3"/>
            <w:tcBorders>
              <w:top w:val="nil"/>
              <w:left w:val="nil"/>
              <w:bottom w:val="nil"/>
              <w:right w:val="nil"/>
            </w:tcBorders>
            <w:noWrap w:val="0"/>
            <w:vAlign w:val="center"/>
          </w:tcPr>
          <w:p>
            <w:pPr>
              <w:widowControl/>
              <w:ind w:left="1200" w:hanging="1200" w:hangingChars="500"/>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69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203" w:type="dxa"/>
            <w:gridSpan w:val="2"/>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53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57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38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9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9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9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96"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39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49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8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446.02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446.02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96"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117.48</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117.48</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津贴补贴</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92.65</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92.65</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奖金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86.23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86.23</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绩效工资　</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15.02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15.02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8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196"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机关事业单位基本养老保险缴费　</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45.58</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45.58</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22.79</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22.79</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6.27</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6.27</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1.56</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1.56</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37.33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37.33</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21.11</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宋体" w:hAnsi="宋体" w:cs="宋体"/>
                <w:color w:val="auto"/>
                <w:kern w:val="0"/>
                <w:sz w:val="20"/>
                <w:szCs w:val="20"/>
                <w:highlight w:val="none"/>
                <w:lang w:val="en-US" w:eastAsia="zh-CN"/>
              </w:rPr>
              <w:t>办公费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印刷费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0.24</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0.67</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培训</w:t>
            </w:r>
            <w:r>
              <w:rPr>
                <w:rFonts w:hint="default" w:ascii="仿宋_GB2312" w:hAnsi="宋体" w:eastAsia="仿宋_GB2312" w:cs="宋体"/>
                <w:color w:val="auto"/>
                <w:kern w:val="0"/>
                <w:sz w:val="20"/>
                <w:szCs w:val="20"/>
                <w:highlight w:val="none"/>
                <w:lang w:val="en-US" w:eastAsia="zh-CN"/>
              </w:rPr>
              <w:t>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28.96</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28.96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5.51</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5.51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其他交通费用</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24.10</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24.10</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21.32</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21.32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3196"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1.15</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1.15</w:t>
            </w:r>
          </w:p>
        </w:tc>
        <w:tc>
          <w:tcPr>
            <w:tcW w:w="168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3196"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1.63</w:t>
            </w:r>
          </w:p>
        </w:tc>
        <w:tc>
          <w:tcPr>
            <w:tcW w:w="168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9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96"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526.13</w:t>
            </w:r>
          </w:p>
        </w:tc>
        <w:tc>
          <w:tcPr>
            <w:tcW w:w="1499"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470.12</w:t>
            </w:r>
          </w:p>
        </w:tc>
        <w:tc>
          <w:tcPr>
            <w:tcW w:w="1680"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56.01</w:t>
            </w:r>
          </w:p>
        </w:tc>
      </w:tr>
    </w:tbl>
    <w:p>
      <w:pPr>
        <w:widowControl/>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9"/>
        <w:gridCol w:w="447"/>
        <w:gridCol w:w="417"/>
        <w:gridCol w:w="417"/>
        <w:gridCol w:w="1163"/>
        <w:gridCol w:w="1350"/>
        <w:gridCol w:w="690"/>
        <w:gridCol w:w="420"/>
        <w:gridCol w:w="780"/>
        <w:gridCol w:w="285"/>
        <w:gridCol w:w="452"/>
        <w:gridCol w:w="404"/>
        <w:gridCol w:w="119"/>
        <w:gridCol w:w="671"/>
        <w:gridCol w:w="618"/>
        <w:gridCol w:w="420"/>
        <w:gridCol w:w="420"/>
        <w:gridCol w:w="386"/>
        <w:gridCol w:w="72"/>
      </w:tblGrid>
      <w:tr>
        <w:tblPrEx>
          <w:tblLayout w:type="fixed"/>
          <w:tblCellMar>
            <w:top w:w="0" w:type="dxa"/>
            <w:left w:w="108" w:type="dxa"/>
            <w:bottom w:w="0" w:type="dxa"/>
            <w:right w:w="108" w:type="dxa"/>
          </w:tblCellMar>
        </w:tblPrEx>
        <w:trPr>
          <w:gridBefore w:val="1"/>
          <w:gridAfter w:val="1"/>
          <w:wBefore w:w="9" w:type="dxa"/>
          <w:wAfter w:w="72" w:type="dxa"/>
          <w:trHeight w:val="375" w:hRule="atLeast"/>
        </w:trPr>
        <w:tc>
          <w:tcPr>
            <w:tcW w:w="9459"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72" w:type="dxa"/>
          <w:trHeight w:val="405" w:hRule="atLeast"/>
        </w:trPr>
        <w:tc>
          <w:tcPr>
            <w:tcW w:w="4484" w:type="dxa"/>
            <w:gridSpan w:val="6"/>
            <w:tcBorders>
              <w:top w:val="nil"/>
              <w:left w:val="nil"/>
              <w:bottom w:val="nil"/>
              <w:right w:val="nil"/>
            </w:tcBorders>
            <w:noWrap w:val="0"/>
            <w:vAlign w:val="center"/>
          </w:tcPr>
          <w:p>
            <w:pPr>
              <w:widowControl/>
              <w:ind w:left="1200" w:hanging="1200" w:hangingChars="50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 xml:space="preserve">呼图壁县人民代表大会常务委员会办公室 </w:t>
            </w:r>
          </w:p>
        </w:tc>
        <w:tc>
          <w:tcPr>
            <w:tcW w:w="120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4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3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9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63"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5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2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63"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2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Hans" w:bidi="ar-SA"/>
              </w:rPr>
            </w:pP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163" w:type="dxa"/>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一般公共服务支出</w:t>
            </w:r>
            <w:r>
              <w:rPr>
                <w:rFonts w:hint="eastAsia" w:ascii="仿宋_GB2312" w:hAnsi="仿宋_GB2312" w:eastAsia="仿宋_GB2312" w:cs="仿宋_GB2312"/>
                <w:b/>
                <w:bCs/>
                <w:color w:val="auto"/>
                <w:kern w:val="0"/>
                <w:sz w:val="18"/>
                <w:szCs w:val="18"/>
                <w:highlight w:val="none"/>
              </w:rPr>
              <w:t>　</w:t>
            </w:r>
          </w:p>
        </w:tc>
        <w:tc>
          <w:tcPr>
            <w:tcW w:w="1350"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92.00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88.00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行政运行</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2024年人大运转经费（非定额）</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60.00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60.00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04</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会议</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2024年人大会议费（非定额）</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18.00</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8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18.00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08</w:t>
            </w:r>
          </w:p>
        </w:tc>
        <w:tc>
          <w:tcPr>
            <w:tcW w:w="1163" w:type="dxa"/>
            <w:noWrap w:val="0"/>
            <w:vAlign w:val="top"/>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代表工作</w:t>
            </w:r>
          </w:p>
        </w:tc>
        <w:tc>
          <w:tcPr>
            <w:tcW w:w="1350"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2024年“人大代表工作室”补助经费（非定额）</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8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285"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52"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523"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71"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618"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2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20" w:type="dxa"/>
            <w:noWrap w:val="0"/>
            <w:vAlign w:val="top"/>
          </w:tcPr>
          <w:p>
            <w:pPr>
              <w:widowControl/>
              <w:jc w:val="left"/>
              <w:outlineLvl w:val="1"/>
              <w:rPr>
                <w:rFonts w:hint="eastAsia" w:ascii="仿宋_GB2312" w:hAnsi="宋体" w:eastAsia="仿宋_GB2312"/>
                <w:color w:val="auto"/>
                <w:kern w:val="0"/>
                <w:sz w:val="18"/>
                <w:szCs w:val="18"/>
                <w:highlight w:val="none"/>
              </w:rPr>
            </w:pPr>
          </w:p>
        </w:tc>
        <w:tc>
          <w:tcPr>
            <w:tcW w:w="458" w:type="dxa"/>
            <w:gridSpan w:val="2"/>
            <w:noWrap w:val="0"/>
            <w:vAlign w:val="top"/>
          </w:tcPr>
          <w:p>
            <w:pPr>
              <w:widowControl/>
              <w:jc w:val="left"/>
              <w:outlineLvl w:val="1"/>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417"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1163"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w:t>
            </w: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事务支出</w:t>
            </w:r>
          </w:p>
        </w:tc>
        <w:tc>
          <w:tcPr>
            <w:tcW w:w="135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2024年度自治区基层人大补助资金</w:t>
            </w:r>
            <w:r>
              <w:rPr>
                <w:rFonts w:hint="eastAsia" w:ascii="仿宋_GB2312" w:hAnsi="宋体" w:eastAsia="仿宋_GB2312"/>
                <w:color w:val="auto"/>
                <w:kern w:val="0"/>
                <w:sz w:val="18"/>
                <w:szCs w:val="18"/>
                <w:highlight w:val="none"/>
              </w:rPr>
              <w:t>　　</w:t>
            </w: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9.00</w:t>
            </w:r>
          </w:p>
        </w:tc>
        <w:tc>
          <w:tcPr>
            <w:tcW w:w="420"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80" w:type="dxa"/>
            <w:noWrap w:val="0"/>
            <w:vAlign w:val="center"/>
          </w:tcPr>
          <w:p>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5.00</w:t>
            </w:r>
          </w:p>
        </w:tc>
        <w:tc>
          <w:tcPr>
            <w:tcW w:w="28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2"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71" w:type="dxa"/>
            <w:noWrap w:val="0"/>
            <w:vAlign w:val="top"/>
          </w:tcPr>
          <w:p>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4.00</w:t>
            </w:r>
          </w:p>
        </w:tc>
        <w:tc>
          <w:tcPr>
            <w:tcW w:w="61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2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28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6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90" w:type="dxa"/>
            <w:noWrap w:val="0"/>
            <w:vAlign w:val="center"/>
          </w:tcPr>
          <w:p>
            <w:pPr>
              <w:widowControl/>
              <w:jc w:val="center"/>
              <w:outlineLvl w:val="1"/>
              <w:rPr>
                <w:rFonts w:hint="default" w:ascii="仿宋_GB2312" w:hAnsi="宋体" w:eastAsia="仿宋_GB2312"/>
                <w:color w:val="auto"/>
                <w:kern w:val="0"/>
                <w:szCs w:val="21"/>
                <w:highlight w:val="none"/>
                <w:lang w:val="en-US"/>
              </w:rPr>
            </w:pPr>
            <w:r>
              <w:rPr>
                <w:rFonts w:hint="eastAsia" w:ascii="仿宋_GB2312" w:hAnsi="宋体" w:eastAsia="仿宋_GB2312"/>
                <w:color w:val="auto"/>
                <w:kern w:val="0"/>
                <w:sz w:val="18"/>
                <w:szCs w:val="18"/>
                <w:highlight w:val="none"/>
                <w:lang w:val="en-US" w:eastAsia="zh-CN"/>
              </w:rPr>
              <w:t>92</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0"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lang w:val="en-US" w:eastAsia="zh-CN"/>
              </w:rPr>
              <w:t>88</w:t>
            </w:r>
          </w:p>
        </w:tc>
        <w:tc>
          <w:tcPr>
            <w:tcW w:w="28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4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671"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 xml:space="preserve">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left"/>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w:t>
      </w: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both"/>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w:t>
      </w: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jc w:val="center"/>
        <w:rPr>
          <w:rFonts w:hint="eastAsia"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编制单位：呼图壁县人民代表大会常务委员会办公室 </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lang w:val="en-US" w:eastAsia="zh-CN"/>
              </w:rPr>
              <w:t>13.80</w:t>
            </w:r>
          </w:p>
        </w:tc>
        <w:tc>
          <w:tcPr>
            <w:tcW w:w="1314"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lang w:val="en-US" w:eastAsia="zh-CN"/>
              </w:rPr>
              <w:t>13.80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2.60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2.60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314" w:type="dxa"/>
            <w:noWrap w:val="0"/>
            <w:vAlign w:val="top"/>
          </w:tcPr>
          <w:p>
            <w:pPr>
              <w:widowControl/>
              <w:jc w:val="center"/>
              <w:outlineLvl w:val="1"/>
              <w:rPr>
                <w:rFonts w:hint="default" w:ascii="仿宋_GB2312" w:hAnsi="宋体" w:eastAsia="仿宋_GB2312"/>
                <w:b w:val="0"/>
                <w:bCs/>
                <w:color w:val="auto"/>
                <w:kern w:val="0"/>
                <w:sz w:val="20"/>
                <w:szCs w:val="20"/>
                <w:highlight w:val="none"/>
                <w:vertAlign w:val="baseline"/>
                <w:lang w:val="en-US" w:eastAsia="zh-CN"/>
              </w:rPr>
            </w:pPr>
            <w:r>
              <w:rPr>
                <w:rFonts w:hint="eastAsia" w:ascii="仿宋_GB2312" w:hAnsi="宋体" w:eastAsia="仿宋_GB2312"/>
                <w:b w:val="0"/>
                <w:bCs/>
                <w:color w:val="auto"/>
                <w:kern w:val="0"/>
                <w:sz w:val="20"/>
                <w:szCs w:val="20"/>
                <w:highlight w:val="none"/>
                <w:vertAlign w:val="baseline"/>
                <w:lang w:val="en-US" w:eastAsia="zh-CN"/>
              </w:rPr>
              <w:t>11.20</w:t>
            </w:r>
          </w:p>
        </w:tc>
        <w:tc>
          <w:tcPr>
            <w:tcW w:w="1595" w:type="dxa"/>
            <w:noWrap w:val="0"/>
            <w:vAlign w:val="top"/>
          </w:tcPr>
          <w:p>
            <w:pPr>
              <w:widowControl/>
              <w:outlineLvl w:val="1"/>
              <w:rPr>
                <w:rFonts w:hint="default" w:ascii="仿宋_GB2312" w:hAnsi="宋体" w:eastAsia="仿宋_GB2312"/>
                <w:b/>
                <w:color w:val="auto"/>
                <w:kern w:val="0"/>
                <w:sz w:val="20"/>
                <w:szCs w:val="20"/>
                <w:highlight w:val="none"/>
                <w:vertAlign w:val="baseline"/>
                <w:lang w:val="en-US"/>
              </w:rPr>
            </w:pPr>
          </w:p>
        </w:tc>
        <w:tc>
          <w:tcPr>
            <w:tcW w:w="1621" w:type="dxa"/>
            <w:noWrap w:val="0"/>
            <w:vAlign w:val="top"/>
          </w:tcPr>
          <w:p>
            <w:pPr>
              <w:widowControl/>
              <w:outlineLvl w:val="1"/>
              <w:rPr>
                <w:rFonts w:hint="eastAsia" w:ascii="仿宋_GB2312" w:hAnsi="宋体" w:eastAsia="仿宋_GB2312"/>
                <w:b/>
                <w:color w:val="auto"/>
                <w:kern w:val="0"/>
                <w:sz w:val="20"/>
                <w:szCs w:val="20"/>
                <w:highlight w:val="none"/>
                <w:vertAlign w:val="baseline"/>
              </w:rPr>
            </w:pPr>
          </w:p>
        </w:tc>
      </w:tr>
    </w:tbl>
    <w:p>
      <w:pPr>
        <w:spacing w:line="600" w:lineRule="exact"/>
        <w:ind w:left="640"/>
        <w:jc w:val="center"/>
        <w:rPr>
          <w:rFonts w:hint="default" w:ascii="仿宋" w:hAnsi="仿宋" w:eastAsia="仿宋_GB2312" w:cs="仿宋_GB2312"/>
          <w:bCs/>
          <w:color w:val="auto"/>
          <w:kern w:val="0"/>
          <w:sz w:val="28"/>
          <w:szCs w:val="28"/>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2024年没有上年结转结余情况明细表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2024年呼图壁县人民代表大会常务委员会办公室单位</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呼图壁县人民代表大会常务委员会办公室2024年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618.13万元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548.56万元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108.531万元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43.70万元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77.33万元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609.13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78.28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99.75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人员经费增加。</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2.单位资金纳入预算。</w:t>
      </w:r>
      <w:r>
        <w:rPr>
          <w:rFonts w:hint="eastAsia" w:ascii="仿宋_GB2312" w:hAnsi="宋体" w:eastAsia="仿宋_GB2312" w:cs="宋体"/>
          <w:kern w:val="0"/>
          <w:sz w:val="32"/>
          <w:szCs w:val="32"/>
          <w:lang w:eastAsia="zh-CN"/>
        </w:rPr>
        <w:t>将单位资金预计要支出的社保、公积金、职业年金等也纳入预算中</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.项目经费增加。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2024年自治区基层人大补助经费</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w:t>
      </w:r>
      <w:r>
        <w:rPr>
          <w:rFonts w:hint="eastAsia" w:ascii="仿宋_GB2312" w:hAnsi="宋体" w:eastAsia="仿宋_GB2312" w:cs="宋体"/>
          <w:color w:val="auto"/>
          <w:kern w:val="0"/>
          <w:sz w:val="32"/>
          <w:szCs w:val="32"/>
          <w:highlight w:val="none"/>
          <w:lang w:val="en-US" w:eastAsia="zh-CN"/>
        </w:rPr>
        <w:t>金</w:t>
      </w:r>
      <w:r>
        <w:rPr>
          <w:rFonts w:hint="eastAsia" w:ascii="仿宋_GB2312" w:hAnsi="宋体" w:eastAsia="仿宋_GB2312" w:cs="宋体"/>
          <w:color w:val="auto"/>
          <w:kern w:val="0"/>
          <w:sz w:val="32"/>
          <w:szCs w:val="32"/>
          <w:highlight w:val="none"/>
          <w:lang w:eastAsia="zh-CN"/>
        </w:rPr>
        <w:t>较去年增加</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pStyle w:val="2"/>
        <w:ind w:left="0" w:leftChars="0"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pStyle w:val="2"/>
        <w:ind w:left="0" w:leftChars="0"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20.57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32.20%，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2024年没有退休人员，做预算时将社保、公积金相应减少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778.13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686.13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88.18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224.75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48.71%，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人员经费增加。</w:t>
      </w:r>
      <w:r>
        <w:rPr>
          <w:rFonts w:hint="eastAsia" w:ascii="仿宋_GB2312" w:hAnsi="宋体" w:eastAsia="仿宋_GB2312" w:cs="宋体"/>
          <w:kern w:val="0"/>
          <w:sz w:val="32"/>
          <w:szCs w:val="32"/>
          <w:lang w:eastAsia="zh-CN"/>
        </w:rPr>
        <w:t>去年工资普调，增加了基础性绩效工资，社保公积金基数也随之调整；</w:t>
      </w:r>
      <w:r>
        <w:rPr>
          <w:rFonts w:hint="eastAsia" w:ascii="仿宋_GB2312" w:hAnsi="宋体" w:eastAsia="仿宋_GB2312" w:cs="宋体"/>
          <w:kern w:val="0"/>
          <w:sz w:val="32"/>
          <w:szCs w:val="32"/>
          <w:lang w:val="en-US" w:eastAsia="zh-CN"/>
        </w:rPr>
        <w:t>2.单位资金纳入预算。</w:t>
      </w:r>
      <w:r>
        <w:rPr>
          <w:rFonts w:hint="eastAsia" w:ascii="仿宋_GB2312" w:hAnsi="宋体" w:eastAsia="仿宋_GB2312" w:cs="宋体"/>
          <w:kern w:val="0"/>
          <w:sz w:val="32"/>
          <w:szCs w:val="32"/>
          <w:lang w:eastAsia="zh-CN"/>
        </w:rPr>
        <w:t>将单位资金预计要支出的社保、公积金、职业年金等也加进预算中。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11.82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2023年将单位资金全部纳入项目支出，今年将单位资金全部按照支出科目列入基本支出中</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618.13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618.13</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483.06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spacing w:val="-6"/>
          <w:kern w:val="0"/>
          <w:sz w:val="32"/>
          <w:szCs w:val="32"/>
        </w:rPr>
        <w:t>主要用于单位人员基本支出和项目支出；社会保障和就业支出</w:t>
      </w:r>
      <w:r>
        <w:rPr>
          <w:rFonts w:hint="eastAsia" w:ascii="仿宋_GB2312" w:hAnsi="宋体" w:eastAsia="仿宋_GB2312" w:cs="宋体"/>
          <w:spacing w:val="-6"/>
          <w:kern w:val="0"/>
          <w:sz w:val="32"/>
          <w:szCs w:val="32"/>
          <w:lang w:val="en-US" w:eastAsia="zh-CN"/>
        </w:rPr>
        <w:t>68.53</w:t>
      </w:r>
      <w:r>
        <w:rPr>
          <w:rFonts w:hint="eastAsia" w:ascii="仿宋_GB2312" w:hAnsi="宋体" w:eastAsia="仿宋_GB2312" w:cs="宋体"/>
          <w:spacing w:val="-6"/>
          <w:kern w:val="0"/>
          <w:sz w:val="32"/>
          <w:szCs w:val="32"/>
        </w:rPr>
        <w:t>万元， 主要用于人员</w:t>
      </w:r>
      <w:r>
        <w:rPr>
          <w:rFonts w:hint="eastAsia" w:ascii="仿宋_GB2312" w:hAnsi="宋体" w:eastAsia="仿宋_GB2312" w:cs="宋体"/>
          <w:spacing w:val="-6"/>
          <w:kern w:val="0"/>
          <w:sz w:val="32"/>
          <w:szCs w:val="32"/>
          <w:lang w:eastAsia="zh-CN"/>
        </w:rPr>
        <w:t>养老</w:t>
      </w:r>
      <w:r>
        <w:rPr>
          <w:rFonts w:hint="eastAsia" w:ascii="仿宋_GB2312" w:hAnsi="宋体" w:eastAsia="仿宋_GB2312" w:cs="宋体"/>
          <w:spacing w:val="-6"/>
          <w:kern w:val="0"/>
          <w:sz w:val="32"/>
          <w:szCs w:val="32"/>
        </w:rPr>
        <w:t>支出；卫生健康支出</w:t>
      </w:r>
      <w:r>
        <w:rPr>
          <w:rFonts w:hint="eastAsia" w:ascii="仿宋_GB2312" w:hAnsi="宋体" w:eastAsia="仿宋_GB2312" w:cs="宋体"/>
          <w:spacing w:val="-6"/>
          <w:kern w:val="0"/>
          <w:sz w:val="32"/>
          <w:szCs w:val="32"/>
          <w:lang w:val="en-US" w:eastAsia="zh-CN"/>
        </w:rPr>
        <w:t>29.20</w:t>
      </w:r>
      <w:r>
        <w:rPr>
          <w:rFonts w:hint="eastAsia" w:ascii="仿宋_GB2312" w:hAnsi="宋体" w:eastAsia="仿宋_GB2312" w:cs="宋体"/>
          <w:spacing w:val="-6"/>
          <w:kern w:val="0"/>
          <w:sz w:val="32"/>
          <w:szCs w:val="32"/>
        </w:rPr>
        <w:t>万元，主要用于人员医疗支出；住房保障支出</w:t>
      </w:r>
      <w:r>
        <w:rPr>
          <w:rFonts w:hint="eastAsia" w:ascii="仿宋_GB2312" w:hAnsi="宋体" w:eastAsia="仿宋_GB2312" w:cs="宋体"/>
          <w:spacing w:val="-6"/>
          <w:kern w:val="0"/>
          <w:sz w:val="32"/>
          <w:szCs w:val="32"/>
          <w:lang w:val="en-US" w:eastAsia="zh-CN"/>
        </w:rPr>
        <w:t>37.33</w:t>
      </w:r>
      <w:r>
        <w:rPr>
          <w:rFonts w:hint="eastAsia" w:ascii="仿宋_GB2312" w:hAnsi="宋体" w:eastAsia="仿宋_GB2312" w:cs="宋体"/>
          <w:spacing w:val="-6"/>
          <w:kern w:val="0"/>
          <w:sz w:val="32"/>
          <w:szCs w:val="32"/>
        </w:rPr>
        <w:t xml:space="preserve"> 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宋体" w:eastAsia="仿宋_GB2312" w:cs="宋体"/>
          <w:color w:val="auto"/>
          <w:kern w:val="0"/>
          <w:sz w:val="32"/>
          <w:szCs w:val="32"/>
          <w:highlight w:val="none"/>
          <w:lang w:val="en-US" w:eastAsia="zh-CN"/>
        </w:rPr>
        <w:t>618.13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526.13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64.75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14.03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人员经费增加。</w:t>
      </w:r>
      <w:r>
        <w:rPr>
          <w:rFonts w:hint="eastAsia" w:ascii="仿宋_GB2312" w:hAnsi="宋体" w:eastAsia="仿宋_GB2312" w:cs="宋体"/>
          <w:kern w:val="0"/>
          <w:sz w:val="32"/>
          <w:szCs w:val="32"/>
          <w:lang w:eastAsia="zh-CN"/>
        </w:rPr>
        <w:t>去年工资普调，基础性绩效工资调标，社保、公积金基数也随之调整</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92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67.27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1.2024年人大运转经费预算到60万元，去年预算30万元；2.自治区基层补助资金增加2万元；3.新增“人大代表工作室”补助经费5万元。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kern w:val="0"/>
          <w:sz w:val="32"/>
          <w:szCs w:val="32"/>
          <w:highlight w:val="none"/>
          <w:lang w:val="en-US" w:eastAsia="zh-CN"/>
        </w:rPr>
        <w:t>483.06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78.15</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lang w:eastAsia="zh-CN"/>
        </w:rPr>
        <w:t>社会保障和就业支出（类）</w:t>
      </w:r>
      <w:r>
        <w:rPr>
          <w:rFonts w:hint="eastAsia" w:ascii="仿宋_GB2312" w:hAnsi="仿宋_GB2312" w:eastAsia="仿宋_GB2312" w:cs="仿宋_GB2312"/>
          <w:kern w:val="0"/>
          <w:sz w:val="32"/>
          <w:szCs w:val="32"/>
          <w:lang w:val="en-US" w:eastAsia="zh-CN"/>
        </w:rPr>
        <w:t>68.53</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11.09</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3.卫生健康支出（类）</w:t>
      </w:r>
      <w:r>
        <w:rPr>
          <w:rFonts w:hint="eastAsia" w:ascii="仿宋_GB2312" w:hAnsi="仿宋_GB2312" w:eastAsia="仿宋_GB2312" w:cs="仿宋_GB2312"/>
          <w:kern w:val="0"/>
          <w:sz w:val="32"/>
          <w:szCs w:val="32"/>
          <w:lang w:val="en-US" w:eastAsia="zh-CN"/>
        </w:rPr>
        <w:t>29.20</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4.72</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eastAsia="zh-CN"/>
        </w:rPr>
        <w:t>4.住房保障支出（类）</w:t>
      </w:r>
      <w:r>
        <w:rPr>
          <w:rFonts w:hint="eastAsia" w:ascii="仿宋_GB2312" w:hAnsi="仿宋_GB2312" w:eastAsia="仿宋_GB2312" w:cs="仿宋_GB2312"/>
          <w:kern w:val="0"/>
          <w:sz w:val="32"/>
          <w:szCs w:val="32"/>
          <w:lang w:val="en-US" w:eastAsia="zh-CN"/>
        </w:rPr>
        <w:t>37.33</w:t>
      </w:r>
      <w:r>
        <w:rPr>
          <w:rFonts w:hint="eastAsia" w:ascii="仿宋_GB2312" w:hAnsi="仿宋_GB2312" w:eastAsia="仿宋_GB2312" w:cs="仿宋_GB2312"/>
          <w:kern w:val="0"/>
          <w:sz w:val="32"/>
          <w:szCs w:val="32"/>
          <w:lang w:eastAsia="zh-CN"/>
        </w:rPr>
        <w:t xml:space="preserve"> 万元，占 </w:t>
      </w:r>
      <w:r>
        <w:rPr>
          <w:rFonts w:hint="eastAsia" w:ascii="仿宋_GB2312" w:hAnsi="仿宋_GB2312" w:eastAsia="仿宋_GB2312" w:cs="仿宋_GB2312"/>
          <w:kern w:val="0"/>
          <w:sz w:val="32"/>
          <w:szCs w:val="32"/>
          <w:lang w:val="en-US" w:eastAsia="zh-CN"/>
        </w:rPr>
        <w:t>6.04</w:t>
      </w:r>
      <w:r>
        <w:rPr>
          <w:rFonts w:hint="eastAsia" w:ascii="仿宋_GB2312" w:hAnsi="仿宋_GB2312" w:eastAsia="仿宋_GB2312" w:cs="仿宋_GB2312"/>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行政运行（项）:2024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451.06</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53.36</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13.42</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1.人员经费增加。</w:t>
      </w:r>
      <w:r>
        <w:rPr>
          <w:rFonts w:hint="eastAsia" w:ascii="仿宋_GB2312" w:hAnsi="宋体" w:eastAsia="仿宋_GB2312" w:cs="宋体"/>
          <w:kern w:val="0"/>
          <w:sz w:val="32"/>
          <w:szCs w:val="32"/>
          <w:lang w:eastAsia="zh-CN"/>
        </w:rPr>
        <w:t>去年基础性绩效工资普调</w:t>
      </w:r>
      <w:r>
        <w:rPr>
          <w:rFonts w:hint="eastAsia" w:ascii="仿宋_GB2312" w:hAnsi="宋体" w:eastAsia="仿宋_GB2312" w:cs="宋体"/>
          <w:kern w:val="0"/>
          <w:sz w:val="32"/>
          <w:szCs w:val="32"/>
          <w:lang w:val="en-US" w:eastAsia="zh-CN"/>
        </w:rPr>
        <w:t>,2.运转经费增加。2024年人大运转经费比2023年预算增加30万元。3.将单位资金预算列入此科目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人大会议（项）:2024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%，主要原因是：会议费比照上年预算金额核定。</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代表工作</w:t>
      </w:r>
      <w:r>
        <w:rPr>
          <w:rFonts w:hint="eastAsia" w:ascii="仿宋_GB2312" w:hAnsi="仿宋_GB2312" w:eastAsia="仿宋_GB2312" w:cs="仿宋_GB2312"/>
          <w:kern w:val="0"/>
          <w:sz w:val="32"/>
          <w:szCs w:val="32"/>
          <w:lang w:val="en-US" w:eastAsia="zh-CN"/>
        </w:rPr>
        <w:t>（项）:2024</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%，主要原因是：根据昌州财预【</w:t>
      </w:r>
      <w:r>
        <w:rPr>
          <w:rFonts w:hint="eastAsia" w:ascii="仿宋_GB2312" w:hAnsi="仿宋_GB2312" w:eastAsia="仿宋_GB2312" w:cs="仿宋_GB2312"/>
          <w:kern w:val="0"/>
          <w:sz w:val="32"/>
          <w:szCs w:val="32"/>
          <w:lang w:val="en-US" w:eastAsia="zh-CN"/>
        </w:rPr>
        <w:t>2023】15号文件，县级</w:t>
      </w:r>
      <w:r>
        <w:rPr>
          <w:rFonts w:hint="eastAsia" w:ascii="仿宋_GB2312" w:hAnsi="仿宋_GB2312" w:eastAsia="仿宋_GB2312" w:cs="仿宋_GB2312"/>
          <w:kern w:val="0"/>
          <w:sz w:val="32"/>
          <w:szCs w:val="32"/>
          <w:lang w:eastAsia="zh-CN"/>
        </w:rPr>
        <w:t>“人大代表工作室”补助经费</w:t>
      </w:r>
      <w:r>
        <w:rPr>
          <w:rFonts w:hint="eastAsia" w:ascii="仿宋_GB2312" w:hAnsi="仿宋_GB2312" w:eastAsia="仿宋_GB2312" w:cs="仿宋_GB2312"/>
          <w:kern w:val="0"/>
          <w:sz w:val="32"/>
          <w:szCs w:val="32"/>
          <w:lang w:val="en-US" w:eastAsia="zh-CN"/>
        </w:rPr>
        <w:t>5万元/年，从2023年执行，2023年年初未做预算，年中追加预算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其他人大事务支出</w:t>
      </w:r>
      <w:r>
        <w:rPr>
          <w:rFonts w:hint="eastAsia" w:ascii="仿宋_GB2312" w:hAnsi="仿宋_GB2312" w:eastAsia="仿宋_GB2312" w:cs="仿宋_GB2312"/>
          <w:kern w:val="0"/>
          <w:sz w:val="32"/>
          <w:szCs w:val="32"/>
          <w:lang w:val="en-US" w:eastAsia="zh-CN"/>
        </w:rPr>
        <w:t>（项）:2024</w:t>
      </w:r>
      <w:r>
        <w:rPr>
          <w:rFonts w:hint="eastAsia" w:ascii="仿宋_GB2312" w:hAnsi="仿宋_GB2312" w:eastAsia="仿宋_GB2312" w:cs="仿宋_GB2312"/>
          <w:kern w:val="0"/>
          <w:sz w:val="32"/>
          <w:szCs w:val="32"/>
          <w:lang w:eastAsia="zh-CN"/>
        </w:rPr>
        <w:t>年自治区基层人大补助资金预算数为</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25.57</w:t>
      </w:r>
      <w:r>
        <w:rPr>
          <w:rFonts w:hint="eastAsia" w:ascii="仿宋_GB2312" w:hAnsi="仿宋_GB2312" w:eastAsia="仿宋_GB2312" w:cs="仿宋_GB2312"/>
          <w:kern w:val="0"/>
          <w:sz w:val="32"/>
          <w:szCs w:val="32"/>
          <w:lang w:eastAsia="zh-CN"/>
        </w:rPr>
        <w:t>%，主要原因是：自治区增加了基层人大补助资金。</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行政单位离退休（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2024年预算数为22.95</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22.95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w:t>
      </w:r>
      <w:r>
        <w:rPr>
          <w:rFonts w:hint="eastAsia" w:ascii="仿宋_GB2312" w:hAnsi="仿宋_GB2312" w:eastAsia="仿宋_GB2312" w:cs="仿宋_GB2312"/>
          <w:kern w:val="0"/>
          <w:sz w:val="32"/>
          <w:szCs w:val="32"/>
          <w:lang w:eastAsia="zh-CN"/>
        </w:rPr>
        <w:t>是</w:t>
      </w:r>
      <w:r>
        <w:rPr>
          <w:rFonts w:hint="eastAsia" w:ascii="仿宋_GB2312" w:hAnsi="宋体" w:eastAsia="仿宋_GB2312" w:cs="宋体"/>
          <w:kern w:val="0"/>
          <w:sz w:val="32"/>
          <w:szCs w:val="32"/>
          <w:lang w:eastAsia="zh-CN"/>
        </w:rPr>
        <w:t>今年将退休人员缴纳医疗和采暖补贴单列此科目</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机关事业单位基本养老保险缴费支出（</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2024年预算数为45.58</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5.93</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14.96</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基本</w:t>
      </w:r>
      <w:r>
        <w:rPr>
          <w:rFonts w:hint="eastAsia" w:ascii="仿宋_GB2312" w:hAnsi="宋体" w:eastAsia="仿宋_GB2312" w:cs="宋体"/>
          <w:sz w:val="32"/>
          <w:szCs w:val="32"/>
        </w:rPr>
        <w:t>工资调标，基础性绩效工资调标，社保基数也随之调整。</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.卫生健康支出（类）行政事业单位医疗（款）行政单位医疗（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2024年预算数为18.45</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18.49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50.05</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1.</w:t>
      </w:r>
      <w:r>
        <w:rPr>
          <w:rFonts w:hint="eastAsia" w:ascii="仿宋_GB2312" w:hAnsi="宋体" w:eastAsia="仿宋_GB2312" w:cs="宋体"/>
          <w:kern w:val="0"/>
          <w:sz w:val="32"/>
          <w:szCs w:val="32"/>
          <w:lang w:eastAsia="zh-CN"/>
        </w:rPr>
        <w:t>将退休人员医疗单列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w:t>
      </w:r>
      <w:r>
        <w:rPr>
          <w:rFonts w:hint="eastAsia" w:ascii="仿宋_GB2312" w:hAnsi="宋体" w:eastAsia="仿宋_GB2312" w:cs="宋体"/>
          <w:kern w:val="0"/>
          <w:sz w:val="32"/>
          <w:szCs w:val="32"/>
          <w:lang w:eastAsia="zh-CN"/>
        </w:rPr>
        <w:t>去年将行政、事业单位医疗都放在此科目下，今年将事业单位医疗单列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.卫生健康支出（类）行政事业单位医疗（款）事业单位医疗（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2024年预算数为4.35</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4.35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今年将事业单位医疗单列</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卫生健康支出（类）行政事业单位医疗（款）公务员医疗补助（</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2024年预算数为6.27</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3.89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38.29</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将退休人员医疗剔出单列</w:t>
      </w:r>
      <w:r>
        <w:rPr>
          <w:rFonts w:hint="eastAsia" w:ascii="仿宋_GB2312" w:hAnsi="仿宋_GB2312" w:eastAsia="仿宋_GB2312" w:cs="仿宋_GB2312"/>
          <w:kern w:val="0"/>
          <w:sz w:val="32"/>
          <w:szCs w:val="32"/>
          <w:lang w:val="zh-CN" w:eastAsia="zh-CN"/>
        </w:rPr>
        <w:t>行政单位离退休科目内</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.卫生健康支出（类）行政事业单位医疗（款）</w:t>
      </w:r>
      <w:r>
        <w:rPr>
          <w:rFonts w:hint="eastAsia" w:ascii="仿宋_GB2312" w:hAnsi="仿宋_GB2312" w:eastAsia="仿宋_GB2312" w:cs="仿宋_GB2312"/>
          <w:kern w:val="0"/>
          <w:sz w:val="32"/>
          <w:szCs w:val="32"/>
          <w:lang w:val="zh-CN" w:eastAsia="zh-CN"/>
        </w:rPr>
        <w:t>其他行政事业单位医疗支出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2024年预算数为0.14</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将工伤、失业、大病保险缴纳人员无变化</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lang w:eastAsia="zh-CN"/>
        </w:rPr>
        <w:t>. 住房保障支出（类）住房改革支出（款）住房公积金（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2024年预算数为37.33</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5.54</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17.43</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主要原因是基</w:t>
      </w:r>
      <w:r>
        <w:rPr>
          <w:rFonts w:hint="eastAsia" w:ascii="仿宋_GB2312" w:hAnsi="宋体" w:eastAsia="仿宋_GB2312" w:cs="宋体"/>
          <w:sz w:val="32"/>
          <w:szCs w:val="32"/>
          <w:lang w:eastAsia="zh-CN"/>
        </w:rPr>
        <w:t>本</w:t>
      </w:r>
      <w:r>
        <w:rPr>
          <w:rFonts w:hint="eastAsia" w:ascii="仿宋_GB2312" w:hAnsi="宋体" w:eastAsia="仿宋_GB2312" w:cs="宋体"/>
          <w:sz w:val="32"/>
          <w:szCs w:val="32"/>
        </w:rPr>
        <w:t>工资调标，基础性绩效工资</w:t>
      </w:r>
      <w:r>
        <w:rPr>
          <w:rFonts w:hint="eastAsia" w:ascii="仿宋_GB2312" w:hAnsi="宋体" w:eastAsia="仿宋_GB2312" w:cs="宋体"/>
          <w:sz w:val="32"/>
          <w:szCs w:val="32"/>
          <w:lang w:eastAsia="zh-CN"/>
        </w:rPr>
        <w:t>调标</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公积金</w:t>
      </w:r>
      <w:r>
        <w:rPr>
          <w:rFonts w:hint="eastAsia" w:ascii="仿宋_GB2312" w:hAnsi="宋体" w:eastAsia="仿宋_GB2312" w:cs="宋体"/>
          <w:sz w:val="32"/>
          <w:szCs w:val="32"/>
        </w:rPr>
        <w:t>基数也随之调整。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526.13</w:t>
      </w:r>
      <w:r>
        <w:rPr>
          <w:rFonts w:hint="eastAsia" w:ascii="仿宋_GB2312" w:hAnsi="宋体" w:eastAsia="仿宋_GB2312" w:cs="宋体"/>
          <w:color w:val="auto"/>
          <w:spacing w:val="-6"/>
          <w:kern w:val="0"/>
          <w:sz w:val="32"/>
          <w:szCs w:val="32"/>
          <w:highlight w:val="none"/>
        </w:rPr>
        <w:t>万元， 其中：</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470.12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56.01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印刷费、</w:t>
      </w:r>
      <w:r>
        <w:rPr>
          <w:rFonts w:hint="eastAsia" w:ascii="仿宋_GB2312" w:hAnsi="宋体" w:eastAsia="仿宋_GB2312" w:cs="宋体"/>
          <w:color w:val="auto"/>
          <w:kern w:val="0"/>
          <w:sz w:val="32"/>
          <w:szCs w:val="32"/>
          <w:highlight w:val="none"/>
        </w:rPr>
        <w:t>邮电费、差旅费、</w:t>
      </w:r>
      <w:r>
        <w:rPr>
          <w:rFonts w:hint="eastAsia" w:ascii="仿宋_GB2312" w:hAnsi="宋体" w:eastAsia="仿宋_GB2312" w:cs="宋体"/>
          <w:color w:val="auto"/>
          <w:kern w:val="0"/>
          <w:sz w:val="32"/>
          <w:szCs w:val="32"/>
          <w:highlight w:val="none"/>
          <w:lang w:eastAsia="zh-CN"/>
        </w:rPr>
        <w:t>培训</w:t>
      </w:r>
      <w:r>
        <w:rPr>
          <w:rFonts w:hint="eastAsia" w:ascii="仿宋_GB2312" w:hAnsi="宋体" w:eastAsia="仿宋_GB2312" w:cs="宋体"/>
          <w:color w:val="auto"/>
          <w:kern w:val="0"/>
          <w:sz w:val="32"/>
          <w:szCs w:val="32"/>
          <w:highlight w:val="none"/>
        </w:rPr>
        <w:t>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公务接待费、工会经费、公务用车运行维护费、其他交通费用。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人大运转经费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呼财预【2024】57号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60万元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按人大运转工作需要资金分配为</w:t>
      </w:r>
      <w:r>
        <w:rPr>
          <w:rFonts w:hint="eastAsia" w:ascii="仿宋_GB2312" w:hAnsi="宋体" w:eastAsia="仿宋_GB2312" w:cs="宋体"/>
          <w:kern w:val="0"/>
          <w:sz w:val="32"/>
          <w:szCs w:val="32"/>
          <w:lang w:eastAsia="zh-CN"/>
        </w:rPr>
        <w:t>办公费</w:t>
      </w:r>
      <w:r>
        <w:rPr>
          <w:rFonts w:hint="eastAsia" w:ascii="仿宋_GB2312" w:hAnsi="宋体" w:eastAsia="仿宋_GB2312" w:cs="宋体"/>
          <w:kern w:val="0"/>
          <w:sz w:val="32"/>
          <w:szCs w:val="32"/>
          <w:lang w:val="en-US" w:eastAsia="zh-CN"/>
        </w:rPr>
        <w:t>10万元、印刷费4万元、维修费6万元、培训费4万元、公务接待费2万元、劳务费4万元、工会会费10万元、其他交通费5万元、其他商品服务支出15万元。</w:t>
      </w:r>
    </w:p>
    <w:p>
      <w:pPr>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人大会议费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呼财预【2024】58号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18万元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为确保</w:t>
      </w:r>
      <w:r>
        <w:rPr>
          <w:rFonts w:hint="eastAsia" w:ascii="仿宋_GB2312" w:hAnsi="黑体" w:eastAsia="仿宋_GB2312"/>
          <w:sz w:val="32"/>
          <w:szCs w:val="32"/>
          <w:lang w:val="en-US" w:eastAsia="zh-CN"/>
        </w:rPr>
        <w:t>18届4次人代会顺利召开，资金分配为</w:t>
      </w:r>
      <w:r>
        <w:rPr>
          <w:rFonts w:hint="eastAsia" w:ascii="仿宋_GB2312" w:hAnsi="黑体" w:eastAsia="仿宋_GB2312"/>
          <w:sz w:val="32"/>
          <w:szCs w:val="32"/>
          <w:lang w:eastAsia="zh-CN"/>
        </w:rPr>
        <w:t>会议费</w:t>
      </w:r>
      <w:r>
        <w:rPr>
          <w:rFonts w:hint="eastAsia" w:ascii="仿宋_GB2312" w:hAnsi="黑体" w:eastAsia="仿宋_GB2312"/>
          <w:sz w:val="32"/>
          <w:szCs w:val="32"/>
          <w:lang w:val="en-US" w:eastAsia="zh-CN"/>
        </w:rPr>
        <w:t>18万元。</w:t>
      </w:r>
    </w:p>
    <w:p>
      <w:pPr>
        <w:numPr>
          <w:ilvl w:val="0"/>
          <w:numId w:val="0"/>
        </w:numPr>
        <w:spacing w:line="560" w:lineRule="exact"/>
        <w:ind w:left="638" w:leftChars="304" w:firstLine="0" w:firstLineChars="0"/>
        <w:rPr>
          <w:rFonts w:hint="eastAsia" w:ascii="仿宋_GB2312" w:hAnsi="宋体" w:eastAsia="仿宋_GB2312" w:cs="宋体"/>
          <w:kern w:val="0"/>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r>
        <w:rPr>
          <w:rFonts w:hint="eastAsia" w:ascii="仿宋_GB2312" w:hAnsi="黑体" w:eastAsia="仿宋_GB2312"/>
          <w:sz w:val="32"/>
          <w:szCs w:val="32"/>
          <w:lang w:val="en-US" w:eastAsia="zh-CN"/>
        </w:rPr>
        <w:t>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人大代表工作室”补助经费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呼财预【2024】59号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按</w:t>
      </w:r>
      <w:r>
        <w:rPr>
          <w:rFonts w:hint="eastAsia" w:ascii="仿宋_GB2312" w:hAnsi="黑体" w:eastAsia="仿宋_GB2312"/>
          <w:sz w:val="32"/>
          <w:szCs w:val="32"/>
          <w:lang w:val="en-US" w:eastAsia="zh-CN"/>
        </w:rPr>
        <w:t>“</w:t>
      </w:r>
      <w:r>
        <w:rPr>
          <w:rFonts w:hint="eastAsia" w:ascii="仿宋_GB2312" w:hAnsi="宋体" w:eastAsia="仿宋_GB2312" w:cs="宋体"/>
          <w:kern w:val="0"/>
          <w:sz w:val="32"/>
          <w:szCs w:val="32"/>
          <w:lang w:eastAsia="zh-CN"/>
        </w:rPr>
        <w:t>人大代表工作室”工作需要资金分配为办公费</w:t>
      </w:r>
      <w:r>
        <w:rPr>
          <w:rFonts w:hint="eastAsia" w:ascii="仿宋_GB2312" w:hAnsi="宋体" w:eastAsia="仿宋_GB2312" w:cs="宋体"/>
          <w:kern w:val="0"/>
          <w:sz w:val="32"/>
          <w:szCs w:val="32"/>
          <w:lang w:val="en-US" w:eastAsia="zh-CN"/>
        </w:rPr>
        <w:t>2万元、培训费3万元。</w:t>
      </w:r>
    </w:p>
    <w:p>
      <w:pPr>
        <w:spacing w:line="560" w:lineRule="exact"/>
        <w:ind w:left="638" w:leftChars="304" w:firstLine="0" w:firstLineChars="0"/>
        <w:rPr>
          <w:rFonts w:hint="eastAsia" w:ascii="仿宋_GB2312" w:hAnsi="宋体" w:eastAsia="仿宋_GB2312" w:cs="宋体"/>
          <w:kern w:val="0"/>
          <w:sz w:val="32"/>
          <w:szCs w:val="32"/>
          <w:lang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r>
        <w:rPr>
          <w:rFonts w:hint="eastAsia" w:ascii="仿宋_GB2312" w:hAnsi="黑体" w:eastAsia="仿宋_GB2312"/>
          <w:sz w:val="32"/>
          <w:szCs w:val="32"/>
          <w:lang w:val="en-US" w:eastAsia="zh-CN"/>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黑体" w:eastAsia="仿宋_GB2312"/>
          <w:sz w:val="32"/>
          <w:szCs w:val="32"/>
          <w:lang w:val="en-US" w:eastAsia="zh-CN"/>
        </w:rPr>
        <w:t>2024年</w:t>
      </w:r>
      <w:r>
        <w:rPr>
          <w:rFonts w:hint="eastAsia" w:ascii="仿宋_GB2312" w:hAnsi="宋体" w:eastAsia="仿宋_GB2312" w:cs="宋体"/>
          <w:kern w:val="0"/>
          <w:sz w:val="32"/>
          <w:szCs w:val="32"/>
          <w:lang w:eastAsia="zh-CN"/>
        </w:rPr>
        <w:t>自治区基层人大补助经费</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黑体" w:eastAsia="仿宋_GB2312"/>
          <w:sz w:val="32"/>
          <w:szCs w:val="32"/>
          <w:lang w:eastAsia="zh-CN"/>
        </w:rPr>
        <w:t>根据</w:t>
      </w:r>
      <w:r>
        <w:rPr>
          <w:rFonts w:hint="eastAsia" w:ascii="仿宋_GB2312" w:hAnsi="宋体" w:eastAsia="仿宋_GB2312" w:cs="宋体"/>
          <w:kern w:val="0"/>
          <w:sz w:val="32"/>
          <w:szCs w:val="32"/>
          <w:lang w:eastAsia="zh-CN"/>
        </w:rPr>
        <w:t>昌州财行【2023】45号</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9万元</w:t>
      </w:r>
    </w:p>
    <w:p>
      <w:pPr>
        <w:spacing w:line="560" w:lineRule="exact"/>
        <w:ind w:firstLine="640" w:firstLineChars="200"/>
        <w:rPr>
          <w:rFonts w:hint="eastAsia" w:ascii="仿宋_GB2312" w:hAnsi="宋体" w:eastAsia="仿宋_GB2312" w:cs="宋体"/>
          <w:kern w:val="0"/>
          <w:sz w:val="32"/>
          <w:szCs w:val="32"/>
          <w:lang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呼图壁县人民代表大会常务委员会办公室</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eastAsia="zh-CN"/>
        </w:rPr>
        <w:t>按照项目执行情况资金分配为办公设备购置费</w:t>
      </w:r>
      <w:r>
        <w:rPr>
          <w:rFonts w:hint="eastAsia" w:ascii="仿宋_GB2312" w:hAnsi="宋体" w:eastAsia="仿宋_GB2312" w:cs="宋体"/>
          <w:kern w:val="0"/>
          <w:sz w:val="32"/>
          <w:szCs w:val="32"/>
          <w:lang w:val="en-US" w:eastAsia="zh-CN"/>
        </w:rPr>
        <w:t>4万元、培训费5万元。</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呼图壁县人民代表大会常务委员会办公室单位2024年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13.80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2.60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8.18%，</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22.22%，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人大严格按财政要求“三公经费”列支的公务用车运行经费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1.97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312.7%，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lang w:eastAsia="zh-CN"/>
        </w:rPr>
        <w:t>人大运转经费安排了公务接待费</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人民代表大会常务委员会办公室单位</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56.01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7.54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15.56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公车运行经费预算增加和人大代表活动经费标准提高到</w:t>
      </w:r>
      <w:r>
        <w:rPr>
          <w:rFonts w:hint="eastAsia" w:ascii="仿宋_GB2312" w:hAnsi="仿宋_GB2312" w:eastAsia="仿宋_GB2312" w:cs="仿宋_GB2312"/>
          <w:color w:val="auto"/>
          <w:kern w:val="0"/>
          <w:sz w:val="32"/>
          <w:szCs w:val="32"/>
          <w:highlight w:val="none"/>
          <w:lang w:val="en-US" w:eastAsia="zh-CN"/>
        </w:rPr>
        <w:t>1600元/人。2023年1500元/人</w:t>
      </w:r>
      <w:r>
        <w:rPr>
          <w:rFonts w:hint="eastAsia" w:ascii="仿宋_GB2312" w:hAnsi="仿宋_GB2312" w:eastAsia="仿宋_GB2312" w:cs="仿宋_GB2312"/>
          <w:color w:val="auto"/>
          <w:kern w:val="0"/>
          <w:sz w:val="32"/>
          <w:szCs w:val="32"/>
          <w:highlight w:val="none"/>
        </w:rPr>
        <w:t>。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74.14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20.10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54.04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default" w:ascii="仿宋_GB2312" w:hAnsi="仿宋_GB2312" w:eastAsia="仿宋_GB2312" w:cs="仿宋_GB2312"/>
          <w:color w:val="auto"/>
          <w:sz w:val="32"/>
          <w:highlight w:val="none"/>
          <w:lang w:eastAsia="zh-CN"/>
        </w:rPr>
        <w:t>74.14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因办公用房属于县四套班子</w:t>
      </w:r>
      <w:r>
        <w:rPr>
          <w:rFonts w:hint="eastAsia" w:ascii="仿宋_GB2312" w:hAnsi="仿宋_GB2312" w:eastAsia="仿宋_GB2312" w:cs="仿宋_GB2312"/>
          <w:kern w:val="0"/>
          <w:sz w:val="32"/>
          <w:szCs w:val="32"/>
          <w:lang w:eastAsia="zh-CN"/>
        </w:rPr>
        <w:t>及</w:t>
      </w:r>
      <w:r>
        <w:rPr>
          <w:rFonts w:hint="eastAsia" w:ascii="仿宋_GB2312" w:hAnsi="仿宋_GB2312" w:eastAsia="仿宋_GB2312" w:cs="仿宋_GB2312"/>
          <w:kern w:val="0"/>
          <w:sz w:val="32"/>
          <w:szCs w:val="32"/>
        </w:rPr>
        <w:t>其他部门综合办公楼</w:t>
      </w:r>
      <w:r>
        <w:rPr>
          <w:rFonts w:hint="eastAsia" w:ascii="仿宋_GB2312" w:hAnsi="仿宋_GB2312" w:eastAsia="仿宋_GB2312" w:cs="仿宋_GB2312"/>
          <w:kern w:val="0"/>
          <w:sz w:val="32"/>
          <w:szCs w:val="32"/>
          <w:lang w:eastAsia="zh-CN"/>
        </w:rPr>
        <w:t>，资产不在我单位登记，故我单位账面房屋无价值）。</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59</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21.04</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37.96</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8.78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Style w:val="11"/>
          <w:rFonts w:hint="eastAsia"/>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60.19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w:t>
      </w:r>
      <w:r>
        <w:rPr>
          <w:rFonts w:hint="eastAsia" w:ascii="仿宋_GB2312" w:hAnsi="仿宋_GB2312" w:eastAsia="仿宋_GB2312" w:cs="仿宋_GB2312"/>
          <w:kern w:val="0"/>
          <w:sz w:val="32"/>
          <w:szCs w:val="32"/>
        </w:rPr>
        <w:t>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2024年呼图壁县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人民代表大会常务委员会办公室单位</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整体预算绩效目标1个，涉及金额618.13万元；当年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涉及预算金额92万元：当年非财政拨款项目0个，涉及预算金额0万元。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8346" w:type="dxa"/>
        <w:tblInd w:w="93" w:type="dxa"/>
        <w:shd w:val="clear" w:color="auto" w:fill="auto"/>
        <w:tblLayout w:type="fixed"/>
        <w:tblCellMar>
          <w:top w:w="0" w:type="dxa"/>
          <w:left w:w="108" w:type="dxa"/>
          <w:bottom w:w="0" w:type="dxa"/>
          <w:right w:w="108" w:type="dxa"/>
        </w:tblCellMar>
      </w:tblPr>
      <w:tblGrid>
        <w:gridCol w:w="816"/>
        <w:gridCol w:w="915"/>
        <w:gridCol w:w="930"/>
        <w:gridCol w:w="1005"/>
        <w:gridCol w:w="1305"/>
        <w:gridCol w:w="752"/>
        <w:gridCol w:w="1303"/>
        <w:gridCol w:w="1320"/>
      </w:tblGrid>
      <w:tr>
        <w:tblPrEx>
          <w:shd w:val="clear" w:color="auto" w:fill="auto"/>
          <w:tblLayout w:type="fixed"/>
          <w:tblCellMar>
            <w:top w:w="0" w:type="dxa"/>
            <w:left w:w="108" w:type="dxa"/>
            <w:bottom w:w="0" w:type="dxa"/>
            <w:right w:w="108" w:type="dxa"/>
          </w:tblCellMar>
        </w:tblPrEx>
        <w:trPr>
          <w:trHeight w:val="665" w:hRule="atLeast"/>
        </w:trPr>
        <w:tc>
          <w:tcPr>
            <w:tcW w:w="83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b w:val="0"/>
                <w:bCs w:val="0"/>
                <w:i w:val="0"/>
                <w:iCs w:val="0"/>
                <w:color w:val="000000"/>
                <w:sz w:val="16"/>
                <w:szCs w:val="16"/>
                <w:u w:val="none"/>
              </w:rPr>
            </w:pPr>
            <w:r>
              <w:rPr>
                <w:rFonts w:hint="eastAsia" w:ascii="黑体" w:hAnsi="宋体" w:eastAsia="黑体" w:cs="黑体"/>
                <w:b w:val="0"/>
                <w:bCs w:val="0"/>
                <w:i w:val="0"/>
                <w:iCs w:val="0"/>
                <w:color w:val="000000"/>
                <w:kern w:val="0"/>
                <w:sz w:val="24"/>
                <w:szCs w:val="24"/>
                <w:u w:val="none"/>
                <w:lang w:val="en-US" w:eastAsia="zh-CN" w:bidi="ar"/>
              </w:rPr>
              <w:t>呼图壁县部门（单位）整体绩效目标申报表</w:t>
            </w:r>
          </w:p>
        </w:tc>
      </w:tr>
      <w:tr>
        <w:tblPrEx>
          <w:tblLayout w:type="fixed"/>
          <w:tblCellMar>
            <w:top w:w="0" w:type="dxa"/>
            <w:left w:w="108" w:type="dxa"/>
            <w:bottom w:w="0" w:type="dxa"/>
            <w:right w:w="108" w:type="dxa"/>
          </w:tblCellMar>
        </w:tblPrEx>
        <w:trPr>
          <w:trHeight w:val="641" w:hRule="atLeast"/>
        </w:trPr>
        <w:tc>
          <w:tcPr>
            <w:tcW w:w="83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(2024年)</w:t>
            </w:r>
          </w:p>
        </w:tc>
      </w:tr>
      <w:tr>
        <w:tblPrEx>
          <w:tblLayout w:type="fixed"/>
          <w:tblCellMar>
            <w:top w:w="0" w:type="dxa"/>
            <w:left w:w="108" w:type="dxa"/>
            <w:bottom w:w="0" w:type="dxa"/>
            <w:right w:w="108" w:type="dxa"/>
          </w:tblCellMar>
        </w:tblPrEx>
        <w:trPr>
          <w:trHeight w:val="665"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部门（单位）名称（盖章）</w:t>
            </w:r>
          </w:p>
        </w:tc>
        <w:tc>
          <w:tcPr>
            <w:tcW w:w="661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呼图壁县人民代表大会常务委员会办公室</w:t>
            </w:r>
          </w:p>
        </w:tc>
      </w:tr>
      <w:tr>
        <w:tblPrEx>
          <w:tblLayout w:type="fixed"/>
          <w:tblCellMar>
            <w:top w:w="0" w:type="dxa"/>
            <w:left w:w="108" w:type="dxa"/>
            <w:bottom w:w="0" w:type="dxa"/>
            <w:right w:w="108" w:type="dxa"/>
          </w:tblCellMar>
        </w:tblPrEx>
        <w:trPr>
          <w:trHeight w:val="90" w:hRule="atLeast"/>
        </w:trPr>
        <w:tc>
          <w:tcPr>
            <w:tcW w:w="17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部门（单位）联系人</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雷君</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联系电话：</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09944502100</w:t>
            </w:r>
          </w:p>
        </w:tc>
      </w:tr>
      <w:tr>
        <w:tblPrEx>
          <w:tblLayout w:type="fixed"/>
          <w:tblCellMar>
            <w:top w:w="0" w:type="dxa"/>
            <w:left w:w="108" w:type="dxa"/>
            <w:bottom w:w="0" w:type="dxa"/>
            <w:right w:w="108" w:type="dxa"/>
          </w:tblCellMar>
        </w:tblPrEx>
        <w:trPr>
          <w:trHeight w:val="1162" w:hRule="atLeast"/>
        </w:trPr>
        <w:tc>
          <w:tcPr>
            <w:tcW w:w="3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年度绩效目标</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保障监督、代表工作正常开展，每年年初召开一次人代会，每两个月至少召开一次常委会，保障机关正常运转，保障2024年本单位24名干部基本工资、3名同工同酬基本工资、社会保障费正常拨付，调动干部职工积极性，达到预期绩效目标要求。</w:t>
            </w:r>
          </w:p>
        </w:tc>
      </w:tr>
      <w:tr>
        <w:tblPrEx>
          <w:tblLayout w:type="fixed"/>
          <w:tblCellMar>
            <w:top w:w="0" w:type="dxa"/>
            <w:left w:w="108" w:type="dxa"/>
            <w:bottom w:w="0" w:type="dxa"/>
            <w:right w:w="108" w:type="dxa"/>
          </w:tblCellMar>
        </w:tblPrEx>
        <w:trPr>
          <w:trHeight w:val="361" w:hRule="atLeast"/>
        </w:trPr>
        <w:tc>
          <w:tcPr>
            <w:tcW w:w="17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年度预算（万元）</w:t>
            </w:r>
          </w:p>
        </w:tc>
        <w:tc>
          <w:tcPr>
            <w:tcW w:w="661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资金来源</w:t>
            </w:r>
          </w:p>
        </w:tc>
      </w:tr>
      <w:tr>
        <w:tblPrEx>
          <w:tblLayout w:type="fixed"/>
          <w:tblCellMar>
            <w:top w:w="0" w:type="dxa"/>
            <w:left w:w="108" w:type="dxa"/>
            <w:bottom w:w="0" w:type="dxa"/>
            <w:right w:w="108" w:type="dxa"/>
          </w:tblCellMar>
        </w:tblPrEx>
        <w:trPr>
          <w:trHeight w:val="466"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财政资金</w:t>
            </w:r>
            <w:r>
              <w:rPr>
                <w:rFonts w:hint="eastAsia" w:ascii="宋体" w:hAnsi="宋体" w:eastAsia="宋体" w:cs="宋体"/>
                <w:b w:val="0"/>
                <w:bCs w:val="0"/>
                <w:i w:val="0"/>
                <w:iCs w:val="0"/>
                <w:color w:val="000000"/>
                <w:kern w:val="0"/>
                <w:sz w:val="15"/>
                <w:szCs w:val="15"/>
                <w:u w:val="none"/>
                <w:lang w:val="en-US" w:eastAsia="zh-CN" w:bidi="ar"/>
              </w:rPr>
              <w:br w:type="textWrapping"/>
            </w:r>
            <w:r>
              <w:rPr>
                <w:rFonts w:hint="eastAsia" w:ascii="宋体" w:hAnsi="宋体" w:eastAsia="宋体" w:cs="宋体"/>
                <w:b w:val="0"/>
                <w:bCs w:val="0"/>
                <w:i w:val="0"/>
                <w:iCs w:val="0"/>
                <w:color w:val="000000"/>
                <w:kern w:val="0"/>
                <w:sz w:val="15"/>
                <w:szCs w:val="15"/>
                <w:u w:val="none"/>
                <w:lang w:val="en-US" w:eastAsia="zh-CN" w:bidi="ar"/>
              </w:rPr>
              <w:t>（万元）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上级资金</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0</w:t>
            </w:r>
          </w:p>
        </w:tc>
      </w:tr>
      <w:tr>
        <w:tblPrEx>
          <w:tblLayout w:type="fixed"/>
          <w:tblCellMar>
            <w:top w:w="0" w:type="dxa"/>
            <w:left w:w="108" w:type="dxa"/>
            <w:bottom w:w="0" w:type="dxa"/>
            <w:right w:w="108" w:type="dxa"/>
          </w:tblCellMar>
        </w:tblPrEx>
        <w:trPr>
          <w:trHeight w:val="348"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本级资金</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618.13</w:t>
            </w:r>
          </w:p>
        </w:tc>
      </w:tr>
      <w:tr>
        <w:tblPrEx>
          <w:tblLayout w:type="fixed"/>
          <w:tblCellMar>
            <w:top w:w="0" w:type="dxa"/>
            <w:left w:w="108" w:type="dxa"/>
            <w:bottom w:w="0" w:type="dxa"/>
            <w:right w:w="108" w:type="dxa"/>
          </w:tblCellMar>
        </w:tblPrEx>
        <w:trPr>
          <w:trHeight w:val="549"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其他资金</w:t>
            </w:r>
            <w:r>
              <w:rPr>
                <w:rFonts w:hint="eastAsia" w:ascii="宋体" w:hAnsi="宋体" w:eastAsia="宋体" w:cs="宋体"/>
                <w:b w:val="0"/>
                <w:bCs w:val="0"/>
                <w:i w:val="0"/>
                <w:iCs w:val="0"/>
                <w:color w:val="000000"/>
                <w:kern w:val="0"/>
                <w:sz w:val="15"/>
                <w:szCs w:val="15"/>
                <w:u w:val="none"/>
                <w:lang w:val="en-US" w:eastAsia="zh-CN" w:bidi="ar"/>
              </w:rPr>
              <w:br w:type="textWrapping"/>
            </w:r>
            <w:r>
              <w:rPr>
                <w:rFonts w:hint="eastAsia" w:ascii="宋体" w:hAnsi="宋体" w:eastAsia="宋体" w:cs="宋体"/>
                <w:b w:val="0"/>
                <w:bCs w:val="0"/>
                <w:i w:val="0"/>
                <w:iCs w:val="0"/>
                <w:color w:val="000000"/>
                <w:kern w:val="0"/>
                <w:sz w:val="15"/>
                <w:szCs w:val="15"/>
                <w:u w:val="none"/>
                <w:lang w:val="en-US" w:eastAsia="zh-CN" w:bidi="ar"/>
              </w:rPr>
              <w:t>（万元）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其他</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0</w:t>
            </w:r>
          </w:p>
        </w:tc>
      </w:tr>
      <w:tr>
        <w:tblPrEx>
          <w:tblLayout w:type="fixed"/>
          <w:tblCellMar>
            <w:top w:w="0" w:type="dxa"/>
            <w:left w:w="108" w:type="dxa"/>
            <w:bottom w:w="0" w:type="dxa"/>
            <w:right w:w="108" w:type="dxa"/>
          </w:tblCellMar>
        </w:tblPrEx>
        <w:trPr>
          <w:trHeight w:val="421" w:hRule="atLeast"/>
        </w:trPr>
        <w:tc>
          <w:tcPr>
            <w:tcW w:w="17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合计：</w:t>
            </w:r>
          </w:p>
        </w:tc>
        <w:tc>
          <w:tcPr>
            <w:tcW w:w="46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618.13</w:t>
            </w:r>
          </w:p>
        </w:tc>
      </w:tr>
      <w:tr>
        <w:tblPrEx>
          <w:tblLayout w:type="fixed"/>
          <w:tblCellMar>
            <w:top w:w="0" w:type="dxa"/>
            <w:left w:w="108" w:type="dxa"/>
            <w:bottom w:w="0" w:type="dxa"/>
            <w:right w:w="108" w:type="dxa"/>
          </w:tblCellMar>
        </w:tblPrEx>
        <w:trPr>
          <w:trHeight w:val="421"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r>
      <w:tr>
        <w:tblPrEx>
          <w:tblLayout w:type="fixed"/>
          <w:tblCellMar>
            <w:top w:w="0" w:type="dxa"/>
            <w:left w:w="108" w:type="dxa"/>
            <w:bottom w:w="0" w:type="dxa"/>
            <w:right w:w="108" w:type="dxa"/>
          </w:tblCellMar>
        </w:tblPrEx>
        <w:trPr>
          <w:trHeight w:val="44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kern w:val="0"/>
                <w:sz w:val="15"/>
                <w:szCs w:val="15"/>
                <w:u w:val="none"/>
                <w:lang w:val="en-US" w:eastAsia="zh-CN" w:bidi="ar"/>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二级指标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三级指标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指标值</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指标值设定依据</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分值权重</w:t>
            </w:r>
          </w:p>
        </w:tc>
      </w:tr>
      <w:tr>
        <w:tblPrEx>
          <w:tblLayout w:type="fixed"/>
          <w:tblCellMar>
            <w:top w:w="0" w:type="dxa"/>
            <w:left w:w="108" w:type="dxa"/>
            <w:bottom w:w="0" w:type="dxa"/>
            <w:right w:w="108" w:type="dxa"/>
          </w:tblCellMar>
        </w:tblPrEx>
        <w:trPr>
          <w:trHeight w:val="59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运行成本</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tblLayout w:type="fixed"/>
          <w:tblCellMar>
            <w:top w:w="0" w:type="dxa"/>
            <w:left w:w="108" w:type="dxa"/>
            <w:bottom w:w="0" w:type="dxa"/>
            <w:right w:w="108" w:type="dxa"/>
          </w:tblCellMar>
        </w:tblPrEx>
        <w:trPr>
          <w:trHeight w:val="585"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管理效率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tblLayout w:type="fixed"/>
          <w:tblCellMar>
            <w:top w:w="0" w:type="dxa"/>
            <w:left w:w="108" w:type="dxa"/>
            <w:bottom w:w="0" w:type="dxa"/>
            <w:right w:w="108" w:type="dxa"/>
          </w:tblCellMar>
        </w:tblPrEx>
        <w:trPr>
          <w:trHeight w:val="9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履职效能</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数量指标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召开常委会会议次数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&gt;=6次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tblLayout w:type="fixed"/>
          <w:tblCellMar>
            <w:top w:w="0" w:type="dxa"/>
            <w:left w:w="108" w:type="dxa"/>
            <w:bottom w:w="0" w:type="dxa"/>
            <w:right w:w="108" w:type="dxa"/>
          </w:tblCellMar>
        </w:tblPrEx>
        <w:trPr>
          <w:trHeight w:val="116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人大第十八届四次全体会议次数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&gt;=1次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tblLayout w:type="fixed"/>
          <w:tblCellMar>
            <w:top w:w="0" w:type="dxa"/>
            <w:left w:w="108" w:type="dxa"/>
            <w:bottom w:w="0" w:type="dxa"/>
            <w:right w:w="108" w:type="dxa"/>
          </w:tblCellMar>
        </w:tblPrEx>
        <w:trPr>
          <w:trHeight w:val="119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三查（察）活动次数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&gt;=10次</w:t>
            </w: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呼人常发〔2024〕9号 呼图壁县人大常委会2024年工作要点呼人常发〔2024〕9号 呼图壁县人大常委会2024年工作要点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30</w:t>
            </w:r>
          </w:p>
        </w:tc>
      </w:tr>
      <w:tr>
        <w:tblPrEx>
          <w:tblLayout w:type="fixed"/>
          <w:tblCellMar>
            <w:top w:w="0" w:type="dxa"/>
            <w:left w:w="108" w:type="dxa"/>
            <w:bottom w:w="0" w:type="dxa"/>
            <w:right w:w="108" w:type="dxa"/>
          </w:tblCellMar>
        </w:tblPrEx>
        <w:trPr>
          <w:trHeight w:val="73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社会效益</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tblLayout w:type="fixed"/>
          <w:tblCellMar>
            <w:top w:w="0" w:type="dxa"/>
            <w:left w:w="108" w:type="dxa"/>
            <w:bottom w:w="0" w:type="dxa"/>
            <w:right w:w="108" w:type="dxa"/>
          </w:tblCellMar>
        </w:tblPrEx>
        <w:trPr>
          <w:trHeight w:val="959"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可持续发展能力</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r>
        <w:tblPrEx>
          <w:tblLayout w:type="fixed"/>
          <w:tblCellMar>
            <w:top w:w="0" w:type="dxa"/>
            <w:left w:w="108" w:type="dxa"/>
            <w:bottom w:w="0" w:type="dxa"/>
            <w:right w:w="108" w:type="dxa"/>
          </w:tblCellMar>
        </w:tblPrEx>
        <w:trPr>
          <w:trHeight w:val="979"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年度绩效指标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r>
              <w:rPr>
                <w:rFonts w:hint="eastAsia" w:ascii="宋体" w:hAnsi="宋体" w:eastAsia="宋体" w:cs="宋体"/>
                <w:b w:val="0"/>
                <w:bCs w:val="0"/>
                <w:i w:val="0"/>
                <w:iCs w:val="0"/>
                <w:color w:val="000000"/>
                <w:kern w:val="0"/>
                <w:sz w:val="15"/>
                <w:szCs w:val="15"/>
                <w:u w:val="none"/>
                <w:lang w:val="en-US" w:eastAsia="zh-CN" w:bidi="ar"/>
              </w:rPr>
              <w:t>服务对象满意度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5"/>
                <w:szCs w:val="15"/>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280" w:type="dxa"/>
        <w:tblInd w:w="93" w:type="dxa"/>
        <w:shd w:val="clear" w:color="auto" w:fill="auto"/>
        <w:tblLayout w:type="fixed"/>
        <w:tblCellMar>
          <w:top w:w="0" w:type="dxa"/>
          <w:left w:w="108" w:type="dxa"/>
          <w:bottom w:w="0" w:type="dxa"/>
          <w:right w:w="108" w:type="dxa"/>
        </w:tblCellMar>
      </w:tblPr>
      <w:tblGrid>
        <w:gridCol w:w="914"/>
        <w:gridCol w:w="914"/>
        <w:gridCol w:w="914"/>
        <w:gridCol w:w="914"/>
        <w:gridCol w:w="914"/>
        <w:gridCol w:w="914"/>
        <w:gridCol w:w="914"/>
        <w:gridCol w:w="914"/>
        <w:gridCol w:w="1968"/>
      </w:tblGrid>
      <w:tr>
        <w:tblPrEx>
          <w:shd w:val="clear" w:color="auto" w:fill="auto"/>
          <w:tblLayout w:type="fixed"/>
          <w:tblCellMar>
            <w:top w:w="0" w:type="dxa"/>
            <w:left w:w="108" w:type="dxa"/>
            <w:bottom w:w="0" w:type="dxa"/>
            <w:right w:w="108" w:type="dxa"/>
          </w:tblCellMar>
        </w:tblPrEx>
        <w:trPr>
          <w:trHeight w:val="405"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项  目  支  出  绩  效  目  标  表</w:t>
            </w:r>
          </w:p>
        </w:tc>
      </w:tr>
      <w:tr>
        <w:tblPrEx>
          <w:tblLayout w:type="fixed"/>
          <w:tblCellMar>
            <w:top w:w="0" w:type="dxa"/>
            <w:left w:w="108" w:type="dxa"/>
            <w:bottom w:w="0" w:type="dxa"/>
            <w:right w:w="108" w:type="dxa"/>
          </w:tblCellMar>
        </w:tblPrEx>
        <w:trPr>
          <w:trHeight w:val="450" w:hRule="atLeast"/>
        </w:trPr>
        <w:tc>
          <w:tcPr>
            <w:tcW w:w="92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w:t>
            </w:r>
          </w:p>
        </w:tc>
      </w:tr>
      <w:tr>
        <w:tblPrEx>
          <w:tblLayout w:type="fixed"/>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预算单位</w:t>
            </w:r>
          </w:p>
        </w:tc>
        <w:tc>
          <w:tcPr>
            <w:tcW w:w="745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呼图壁县人民代表大会常务委员会办公室</w:t>
            </w:r>
          </w:p>
        </w:tc>
      </w:tr>
      <w:tr>
        <w:tblPrEx>
          <w:tblLayout w:type="fixed"/>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27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2024年“人大代表工作室”补助经费</w:t>
            </w:r>
          </w:p>
        </w:tc>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项目负责人</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许红</w:t>
            </w:r>
          </w:p>
        </w:tc>
      </w:tr>
      <w:tr>
        <w:tblPrEx>
          <w:tblLayout w:type="fixed"/>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项目资金（万元）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年度预算总额：</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其中：财政拨款</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其他资金：</w:t>
            </w:r>
          </w:p>
        </w:tc>
        <w:tc>
          <w:tcPr>
            <w:tcW w:w="28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tblPrEx>
          <w:tblLayout w:type="fixed"/>
          <w:tblCellMar>
            <w:top w:w="0" w:type="dxa"/>
            <w:left w:w="108" w:type="dxa"/>
            <w:bottom w:w="0" w:type="dxa"/>
            <w:right w:w="108" w:type="dxa"/>
          </w:tblCellMar>
        </w:tblPrEx>
        <w:trPr>
          <w:trHeight w:val="800" w:hRule="atLeast"/>
        </w:trPr>
        <w:tc>
          <w:tcPr>
            <w:tcW w:w="1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项目总体目标</w:t>
            </w:r>
          </w:p>
        </w:tc>
        <w:tc>
          <w:tcPr>
            <w:tcW w:w="745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期组织人大代表培训、学习，定期开展三查（察）活动，收集群众意见、建议、社情民意、微实事等，督办承办部门办理群众意见建议，参与化解矛盾纠风。保障代表之家建设、日常运行等费用，确保代表活动正常开展，达到预期绩效目标要求。</w:t>
            </w:r>
          </w:p>
        </w:tc>
      </w:tr>
      <w:tr>
        <w:tblPrEx>
          <w:tblLayout w:type="fixed"/>
          <w:tblCellMar>
            <w:top w:w="0" w:type="dxa"/>
            <w:left w:w="108" w:type="dxa"/>
            <w:bottom w:w="0" w:type="dxa"/>
            <w:right w:w="108" w:type="dxa"/>
          </w:tblCellMar>
        </w:tblPrEx>
        <w:trPr>
          <w:trHeight w:val="545" w:hRule="atLeast"/>
        </w:trPr>
        <w:tc>
          <w:tcPr>
            <w:tcW w:w="91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1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6"/>
                <w:szCs w:val="16"/>
                <w:u w:val="none"/>
              </w:rPr>
            </w:pPr>
          </w:p>
        </w:tc>
        <w:tc>
          <w:tcPr>
            <w:tcW w:w="1968"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6"/>
                <w:szCs w:val="16"/>
                <w:u w:val="none"/>
              </w:rPr>
            </w:pPr>
          </w:p>
        </w:tc>
      </w:tr>
      <w:tr>
        <w:tblPrEx>
          <w:tblLayout w:type="fixed"/>
          <w:tblCellMar>
            <w:top w:w="0" w:type="dxa"/>
            <w:left w:w="108" w:type="dxa"/>
            <w:bottom w:w="0" w:type="dxa"/>
            <w:right w:w="108" w:type="dxa"/>
          </w:tblCellMar>
        </w:tblPrEx>
        <w:trPr>
          <w:trHeight w:val="800" w:hRule="atLeast"/>
        </w:trPr>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指标值设置依据</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上年完成值</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指标分值权重</w:t>
            </w:r>
          </w:p>
        </w:tc>
        <w:tc>
          <w:tcPr>
            <w:tcW w:w="9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指标赋分规则</w:t>
            </w:r>
          </w:p>
        </w:tc>
        <w:tc>
          <w:tcPr>
            <w:tcW w:w="1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佐证资料</w:t>
            </w:r>
          </w:p>
        </w:tc>
      </w:tr>
      <w:tr>
        <w:tblPrEx>
          <w:tblLayout w:type="fixed"/>
          <w:tblCellMar>
            <w:top w:w="0" w:type="dxa"/>
            <w:left w:w="108" w:type="dxa"/>
            <w:bottom w:w="0" w:type="dxa"/>
            <w:right w:w="108" w:type="dxa"/>
          </w:tblCellMar>
        </w:tblPrEx>
        <w:trPr>
          <w:trHeight w:val="800" w:hRule="atLeast"/>
        </w:trPr>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参与活动人大代表数量</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&gt;=20人</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人大代表参加三查“察”活动次数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&gt;=10次</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推动人大代表依法监督质效</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提升人大代表履职能力</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项目成本控制率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依法监督推进“一府一委两院”依法行政</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按照完成比例赋分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r>
        <w:tblPrEx>
          <w:tblLayout w:type="fixed"/>
          <w:tblCellMar>
            <w:top w:w="0" w:type="dxa"/>
            <w:left w:w="108" w:type="dxa"/>
            <w:bottom w:w="0" w:type="dxa"/>
            <w:right w:w="108" w:type="dxa"/>
          </w:tblCellMar>
        </w:tblPrEx>
        <w:trPr>
          <w:trHeight w:val="800" w:hRule="atLeast"/>
        </w:trPr>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人大代表满意度</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&gt;=95%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满意度赋分</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020" w:type="dxa"/>
        <w:tblInd w:w="93" w:type="dxa"/>
        <w:shd w:val="clear" w:color="auto" w:fill="auto"/>
        <w:tblLayout w:type="fixed"/>
        <w:tblCellMar>
          <w:top w:w="0" w:type="dxa"/>
          <w:left w:w="108" w:type="dxa"/>
          <w:bottom w:w="0" w:type="dxa"/>
          <w:right w:w="108" w:type="dxa"/>
        </w:tblCellMar>
      </w:tblPr>
      <w:tblGrid>
        <w:gridCol w:w="887"/>
        <w:gridCol w:w="889"/>
        <w:gridCol w:w="887"/>
        <w:gridCol w:w="887"/>
        <w:gridCol w:w="891"/>
        <w:gridCol w:w="887"/>
        <w:gridCol w:w="889"/>
        <w:gridCol w:w="887"/>
        <w:gridCol w:w="1916"/>
      </w:tblGrid>
      <w:tr>
        <w:tblPrEx>
          <w:shd w:val="clear" w:color="auto" w:fill="auto"/>
          <w:tblLayout w:type="fixed"/>
          <w:tblCellMar>
            <w:top w:w="0" w:type="dxa"/>
            <w:left w:w="108" w:type="dxa"/>
            <w:bottom w:w="0" w:type="dxa"/>
            <w:right w:w="108" w:type="dxa"/>
          </w:tblCellMar>
        </w:tblPrEx>
        <w:trPr>
          <w:trHeight w:val="626"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Layout w:type="fixed"/>
          <w:tblCellMar>
            <w:top w:w="0" w:type="dxa"/>
            <w:left w:w="108" w:type="dxa"/>
            <w:bottom w:w="0" w:type="dxa"/>
            <w:right w:w="108" w:type="dxa"/>
          </w:tblCellMar>
        </w:tblPrEx>
        <w:trPr>
          <w:trHeight w:val="451" w:hRule="atLeast"/>
        </w:trPr>
        <w:tc>
          <w:tcPr>
            <w:tcW w:w="90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Layout w:type="fixed"/>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Layout w:type="fixed"/>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2024年人大会议费</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Layout w:type="fixed"/>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89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8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13" w:hRule="atLeast"/>
        </w:trPr>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保障监督、代表工作正常开展，每年年初召开一次人代会，每两个月至少召开一次常委会。保障人代会材料印制、会务组织、后勤保障等费用，确保十八届四次人代会顺利召开，达到预期绩效目标要求。</w:t>
            </w:r>
          </w:p>
        </w:tc>
      </w:tr>
      <w:tr>
        <w:tblPrEx>
          <w:tblLayout w:type="fixed"/>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9"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91"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9"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87"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916"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9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Layout w:type="fixed"/>
          <w:tblCellMar>
            <w:top w:w="0" w:type="dxa"/>
            <w:left w:w="108" w:type="dxa"/>
            <w:bottom w:w="0" w:type="dxa"/>
            <w:right w:w="108" w:type="dxa"/>
          </w:tblCellMar>
        </w:tblPrEx>
        <w:trPr>
          <w:trHeight w:val="813"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参加会议人数</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&gt;=160人</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49"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召开人代会会议次数</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1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既定会议完成率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13"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13"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49"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23"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人大代表满意度</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100" w:type="dxa"/>
        <w:tblInd w:w="93" w:type="dxa"/>
        <w:shd w:val="clear" w:color="auto" w:fill="auto"/>
        <w:tblLayout w:type="fixed"/>
        <w:tblCellMar>
          <w:top w:w="0" w:type="dxa"/>
          <w:left w:w="108" w:type="dxa"/>
          <w:bottom w:w="0" w:type="dxa"/>
          <w:right w:w="108" w:type="dxa"/>
        </w:tblCellMar>
      </w:tblPr>
      <w:tblGrid>
        <w:gridCol w:w="983"/>
        <w:gridCol w:w="984"/>
        <w:gridCol w:w="983"/>
        <w:gridCol w:w="983"/>
        <w:gridCol w:w="985"/>
        <w:gridCol w:w="983"/>
        <w:gridCol w:w="984"/>
        <w:gridCol w:w="983"/>
        <w:gridCol w:w="1232"/>
      </w:tblGrid>
      <w:tr>
        <w:tblPrEx>
          <w:shd w:val="clear" w:color="auto" w:fill="auto"/>
          <w:tblLayout w:type="fixed"/>
          <w:tblCellMar>
            <w:top w:w="0" w:type="dxa"/>
            <w:left w:w="108" w:type="dxa"/>
            <w:bottom w:w="0" w:type="dxa"/>
            <w:right w:w="108" w:type="dxa"/>
          </w:tblCellMar>
        </w:tblPrEx>
        <w:trPr>
          <w:trHeight w:val="630" w:hRule="atLeast"/>
        </w:trPr>
        <w:tc>
          <w:tcPr>
            <w:tcW w:w="91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Layout w:type="fixed"/>
          <w:tblCellMar>
            <w:top w:w="0" w:type="dxa"/>
            <w:left w:w="108" w:type="dxa"/>
            <w:bottom w:w="0" w:type="dxa"/>
            <w:right w:w="108" w:type="dxa"/>
          </w:tblCellMar>
        </w:tblPrEx>
        <w:trPr>
          <w:trHeight w:val="454" w:hRule="atLeast"/>
        </w:trPr>
        <w:tc>
          <w:tcPr>
            <w:tcW w:w="91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Layout w:type="fixed"/>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Layout w:type="fixed"/>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2024年人大运转经费</w:t>
            </w:r>
          </w:p>
        </w:tc>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Layout w:type="fixed"/>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18" w:hRule="atLeast"/>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3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保障监督、代表工作正常开展，每年年初召开一次人代会，每两个月至少召开一次常委会。保障机关正常运转，日常办公、车辆运行等费用，调动干部职工积极性，达到预期绩效目标要求。</w:t>
            </w:r>
          </w:p>
        </w:tc>
      </w:tr>
      <w:tr>
        <w:tblPrEx>
          <w:tblLayout w:type="fixed"/>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5"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4"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83"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232"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Layout w:type="fixed"/>
          <w:tblCellMar>
            <w:top w:w="0" w:type="dxa"/>
            <w:left w:w="108" w:type="dxa"/>
            <w:bottom w:w="0" w:type="dxa"/>
            <w:right w:w="108" w:type="dxa"/>
          </w:tblCellMar>
        </w:tblPrEx>
        <w:trPr>
          <w:trHeight w:val="818"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三查（察）活动次数</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55"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召开常委会会议次数</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55"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三查（察）活动合格率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18"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18"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55"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28"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人大代表满意度</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W w:w="9560" w:type="dxa"/>
        <w:tblInd w:w="93" w:type="dxa"/>
        <w:shd w:val="clear" w:color="auto" w:fill="auto"/>
        <w:tblLayout w:type="fixed"/>
        <w:tblCellMar>
          <w:top w:w="0" w:type="dxa"/>
          <w:left w:w="108" w:type="dxa"/>
          <w:bottom w:w="0" w:type="dxa"/>
          <w:right w:w="108" w:type="dxa"/>
        </w:tblCellMar>
      </w:tblPr>
      <w:tblGrid>
        <w:gridCol w:w="1028"/>
        <w:gridCol w:w="1029"/>
        <w:gridCol w:w="1028"/>
        <w:gridCol w:w="1028"/>
        <w:gridCol w:w="1030"/>
        <w:gridCol w:w="1028"/>
        <w:gridCol w:w="1029"/>
        <w:gridCol w:w="1028"/>
        <w:gridCol w:w="1332"/>
      </w:tblGrid>
      <w:tr>
        <w:tblPrEx>
          <w:shd w:val="clear" w:color="auto" w:fill="auto"/>
          <w:tblLayout w:type="fixed"/>
          <w:tblCellMar>
            <w:top w:w="0" w:type="dxa"/>
            <w:left w:w="108" w:type="dxa"/>
            <w:bottom w:w="0" w:type="dxa"/>
            <w:right w:w="108" w:type="dxa"/>
          </w:tblCellMar>
        </w:tblPrEx>
        <w:trPr>
          <w:trHeight w:val="624" w:hRule="atLeast"/>
        </w:trPr>
        <w:tc>
          <w:tcPr>
            <w:tcW w:w="9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Layout w:type="fixed"/>
          <w:tblCellMar>
            <w:top w:w="0" w:type="dxa"/>
            <w:left w:w="108" w:type="dxa"/>
            <w:bottom w:w="0" w:type="dxa"/>
            <w:right w:w="108" w:type="dxa"/>
          </w:tblCellMar>
        </w:tblPrEx>
        <w:trPr>
          <w:trHeight w:val="450" w:hRule="atLeast"/>
        </w:trPr>
        <w:tc>
          <w:tcPr>
            <w:tcW w:w="956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Layout w:type="fixed"/>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0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Layout w:type="fixed"/>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2024年自治区基层人大补助经费</w:t>
            </w:r>
          </w:p>
        </w:tc>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Layout w:type="fixed"/>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3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09" w:hRule="atLeast"/>
        </w:trPr>
        <w:tc>
          <w:tcPr>
            <w:tcW w:w="2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0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保障人大机关正常运转，补充基层人大工作经费。</w:t>
            </w:r>
          </w:p>
        </w:tc>
      </w:tr>
      <w:tr>
        <w:tblPrEx>
          <w:tblLayout w:type="fixed"/>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29"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3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9"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2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332"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Layout w:type="fixed"/>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2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Layout w:type="fixed"/>
          <w:tblCellMar>
            <w:top w:w="0" w:type="dxa"/>
            <w:left w:w="108" w:type="dxa"/>
            <w:bottom w:w="0" w:type="dxa"/>
            <w:right w:w="108" w:type="dxa"/>
          </w:tblCellMar>
        </w:tblPrEx>
        <w:trPr>
          <w:trHeight w:val="945" w:hRule="atLeast"/>
        </w:trPr>
        <w:tc>
          <w:tcPr>
            <w:tcW w:w="10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基层代表补助涉及乡镇数量</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组织代表培训次数</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培训合格率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09" w:hRule="atLeast"/>
        </w:trPr>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经费拨付及时率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809"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45"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Layout w:type="fixed"/>
          <w:tblCellMar>
            <w:top w:w="0" w:type="dxa"/>
            <w:left w:w="108" w:type="dxa"/>
            <w:bottom w:w="0" w:type="dxa"/>
            <w:right w:w="108" w:type="dxa"/>
          </w:tblCellMar>
        </w:tblPrEx>
        <w:trPr>
          <w:trHeight w:val="955" w:hRule="atLeast"/>
        </w:trPr>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基层人大代表满意度</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left="630" w:leftChars="0" w:firstLineChars="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当年非财政拨款项目0个，涉及预算金额0万元，不公开绩效目标表</w:t>
      </w:r>
      <w:bookmarkStart w:id="0" w:name="_GoBack"/>
      <w:bookmarkEnd w:id="0"/>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eastAsia="zh-CN"/>
        </w:rPr>
        <w:t>呼图壁县人民代表大会常务委员会办公室</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8A3405"/>
    <w:multiLevelType w:val="singleLevel"/>
    <w:tmpl w:val="ED8A3405"/>
    <w:lvl w:ilvl="0" w:tentative="0">
      <w:start w:val="1"/>
      <w:numFmt w:val="chineseCounting"/>
      <w:suff w:val="space"/>
      <w:lvlText w:val="第%1部分"/>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pPr>
        <w:ind w:left="63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ODIyOWI3OGY0NGY4YzdjYzlmNWI5ODBmZGU5ZDgifQ=="/>
  </w:docVars>
  <w:rsids>
    <w:rsidRoot w:val="10587512"/>
    <w:rsid w:val="00EE2224"/>
    <w:rsid w:val="028710B6"/>
    <w:rsid w:val="02CF4153"/>
    <w:rsid w:val="04267B2D"/>
    <w:rsid w:val="05397FD9"/>
    <w:rsid w:val="05F257ED"/>
    <w:rsid w:val="068715C6"/>
    <w:rsid w:val="070E6657"/>
    <w:rsid w:val="08450B28"/>
    <w:rsid w:val="08E623AA"/>
    <w:rsid w:val="08F30EF3"/>
    <w:rsid w:val="094F6556"/>
    <w:rsid w:val="0B247F12"/>
    <w:rsid w:val="0CC2626C"/>
    <w:rsid w:val="0CE23EB3"/>
    <w:rsid w:val="0D6E5FD0"/>
    <w:rsid w:val="0E9208E7"/>
    <w:rsid w:val="0E9E5DA4"/>
    <w:rsid w:val="1054752B"/>
    <w:rsid w:val="10587512"/>
    <w:rsid w:val="10916BDA"/>
    <w:rsid w:val="10BA2B7E"/>
    <w:rsid w:val="1215162D"/>
    <w:rsid w:val="161F409A"/>
    <w:rsid w:val="1697741D"/>
    <w:rsid w:val="1732414C"/>
    <w:rsid w:val="1A616786"/>
    <w:rsid w:val="1BEB54C3"/>
    <w:rsid w:val="1C3C6084"/>
    <w:rsid w:val="1CEB6DC6"/>
    <w:rsid w:val="1D3E1AFE"/>
    <w:rsid w:val="1D5D10A0"/>
    <w:rsid w:val="1EB61656"/>
    <w:rsid w:val="20DD55C0"/>
    <w:rsid w:val="21A90B39"/>
    <w:rsid w:val="22DB78DD"/>
    <w:rsid w:val="23642233"/>
    <w:rsid w:val="244D65B8"/>
    <w:rsid w:val="2492221D"/>
    <w:rsid w:val="26B4291F"/>
    <w:rsid w:val="26E769FA"/>
    <w:rsid w:val="279752BA"/>
    <w:rsid w:val="289B2464"/>
    <w:rsid w:val="293B2E83"/>
    <w:rsid w:val="2A000BF9"/>
    <w:rsid w:val="2A012DF7"/>
    <w:rsid w:val="2A092C9B"/>
    <w:rsid w:val="2AFC4894"/>
    <w:rsid w:val="2B0620BC"/>
    <w:rsid w:val="2BF04276"/>
    <w:rsid w:val="2D480265"/>
    <w:rsid w:val="2D977453"/>
    <w:rsid w:val="2E29155B"/>
    <w:rsid w:val="2EF22236"/>
    <w:rsid w:val="32923F6B"/>
    <w:rsid w:val="332D5209"/>
    <w:rsid w:val="340C0FEF"/>
    <w:rsid w:val="340F2DD0"/>
    <w:rsid w:val="34273469"/>
    <w:rsid w:val="374160A8"/>
    <w:rsid w:val="37CC75FE"/>
    <w:rsid w:val="3AE442A8"/>
    <w:rsid w:val="3E2D356D"/>
    <w:rsid w:val="3E5C73DF"/>
    <w:rsid w:val="3F0D6C58"/>
    <w:rsid w:val="3F7640A6"/>
    <w:rsid w:val="3FDF4D23"/>
    <w:rsid w:val="3FF15277"/>
    <w:rsid w:val="4095422F"/>
    <w:rsid w:val="417C1DDC"/>
    <w:rsid w:val="429631A2"/>
    <w:rsid w:val="43C26223"/>
    <w:rsid w:val="43D8307E"/>
    <w:rsid w:val="465228C5"/>
    <w:rsid w:val="46967EEC"/>
    <w:rsid w:val="46CE3131"/>
    <w:rsid w:val="482A00E0"/>
    <w:rsid w:val="4856343D"/>
    <w:rsid w:val="494F7907"/>
    <w:rsid w:val="4A5633E5"/>
    <w:rsid w:val="4C0055E5"/>
    <w:rsid w:val="4C3677AE"/>
    <w:rsid w:val="4C706B3A"/>
    <w:rsid w:val="4D9C63D9"/>
    <w:rsid w:val="4DB01013"/>
    <w:rsid w:val="4F7B2989"/>
    <w:rsid w:val="517F04CE"/>
    <w:rsid w:val="51C15CED"/>
    <w:rsid w:val="51E03964"/>
    <w:rsid w:val="52285DEB"/>
    <w:rsid w:val="5243021A"/>
    <w:rsid w:val="52AD62F0"/>
    <w:rsid w:val="52C17F6C"/>
    <w:rsid w:val="53171462"/>
    <w:rsid w:val="546308FE"/>
    <w:rsid w:val="55082C4D"/>
    <w:rsid w:val="5B57329D"/>
    <w:rsid w:val="5CA81314"/>
    <w:rsid w:val="5EB42C8F"/>
    <w:rsid w:val="5F2346ED"/>
    <w:rsid w:val="60AC42E2"/>
    <w:rsid w:val="61086613"/>
    <w:rsid w:val="6402747D"/>
    <w:rsid w:val="6408782B"/>
    <w:rsid w:val="643F5B88"/>
    <w:rsid w:val="64DC5686"/>
    <w:rsid w:val="65322CBF"/>
    <w:rsid w:val="663C214A"/>
    <w:rsid w:val="66F554BD"/>
    <w:rsid w:val="672F4014"/>
    <w:rsid w:val="67D5446A"/>
    <w:rsid w:val="68281463"/>
    <w:rsid w:val="68CC52CB"/>
    <w:rsid w:val="68DE4FFE"/>
    <w:rsid w:val="694B58D7"/>
    <w:rsid w:val="69CE4E15"/>
    <w:rsid w:val="69DE7E59"/>
    <w:rsid w:val="6B7F3246"/>
    <w:rsid w:val="6D416E7F"/>
    <w:rsid w:val="6D711088"/>
    <w:rsid w:val="6EF07839"/>
    <w:rsid w:val="6F63000B"/>
    <w:rsid w:val="70E33243"/>
    <w:rsid w:val="72B56DCF"/>
    <w:rsid w:val="75B570E6"/>
    <w:rsid w:val="772A7877"/>
    <w:rsid w:val="780A1873"/>
    <w:rsid w:val="78271E31"/>
    <w:rsid w:val="787D11B8"/>
    <w:rsid w:val="792C5912"/>
    <w:rsid w:val="795B3127"/>
    <w:rsid w:val="7E1A7CF3"/>
    <w:rsid w:val="7E8B30DA"/>
    <w:rsid w:val="7F440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2024-07-26T05:18:13Z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2ED391A9AFCA4EB7B4900EF3465CB506_13</vt:lpwstr>
  </property>
</Properties>
</file>