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中共呼图壁县委员会政法委员会</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kern w:val="0"/>
          <w:sz w:val="32"/>
          <w:szCs w:val="32"/>
        </w:rPr>
        <w:t>中共呼图壁县委员会政法委员会</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kern w:val="0"/>
          <w:sz w:val="32"/>
          <w:szCs w:val="32"/>
        </w:rPr>
        <w:t>中共呼图壁县委员会政法委员会</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宋体" w:eastAsia="仿宋_GB2312"/>
          <w:kern w:val="0"/>
          <w:sz w:val="32"/>
          <w:szCs w:val="32"/>
        </w:rPr>
        <w:t>单位</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宋体" w:eastAsia="仿宋_GB2312"/>
          <w:kern w:val="0"/>
          <w:sz w:val="32"/>
          <w:szCs w:val="32"/>
        </w:rPr>
        <w:t>单位</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宋体" w:eastAsia="仿宋_GB2312"/>
          <w:kern w:val="0"/>
          <w:sz w:val="32"/>
          <w:szCs w:val="32"/>
        </w:rPr>
        <w:t>单位</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kern w:val="0"/>
          <w:sz w:val="32"/>
          <w:szCs w:val="32"/>
        </w:rPr>
        <w:t>中共呼图壁县委员会政法委员会</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中共呼图壁县委员会政法委员会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kern w:val="0"/>
          <w:sz w:val="32"/>
          <w:szCs w:val="32"/>
        </w:rPr>
        <w:t>中共呼图壁县委员会政法委员会</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jc w:val="left"/>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（涉密）</w:t>
      </w:r>
      <w:r>
        <w:rPr>
          <w:rFonts w:hint="eastAsia" w:ascii="仿宋_GB2312" w:hAnsi="宋体" w:eastAsia="仿宋_GB2312" w:cs="宋体"/>
          <w:bCs/>
          <w:kern w:val="0"/>
          <w:sz w:val="32"/>
          <w:szCs w:val="32"/>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从预算单位构成看，</w:t>
      </w:r>
      <w:r>
        <w:rPr>
          <w:rFonts w:hint="eastAsia" w:ascii="仿宋_GB2312" w:hAnsi="宋体" w:eastAsia="仿宋_GB2312"/>
          <w:kern w:val="0"/>
          <w:sz w:val="32"/>
          <w:szCs w:val="32"/>
        </w:rPr>
        <w:t>中共呼图壁县委员会政法委员会</w:t>
      </w:r>
      <w:r>
        <w:rPr>
          <w:rFonts w:hint="eastAsia" w:ascii="仿宋_GB2312" w:hAnsi="宋体" w:eastAsia="仿宋_GB2312" w:cs="宋体"/>
          <w:kern w:val="0"/>
          <w:sz w:val="32"/>
          <w:szCs w:val="32"/>
        </w:rPr>
        <w:t>的预算包括：</w:t>
      </w:r>
      <w:r>
        <w:rPr>
          <w:rFonts w:hint="eastAsia" w:ascii="仿宋_GB2312" w:hAnsi="宋体" w:eastAsia="仿宋_GB2312"/>
          <w:kern w:val="0"/>
          <w:sz w:val="32"/>
          <w:szCs w:val="32"/>
        </w:rPr>
        <w:t>中共呼图壁县委员会政法委员会</w:t>
      </w:r>
      <w:r>
        <w:rPr>
          <w:rFonts w:hint="eastAsia" w:ascii="仿宋_GB2312" w:hAnsi="宋体" w:eastAsia="仿宋_GB2312" w:cs="宋体"/>
          <w:kern w:val="0"/>
          <w:sz w:val="32"/>
          <w:szCs w:val="32"/>
        </w:rPr>
        <w:t>本级预算及下属</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家预算单位在内的汇总预算。</w:t>
      </w:r>
    </w:p>
    <w:p>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kern w:val="0"/>
          <w:sz w:val="32"/>
          <w:szCs w:val="32"/>
        </w:rPr>
        <w:t>中共呼图壁县委员会政法委员会</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lang w:val="en-US" w:eastAsia="zh-CN"/>
        </w:rPr>
        <w:t>不分设科室</w:t>
      </w:r>
      <w:r>
        <w:rPr>
          <w:rFonts w:hint="eastAsia" w:ascii="仿宋_GB2312" w:hAnsi="宋体" w:eastAsia="仿宋_GB2312" w:cs="宋体"/>
          <w:kern w:val="0"/>
          <w:sz w:val="32"/>
          <w:szCs w:val="32"/>
        </w:rPr>
        <w:t>。</w:t>
      </w:r>
    </w:p>
    <w:p>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本单位中，行政单位</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家，事业单位</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家，纳入</w:t>
      </w:r>
      <w:r>
        <w:rPr>
          <w:rFonts w:hint="eastAsia" w:ascii="仿宋_GB2312" w:hAnsi="宋体" w:eastAsia="仿宋_GB2312"/>
          <w:kern w:val="0"/>
          <w:sz w:val="32"/>
          <w:szCs w:val="32"/>
        </w:rPr>
        <w:t>中共呼图壁县委员会政法委员会</w:t>
      </w:r>
      <w:r>
        <w:rPr>
          <w:rFonts w:hint="eastAsia" w:ascii="仿宋_GB2312" w:hAnsi="宋体" w:eastAsia="仿宋_GB2312"/>
          <w:kern w:val="0"/>
          <w:sz w:val="32"/>
          <w:szCs w:val="32"/>
          <w:lang w:val="en-US" w:eastAsia="zh-CN"/>
        </w:rPr>
        <w:t>2024</w:t>
      </w:r>
      <w:r>
        <w:rPr>
          <w:rFonts w:hint="eastAsia" w:ascii="仿宋_GB2312" w:hAnsi="宋体" w:eastAsia="仿宋_GB2312" w:cs="宋体"/>
          <w:kern w:val="0"/>
          <w:sz w:val="32"/>
          <w:szCs w:val="32"/>
        </w:rPr>
        <w:t>年部</w:t>
      </w:r>
      <w:r>
        <w:rPr>
          <w:rFonts w:hint="eastAsia" w:ascii="仿宋_GB2312" w:hAnsi="宋体" w:eastAsia="仿宋_GB2312" w:cs="宋体"/>
          <w:kern w:val="0"/>
          <w:sz w:val="32"/>
          <w:szCs w:val="32"/>
          <w:lang w:val="en-US" w:eastAsia="zh-CN"/>
        </w:rPr>
        <w:t>门</w:t>
      </w:r>
      <w:r>
        <w:rPr>
          <w:rFonts w:hint="eastAsia" w:ascii="仿宋_GB2312" w:hAnsi="宋体" w:eastAsia="仿宋_GB2312" w:cs="宋体"/>
          <w:kern w:val="0"/>
          <w:sz w:val="32"/>
          <w:szCs w:val="32"/>
        </w:rPr>
        <w:t>预算编制范围的二级预算单位包括：</w:t>
      </w:r>
    </w:p>
    <w:p>
      <w:pPr>
        <w:widowControl/>
        <w:spacing w:line="54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呼图壁县指挥中心</w:t>
      </w:r>
    </w:p>
    <w:p>
      <w:pPr>
        <w:widowControl/>
        <w:spacing w:line="54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呼图壁县网格化服务管理中心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kern w:val="0"/>
          <w:sz w:val="32"/>
          <w:szCs w:val="32"/>
        </w:rPr>
        <w:t>中共呼图壁县委员会政法委员会</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8个</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47</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41</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呼图壁县指挥中心编制数8个，实有人数7人，</w:t>
      </w:r>
      <w:r>
        <w:rPr>
          <w:rFonts w:hint="eastAsia" w:ascii="仿宋_GB2312" w:hAnsi="宋体" w:eastAsia="仿宋_GB2312" w:cs="宋体"/>
          <w:kern w:val="0"/>
          <w:sz w:val="32"/>
          <w:szCs w:val="32"/>
        </w:rPr>
        <w:t>其中：在职</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呼图壁县网格化服务管理中心编制数9个，实有人数9人，</w:t>
      </w:r>
      <w:r>
        <w:rPr>
          <w:rFonts w:hint="eastAsia" w:ascii="仿宋_GB2312" w:hAnsi="宋体" w:eastAsia="仿宋_GB2312" w:cs="宋体"/>
          <w:kern w:val="0"/>
          <w:sz w:val="32"/>
          <w:szCs w:val="32"/>
        </w:rPr>
        <w:t>其中：在职</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widowControl/>
        <w:spacing w:line="540" w:lineRule="exact"/>
        <w:ind w:firstLine="640"/>
        <w:jc w:val="left"/>
        <w:rPr>
          <w:rFonts w:hint="eastAsia" w:ascii="仿宋_GB2312" w:hAnsi="宋体" w:eastAsia="仿宋_GB2312" w:cs="宋体"/>
          <w:kern w:val="0"/>
          <w:sz w:val="32"/>
          <w:szCs w:val="32"/>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单位</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 xml:space="preserve"> 中共呼图壁县委员会政法委员会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2005.49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1748.54</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1696.49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1696.49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122.93</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65.23</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309.00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309.00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68.79</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top"/>
          </w:tcPr>
          <w:p>
            <w:pPr>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2005.49</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2005.49</w:t>
            </w:r>
          </w:p>
        </w:tc>
      </w:tr>
    </w:tbl>
    <w:p>
      <w:pPr>
        <w:widowControl/>
        <w:jc w:val="left"/>
        <w:textAlignment w:val="bottom"/>
        <w:rPr>
          <w:rFonts w:hint="eastAsia" w:ascii="宋体" w:hAnsi="宋体" w:cs="宋体"/>
          <w:color w:val="000000"/>
          <w:kern w:val="0"/>
          <w:sz w:val="20"/>
          <w:szCs w:val="20"/>
          <w:lang w:bidi="ar"/>
        </w:rPr>
      </w:pPr>
    </w:p>
    <w:p>
      <w:pPr>
        <w:widowControl/>
        <w:jc w:val="left"/>
        <w:textAlignment w:val="bottom"/>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表2</w:t>
      </w:r>
    </w:p>
    <w:p>
      <w:pPr>
        <w:widowControl/>
        <w:spacing w:line="440" w:lineRule="exact"/>
        <w:jc w:val="center"/>
        <w:outlineLvl w:val="1"/>
        <w:rPr>
          <w:rFonts w:hint="eastAsia" w:ascii="仿宋_GB2312" w:hAnsi="仿宋_GB2312" w:eastAsia="仿宋_GB2312" w:cs="仿宋_GB2312"/>
          <w:b/>
          <w:kern w:val="0"/>
          <w:sz w:val="32"/>
          <w:szCs w:val="32"/>
        </w:rPr>
      </w:pPr>
      <w:r>
        <w:rPr>
          <w:rFonts w:hint="eastAsia" w:ascii="仿宋_GB2312" w:hAnsi="宋体" w:eastAsia="仿宋_GB2312"/>
          <w:b/>
          <w:kern w:val="0"/>
          <w:sz w:val="32"/>
          <w:szCs w:val="32"/>
        </w:rPr>
        <w:t>单位</w:t>
      </w:r>
      <w:r>
        <w:rPr>
          <w:rFonts w:hint="eastAsia" w:ascii="仿宋_GB2312" w:hAnsi="仿宋_GB2312" w:eastAsia="仿宋_GB2312" w:cs="仿宋_GB2312"/>
          <w:b/>
          <w:kern w:val="0"/>
          <w:sz w:val="32"/>
          <w:szCs w:val="32"/>
        </w:rPr>
        <w:t>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编制单位：中共呼图壁县委员会政法委员会                 单位：万元</w:t>
      </w:r>
    </w:p>
    <w:tbl>
      <w:tblPr>
        <w:tblStyle w:val="5"/>
        <w:tblW w:w="10215" w:type="dxa"/>
        <w:tblInd w:w="-450" w:type="dxa"/>
        <w:tblLayout w:type="fixed"/>
        <w:tblCellMar>
          <w:top w:w="0" w:type="dxa"/>
          <w:left w:w="108" w:type="dxa"/>
          <w:bottom w:w="0" w:type="dxa"/>
          <w:right w:w="108" w:type="dxa"/>
        </w:tblCellMar>
      </w:tblPr>
      <w:tblGrid>
        <w:gridCol w:w="539"/>
        <w:gridCol w:w="446"/>
        <w:gridCol w:w="427"/>
        <w:gridCol w:w="1453"/>
        <w:gridCol w:w="870"/>
        <w:gridCol w:w="930"/>
        <w:gridCol w:w="945"/>
        <w:gridCol w:w="645"/>
        <w:gridCol w:w="315"/>
        <w:gridCol w:w="690"/>
        <w:gridCol w:w="285"/>
        <w:gridCol w:w="660"/>
        <w:gridCol w:w="420"/>
        <w:gridCol w:w="645"/>
        <w:gridCol w:w="405"/>
        <w:gridCol w:w="540"/>
      </w:tblGrid>
      <w:tr>
        <w:tblPrEx>
          <w:tblLayout w:type="fixed"/>
          <w:tblCellMar>
            <w:top w:w="0" w:type="dxa"/>
            <w:left w:w="108" w:type="dxa"/>
            <w:bottom w:w="0" w:type="dxa"/>
            <w:right w:w="108" w:type="dxa"/>
          </w:tblCellMar>
        </w:tblPrEx>
        <w:trPr>
          <w:trHeight w:val="697" w:hRule="atLeast"/>
        </w:trPr>
        <w:tc>
          <w:tcPr>
            <w:tcW w:w="141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4"/>
              </w:rPr>
              <w:t>功能分类科目编码</w:t>
            </w:r>
          </w:p>
        </w:tc>
        <w:tc>
          <w:tcPr>
            <w:tcW w:w="145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7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447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hAnsi="宋体" w:eastAsia="仿宋_GB2312" w:cs="宋体"/>
                <w:b/>
                <w:color w:val="000000"/>
                <w:sz w:val="24"/>
              </w:rPr>
              <w:t>财  政  拨  款  (  补  助  )</w:t>
            </w:r>
          </w:p>
        </w:tc>
        <w:tc>
          <w:tcPr>
            <w:tcW w:w="4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财政专户（教育收费）</w:t>
            </w:r>
          </w:p>
        </w:tc>
        <w:tc>
          <w:tcPr>
            <w:tcW w:w="64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单位资金</w:t>
            </w:r>
          </w:p>
        </w:tc>
        <w:tc>
          <w:tcPr>
            <w:tcW w:w="4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财政拨款结转</w:t>
            </w:r>
          </w:p>
        </w:tc>
        <w:tc>
          <w:tcPr>
            <w:tcW w:w="5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非财政拨款结转结余</w:t>
            </w:r>
          </w:p>
        </w:tc>
      </w:tr>
      <w:tr>
        <w:tblPrEx>
          <w:tblLayout w:type="fixed"/>
          <w:tblCellMar>
            <w:top w:w="0" w:type="dxa"/>
            <w:left w:w="108" w:type="dxa"/>
            <w:bottom w:w="0" w:type="dxa"/>
            <w:right w:w="108" w:type="dxa"/>
          </w:tblCellMar>
        </w:tblPrEx>
        <w:trPr>
          <w:trHeight w:val="90" w:hRule="atLeast"/>
        </w:trPr>
        <w:tc>
          <w:tcPr>
            <w:tcW w:w="539"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类</w:t>
            </w:r>
          </w:p>
        </w:tc>
        <w:tc>
          <w:tcPr>
            <w:tcW w:w="446"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款</w:t>
            </w:r>
          </w:p>
        </w:tc>
        <w:tc>
          <w:tcPr>
            <w:tcW w:w="427"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项</w:t>
            </w:r>
          </w:p>
        </w:tc>
        <w:tc>
          <w:tcPr>
            <w:tcW w:w="145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7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财政拨款(补助)小计</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一般公共预算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3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政府性基金预算</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上级政府性基金安排的转移支付</w:t>
            </w:r>
          </w:p>
        </w:tc>
        <w:tc>
          <w:tcPr>
            <w:tcW w:w="2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国有资本经营预算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4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64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4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5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201　</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1453" w:type="dxa"/>
            <w:tcBorders>
              <w:top w:val="nil"/>
              <w:left w:val="nil"/>
              <w:bottom w:val="single" w:color="auto" w:sz="4" w:space="0"/>
              <w:right w:val="single" w:color="auto" w:sz="4" w:space="0"/>
            </w:tcBorders>
            <w:noWrap w:val="0"/>
            <w:vAlign w:val="center"/>
          </w:tcPr>
          <w:p>
            <w:pPr>
              <w:tabs>
                <w:tab w:val="left" w:pos="501"/>
              </w:tabs>
              <w:jc w:val="left"/>
              <w:rPr>
                <w:rFonts w:hint="eastAsia" w:ascii="仿宋" w:hAnsi="仿宋" w:eastAsia="仿宋" w:cs="仿宋"/>
                <w:color w:val="000000"/>
                <w:sz w:val="22"/>
                <w:szCs w:val="22"/>
              </w:rPr>
            </w:pPr>
            <w:r>
              <w:rPr>
                <w:rFonts w:hint="eastAsia" w:ascii="仿宋" w:hAnsi="仿宋" w:eastAsia="仿宋" w:cs="仿宋"/>
                <w:color w:val="000000"/>
                <w:sz w:val="22"/>
                <w:szCs w:val="22"/>
              </w:rPr>
              <w:t>一般公共服务支出</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1748.54</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1593.54</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1593.54</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155.00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201　</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31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党委办公厅（室）及相关机构事务</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1748.54</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1593.54</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1593.54</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155.00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1"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201　</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31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01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行政运行</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666.54</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511.54</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511.54</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155.00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201</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31</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02</w:t>
            </w:r>
          </w:p>
        </w:tc>
        <w:tc>
          <w:tcPr>
            <w:tcW w:w="145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一般行政管理事务</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1082.00</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1082.00</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1082.00</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208　</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社会保障和就业支出</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122.93</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44.93</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44.93</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78.00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208</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05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行政事业单位养老支出</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122.93</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44.93</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44.93</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78.00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208</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05</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01</w:t>
            </w:r>
          </w:p>
        </w:tc>
        <w:tc>
          <w:tcPr>
            <w:tcW w:w="145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行政单位离退休</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5.58</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5.58</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5.58</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208</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05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05　</w:t>
            </w:r>
          </w:p>
        </w:tc>
        <w:tc>
          <w:tcPr>
            <w:tcW w:w="145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机关事业单位基本养老保险缴费支出</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99.35</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39.35</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39.35</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60.00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208</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05</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06</w:t>
            </w:r>
          </w:p>
        </w:tc>
        <w:tc>
          <w:tcPr>
            <w:tcW w:w="145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机关事业单位职业年金缴费支出</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18.00</w:t>
            </w:r>
          </w:p>
        </w:tc>
        <w:tc>
          <w:tcPr>
            <w:tcW w:w="930"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c>
          <w:tcPr>
            <w:tcW w:w="945"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18.00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210　</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卫生健康支出</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65.23</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25.23</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25.23</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40.00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210　</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11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行政事业单位医疗</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65.23</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25.23</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25.23</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40.00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210　</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11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01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行政单位医疗</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37.54</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7.54</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7.54</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30.00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210</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11</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02</w:t>
            </w:r>
          </w:p>
        </w:tc>
        <w:tc>
          <w:tcPr>
            <w:tcW w:w="145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行政单位医疗</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12.13</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12.13</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12.13</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210</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11</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03</w:t>
            </w:r>
          </w:p>
        </w:tc>
        <w:tc>
          <w:tcPr>
            <w:tcW w:w="145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事业单位医疗</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15.41</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5.41</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5.41</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10.00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210</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11</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99</w:t>
            </w:r>
          </w:p>
        </w:tc>
        <w:tc>
          <w:tcPr>
            <w:tcW w:w="145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公务员医疗补助</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0.15</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0.15</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0.15</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221　</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住房保障支出</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68.79</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32.79</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32.79</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36.00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221</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02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住房改革支出</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68.79</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32.79</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32.79</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36.00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356"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221</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02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01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住房公积金</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68.79</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32.79</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32.79</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64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36.00</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65" w:hRule="atLeast"/>
        </w:trPr>
        <w:tc>
          <w:tcPr>
            <w:tcW w:w="539"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4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rPr>
            </w:pPr>
            <w:r>
              <w:rPr>
                <w:rFonts w:hint="eastAsia" w:ascii="仿宋" w:hAnsi="仿宋" w:eastAsia="仿宋" w:cs="仿宋"/>
                <w:b/>
                <w:bCs/>
                <w:color w:val="000000"/>
                <w:sz w:val="22"/>
                <w:szCs w:val="22"/>
              </w:rPr>
              <w:t>　</w:t>
            </w:r>
          </w:p>
        </w:tc>
        <w:tc>
          <w:tcPr>
            <w:tcW w:w="427"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rPr>
            </w:pPr>
            <w:r>
              <w:rPr>
                <w:rFonts w:hint="eastAsia" w:ascii="仿宋" w:hAnsi="仿宋" w:eastAsia="仿宋" w:cs="仿宋"/>
                <w:b/>
                <w:bCs/>
                <w:color w:val="000000"/>
                <w:sz w:val="22"/>
                <w:szCs w:val="22"/>
              </w:rPr>
              <w:t>　</w:t>
            </w:r>
          </w:p>
        </w:tc>
        <w:tc>
          <w:tcPr>
            <w:tcW w:w="1453"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rPr>
            </w:pPr>
            <w:r>
              <w:rPr>
                <w:rFonts w:hint="eastAsia" w:ascii="仿宋" w:hAnsi="仿宋" w:eastAsia="仿宋" w:cs="仿宋"/>
                <w:b/>
                <w:bCs/>
                <w:color w:val="000000"/>
                <w:sz w:val="22"/>
                <w:szCs w:val="22"/>
              </w:rPr>
              <w:t>合 计</w:t>
            </w:r>
          </w:p>
        </w:tc>
        <w:tc>
          <w:tcPr>
            <w:tcW w:w="87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b/>
                <w:bCs/>
                <w:color w:val="000000"/>
                <w:sz w:val="22"/>
                <w:szCs w:val="22"/>
              </w:rPr>
            </w:pPr>
            <w:r>
              <w:rPr>
                <w:rFonts w:hint="eastAsia" w:ascii="仿宋" w:hAnsi="仿宋" w:eastAsia="仿宋" w:cs="仿宋"/>
                <w:i w:val="0"/>
                <w:color w:val="000000"/>
                <w:kern w:val="0"/>
                <w:sz w:val="22"/>
                <w:szCs w:val="22"/>
                <w:u w:val="none"/>
                <w:lang w:val="en-US" w:eastAsia="zh-CN" w:bidi="ar"/>
              </w:rPr>
              <w:t>2005.49</w:t>
            </w:r>
          </w:p>
        </w:tc>
        <w:tc>
          <w:tcPr>
            <w:tcW w:w="93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b/>
                <w:bCs/>
                <w:color w:val="000000"/>
                <w:sz w:val="22"/>
                <w:szCs w:val="22"/>
              </w:rPr>
            </w:pPr>
            <w:r>
              <w:rPr>
                <w:rFonts w:hint="eastAsia" w:ascii="仿宋" w:hAnsi="仿宋" w:eastAsia="仿宋" w:cs="仿宋"/>
                <w:i w:val="0"/>
                <w:color w:val="000000"/>
                <w:kern w:val="0"/>
                <w:sz w:val="22"/>
                <w:szCs w:val="22"/>
                <w:u w:val="none"/>
                <w:lang w:val="en-US" w:eastAsia="zh-CN" w:bidi="ar"/>
              </w:rPr>
              <w:t>1696.49</w:t>
            </w:r>
          </w:p>
        </w:tc>
        <w:tc>
          <w:tcPr>
            <w:tcW w:w="9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b/>
                <w:bCs/>
                <w:color w:val="000000"/>
                <w:sz w:val="22"/>
                <w:szCs w:val="22"/>
              </w:rPr>
            </w:pPr>
            <w:r>
              <w:rPr>
                <w:rFonts w:hint="eastAsia" w:ascii="仿宋" w:hAnsi="仿宋" w:eastAsia="仿宋" w:cs="仿宋"/>
                <w:i w:val="0"/>
                <w:color w:val="000000"/>
                <w:kern w:val="0"/>
                <w:sz w:val="22"/>
                <w:szCs w:val="22"/>
                <w:u w:val="none"/>
                <w:lang w:val="en-US" w:eastAsia="zh-CN" w:bidi="ar"/>
              </w:rPr>
              <w:t>1696.49</w:t>
            </w:r>
          </w:p>
        </w:tc>
        <w:tc>
          <w:tcPr>
            <w:tcW w:w="64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rPr>
            </w:pPr>
          </w:p>
        </w:tc>
        <w:tc>
          <w:tcPr>
            <w:tcW w:w="3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rPr>
              <w:t>　</w:t>
            </w:r>
          </w:p>
        </w:tc>
        <w:tc>
          <w:tcPr>
            <w:tcW w:w="69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t>
            </w:r>
          </w:p>
        </w:tc>
        <w:tc>
          <w:tcPr>
            <w:tcW w:w="28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rPr>
            </w:pPr>
            <w:r>
              <w:rPr>
                <w:rFonts w:hint="eastAsia" w:ascii="仿宋" w:hAnsi="仿宋" w:eastAsia="仿宋" w:cs="仿宋"/>
                <w:b/>
                <w:bCs/>
                <w:color w:val="000000"/>
                <w:sz w:val="22"/>
                <w:szCs w:val="22"/>
              </w:rPr>
              <w:t>　</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rPr>
            </w:pPr>
            <w:r>
              <w:rPr>
                <w:rFonts w:hint="eastAsia" w:ascii="仿宋" w:hAnsi="仿宋" w:eastAsia="仿宋" w:cs="仿宋"/>
                <w:b/>
                <w:bCs/>
                <w:color w:val="000000"/>
                <w:sz w:val="22"/>
                <w:szCs w:val="22"/>
              </w:rPr>
              <w:t>　</w:t>
            </w:r>
          </w:p>
        </w:tc>
        <w:tc>
          <w:tcPr>
            <w:tcW w:w="42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rPr>
            </w:pPr>
          </w:p>
        </w:tc>
        <w:tc>
          <w:tcPr>
            <w:tcW w:w="64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000000"/>
                <w:sz w:val="22"/>
                <w:szCs w:val="22"/>
                <w:lang w:val="en-US" w:eastAsia="zh-CN"/>
              </w:rPr>
            </w:pPr>
            <w:r>
              <w:rPr>
                <w:rFonts w:hint="eastAsia" w:ascii="仿宋" w:hAnsi="仿宋" w:eastAsia="仿宋" w:cs="仿宋"/>
                <w:b w:val="0"/>
                <w:bCs w:val="0"/>
                <w:color w:val="000000"/>
                <w:sz w:val="22"/>
                <w:szCs w:val="22"/>
                <w:lang w:val="en-US" w:eastAsia="zh-CN"/>
              </w:rPr>
              <w:t>309</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rPr>
            </w:pPr>
          </w:p>
        </w:tc>
        <w:tc>
          <w:tcPr>
            <w:tcW w:w="5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000000"/>
                <w:sz w:val="22"/>
                <w:szCs w:val="22"/>
              </w:rPr>
            </w:pPr>
          </w:p>
        </w:tc>
      </w:tr>
    </w:tbl>
    <w:p>
      <w:pPr>
        <w:widowControl/>
        <w:jc w:val="left"/>
        <w:textAlignment w:val="bottom"/>
        <w:rPr>
          <w:rFonts w:hint="eastAsia" w:ascii="仿宋" w:hAnsi="仿宋" w:eastAsia="仿宋" w:cs="仿宋"/>
          <w:color w:val="000000"/>
          <w:kern w:val="0"/>
          <w:sz w:val="20"/>
          <w:szCs w:val="20"/>
          <w:lang w:bidi="ar"/>
        </w:rPr>
      </w:pPr>
    </w:p>
    <w:p>
      <w:pPr>
        <w:widowControl/>
        <w:jc w:val="left"/>
        <w:textAlignment w:val="bottom"/>
        <w:rPr>
          <w:rFonts w:hint="eastAsia" w:ascii="宋体" w:hAnsi="宋体" w:cs="宋体"/>
          <w:color w:val="000000"/>
          <w:kern w:val="0"/>
          <w:sz w:val="20"/>
          <w:szCs w:val="20"/>
          <w:lang w:bidi="ar"/>
        </w:rPr>
      </w:pPr>
    </w:p>
    <w:p>
      <w:pPr>
        <w:widowControl/>
        <w:jc w:val="left"/>
        <w:textAlignment w:val="bottom"/>
        <w:rPr>
          <w:rFonts w:hint="eastAsia" w:ascii="宋体" w:hAnsi="宋体" w:cs="宋体"/>
          <w:color w:val="000000"/>
          <w:kern w:val="0"/>
          <w:sz w:val="20"/>
          <w:szCs w:val="20"/>
          <w:lang w:bidi="ar"/>
        </w:rPr>
      </w:pPr>
    </w:p>
    <w:p>
      <w:pPr>
        <w:widowControl/>
        <w:jc w:val="left"/>
        <w:textAlignment w:val="bottom"/>
        <w:rPr>
          <w:rFonts w:hint="eastAsia" w:ascii="宋体" w:hAnsi="宋体" w:cs="宋体"/>
          <w:color w:val="000000"/>
          <w:kern w:val="0"/>
          <w:sz w:val="20"/>
          <w:szCs w:val="20"/>
          <w:lang w:bidi="ar"/>
        </w:rPr>
      </w:pPr>
    </w:p>
    <w:p>
      <w:pPr>
        <w:widowControl/>
        <w:jc w:val="left"/>
        <w:textAlignment w:val="bottom"/>
        <w:rPr>
          <w:rFonts w:hint="eastAsia" w:ascii="宋体" w:hAnsi="宋体" w:cs="宋体"/>
          <w:color w:val="000000"/>
          <w:kern w:val="0"/>
          <w:sz w:val="20"/>
          <w:szCs w:val="20"/>
          <w:lang w:bidi="ar"/>
        </w:rPr>
      </w:pPr>
    </w:p>
    <w:p>
      <w:pPr>
        <w:widowControl/>
        <w:jc w:val="left"/>
        <w:textAlignment w:val="bottom"/>
        <w:rPr>
          <w:rFonts w:hint="eastAsia" w:ascii="宋体" w:hAnsi="宋体" w:cs="宋体"/>
          <w:color w:val="000000"/>
          <w:kern w:val="0"/>
          <w:sz w:val="20"/>
          <w:szCs w:val="20"/>
          <w:lang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jc w:val="left"/>
        <w:textAlignment w:val="bottom"/>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表3</w:t>
      </w:r>
    </w:p>
    <w:p>
      <w:pPr>
        <w:widowControl/>
        <w:spacing w:line="360" w:lineRule="exact"/>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编制单位：中共呼图壁县委员会政法委员会         单位：万元</w:t>
      </w:r>
    </w:p>
    <w:tbl>
      <w:tblPr>
        <w:tblStyle w:val="5"/>
        <w:tblW w:w="9425" w:type="dxa"/>
        <w:tblInd w:w="-240" w:type="dxa"/>
        <w:tblLayout w:type="fixed"/>
        <w:tblCellMar>
          <w:top w:w="0" w:type="dxa"/>
          <w:left w:w="108" w:type="dxa"/>
          <w:bottom w:w="0" w:type="dxa"/>
          <w:right w:w="108" w:type="dxa"/>
        </w:tblCellMar>
      </w:tblPr>
      <w:tblGrid>
        <w:gridCol w:w="566"/>
        <w:gridCol w:w="454"/>
        <w:gridCol w:w="500"/>
        <w:gridCol w:w="2323"/>
        <w:gridCol w:w="1844"/>
        <w:gridCol w:w="1845"/>
        <w:gridCol w:w="1893"/>
      </w:tblGrid>
      <w:tr>
        <w:tblPrEx>
          <w:tblLayout w:type="fixed"/>
          <w:tblCellMar>
            <w:top w:w="0" w:type="dxa"/>
            <w:left w:w="108" w:type="dxa"/>
            <w:bottom w:w="0" w:type="dxa"/>
            <w:right w:w="108" w:type="dxa"/>
          </w:tblCellMar>
        </w:tblPrEx>
        <w:trPr>
          <w:trHeight w:val="345" w:hRule="atLeast"/>
        </w:trPr>
        <w:tc>
          <w:tcPr>
            <w:tcW w:w="384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项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支出预算</w:t>
            </w:r>
          </w:p>
        </w:tc>
      </w:tr>
      <w:tr>
        <w:tblPrEx>
          <w:tblLayout w:type="fixed"/>
          <w:tblCellMar>
            <w:top w:w="0" w:type="dxa"/>
            <w:left w:w="108" w:type="dxa"/>
            <w:bottom w:w="0" w:type="dxa"/>
            <w:right w:w="108" w:type="dxa"/>
          </w:tblCellMar>
        </w:tblPrEx>
        <w:trPr>
          <w:trHeight w:val="480" w:hRule="atLeast"/>
        </w:trPr>
        <w:tc>
          <w:tcPr>
            <w:tcW w:w="15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功能分类科目编码</w:t>
            </w:r>
          </w:p>
        </w:tc>
        <w:tc>
          <w:tcPr>
            <w:tcW w:w="2323" w:type="dxa"/>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功能分类科目名称</w:t>
            </w:r>
          </w:p>
        </w:tc>
        <w:tc>
          <w:tcPr>
            <w:tcW w:w="1844" w:type="dxa"/>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合  计</w:t>
            </w:r>
          </w:p>
        </w:tc>
        <w:tc>
          <w:tcPr>
            <w:tcW w:w="1845" w:type="dxa"/>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基本支出</w:t>
            </w:r>
          </w:p>
        </w:tc>
        <w:tc>
          <w:tcPr>
            <w:tcW w:w="1893" w:type="dxa"/>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6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类</w:t>
            </w:r>
          </w:p>
        </w:tc>
        <w:tc>
          <w:tcPr>
            <w:tcW w:w="45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款</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w:t>
            </w:r>
          </w:p>
        </w:tc>
        <w:tc>
          <w:tcPr>
            <w:tcW w:w="232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rPr>
            </w:pPr>
          </w:p>
        </w:tc>
        <w:tc>
          <w:tcPr>
            <w:tcW w:w="184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rPr>
            </w:pPr>
          </w:p>
        </w:tc>
        <w:tc>
          <w:tcPr>
            <w:tcW w:w="189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201　</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32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一般公共服务支出</w:t>
            </w:r>
          </w:p>
        </w:tc>
        <w:tc>
          <w:tcPr>
            <w:tcW w:w="184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1748.54</w:t>
            </w:r>
          </w:p>
        </w:tc>
        <w:tc>
          <w:tcPr>
            <w:tcW w:w="1845"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666.54</w:t>
            </w:r>
          </w:p>
        </w:tc>
        <w:tc>
          <w:tcPr>
            <w:tcW w:w="189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1082.00</w:t>
            </w: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201　</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31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323" w:type="dxa"/>
            <w:tcBorders>
              <w:top w:val="single" w:color="auto" w:sz="4" w:space="0"/>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党委办公厅（室）及相关机构事务</w:t>
            </w:r>
          </w:p>
        </w:tc>
        <w:tc>
          <w:tcPr>
            <w:tcW w:w="1844" w:type="dxa"/>
            <w:tcBorders>
              <w:top w:val="single" w:color="auto" w:sz="4" w:space="0"/>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1748.54</w:t>
            </w:r>
          </w:p>
        </w:tc>
        <w:tc>
          <w:tcPr>
            <w:tcW w:w="1845" w:type="dxa"/>
            <w:tcBorders>
              <w:top w:val="single" w:color="auto" w:sz="4" w:space="0"/>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666.54</w:t>
            </w:r>
          </w:p>
        </w:tc>
        <w:tc>
          <w:tcPr>
            <w:tcW w:w="1893" w:type="dxa"/>
            <w:tcBorders>
              <w:top w:val="single" w:color="auto" w:sz="4" w:space="0"/>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1082.00</w:t>
            </w: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201　</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31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01　</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行政运行</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666.54</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666.54</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201</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31</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02</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一般行政管理事务</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1082.00</w:t>
            </w:r>
          </w:p>
        </w:tc>
        <w:tc>
          <w:tcPr>
            <w:tcW w:w="1845"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c>
          <w:tcPr>
            <w:tcW w:w="189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1082.00</w:t>
            </w: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208　</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社会保障和就业支出</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122.93</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122.93</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208</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05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行政事业单位养老支出</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122.93</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122.93</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208</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05</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01</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行政单位离退休</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5.58</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5.58</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208</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05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05　</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机关事业单位基本养老保险缴费支出</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99.35</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99.35</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208</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05</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06</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机关事业单位职业年金缴费支出</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18.00</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18.00</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210　</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卫生健康支出</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65.23</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65.23</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210　</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11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行政事业单位医疗</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65.23</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65.23</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210　</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11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01　</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行政单位医疗</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37.54</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37.54</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210</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11</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02</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lang w:val="en-US"/>
              </w:rPr>
            </w:pPr>
            <w:r>
              <w:rPr>
                <w:rFonts w:hint="eastAsia" w:ascii="仿宋" w:hAnsi="仿宋" w:eastAsia="仿宋" w:cs="仿宋"/>
                <w:i w:val="0"/>
                <w:color w:val="000000"/>
                <w:kern w:val="0"/>
                <w:sz w:val="22"/>
                <w:szCs w:val="22"/>
                <w:u w:val="none"/>
                <w:lang w:val="en-US" w:eastAsia="zh-CN" w:bidi="ar"/>
              </w:rPr>
              <w:t>事业单位医疗</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lang w:val="en-US"/>
              </w:rPr>
            </w:pPr>
            <w:r>
              <w:rPr>
                <w:rFonts w:hint="eastAsia" w:ascii="仿宋" w:hAnsi="仿宋" w:eastAsia="仿宋" w:cs="仿宋"/>
                <w:i w:val="0"/>
                <w:color w:val="000000"/>
                <w:kern w:val="0"/>
                <w:sz w:val="22"/>
                <w:szCs w:val="22"/>
                <w:u w:val="none"/>
                <w:lang w:val="en-US" w:eastAsia="zh-CN" w:bidi="ar"/>
              </w:rPr>
              <w:t>12.13</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lang w:val="en-US"/>
              </w:rPr>
            </w:pPr>
            <w:r>
              <w:rPr>
                <w:rFonts w:hint="eastAsia" w:ascii="仿宋" w:hAnsi="仿宋" w:eastAsia="仿宋" w:cs="仿宋"/>
                <w:i w:val="0"/>
                <w:color w:val="000000"/>
                <w:kern w:val="0"/>
                <w:sz w:val="22"/>
                <w:szCs w:val="22"/>
                <w:u w:val="none"/>
                <w:lang w:val="en-US" w:eastAsia="zh-CN" w:bidi="ar"/>
              </w:rPr>
              <w:t>12.13</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lang w:val="en-US"/>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210</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11</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03</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公务员医疗补助</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15.41</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15.41</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210</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11</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99</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其他行政事业单位医疗支出</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0.15</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0.15</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221　</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住房保障支出</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68.79</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68.79</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221</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02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　</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住房改革支出</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68.79</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68.79</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221</w:t>
            </w:r>
          </w:p>
        </w:tc>
        <w:tc>
          <w:tcPr>
            <w:tcW w:w="45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02　</w:t>
            </w:r>
          </w:p>
        </w:tc>
        <w:tc>
          <w:tcPr>
            <w:tcW w:w="50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22"/>
                <w:szCs w:val="22"/>
              </w:rPr>
            </w:pPr>
            <w:r>
              <w:rPr>
                <w:rFonts w:hint="eastAsia" w:ascii="仿宋" w:hAnsi="仿宋" w:eastAsia="仿宋" w:cs="仿宋"/>
                <w:color w:val="000000"/>
                <w:sz w:val="22"/>
                <w:szCs w:val="22"/>
              </w:rPr>
              <w:t>01　</w:t>
            </w:r>
          </w:p>
        </w:tc>
        <w:tc>
          <w:tcPr>
            <w:tcW w:w="232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b/>
                <w:bCs/>
                <w:color w:val="000000"/>
                <w:kern w:val="0"/>
                <w:sz w:val="22"/>
                <w:szCs w:val="22"/>
              </w:rPr>
            </w:pPr>
            <w:r>
              <w:rPr>
                <w:rFonts w:hint="eastAsia" w:ascii="仿宋" w:hAnsi="仿宋" w:eastAsia="仿宋" w:cs="仿宋"/>
                <w:i w:val="0"/>
                <w:color w:val="000000"/>
                <w:kern w:val="0"/>
                <w:sz w:val="22"/>
                <w:szCs w:val="22"/>
                <w:u w:val="none"/>
                <w:lang w:val="en-US" w:eastAsia="zh-CN" w:bidi="ar"/>
              </w:rPr>
              <w:t>住房公积金</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68.79</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000000"/>
                <w:sz w:val="22"/>
                <w:szCs w:val="22"/>
              </w:rPr>
            </w:pPr>
            <w:r>
              <w:rPr>
                <w:rFonts w:hint="eastAsia" w:ascii="仿宋" w:hAnsi="仿宋" w:eastAsia="仿宋" w:cs="仿宋"/>
                <w:i w:val="0"/>
                <w:color w:val="000000"/>
                <w:kern w:val="0"/>
                <w:sz w:val="22"/>
                <w:szCs w:val="22"/>
                <w:u w:val="none"/>
                <w:lang w:val="en-US" w:eastAsia="zh-CN" w:bidi="ar"/>
              </w:rPr>
              <w:t>68.79</w:t>
            </w:r>
          </w:p>
        </w:tc>
        <w:tc>
          <w:tcPr>
            <w:tcW w:w="1893" w:type="dxa"/>
            <w:tcBorders>
              <w:top w:val="nil"/>
              <w:left w:val="nil"/>
              <w:bottom w:val="single" w:color="auto" w:sz="4" w:space="0"/>
              <w:right w:val="single" w:color="auto" w:sz="4" w:space="0"/>
            </w:tcBorders>
            <w:noWrap w:val="0"/>
            <w:vAlign w:val="top"/>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rPr>
                <w:rFonts w:hint="eastAsia" w:ascii="仿宋" w:hAnsi="仿宋" w:eastAsia="仿宋" w:cs="仿宋"/>
                <w:sz w:val="22"/>
                <w:szCs w:val="22"/>
              </w:rPr>
            </w:pPr>
          </w:p>
        </w:tc>
        <w:tc>
          <w:tcPr>
            <w:tcW w:w="454" w:type="dxa"/>
            <w:tcBorders>
              <w:top w:val="nil"/>
              <w:left w:val="nil"/>
              <w:bottom w:val="single" w:color="auto" w:sz="4" w:space="0"/>
              <w:right w:val="single" w:color="auto" w:sz="4" w:space="0"/>
            </w:tcBorders>
            <w:noWrap w:val="0"/>
            <w:vAlign w:val="center"/>
          </w:tcPr>
          <w:p>
            <w:pPr>
              <w:rPr>
                <w:rFonts w:hint="eastAsia" w:ascii="仿宋" w:hAnsi="仿宋" w:eastAsia="仿宋" w:cs="仿宋"/>
                <w:sz w:val="22"/>
                <w:szCs w:val="22"/>
              </w:rPr>
            </w:pPr>
          </w:p>
        </w:tc>
        <w:tc>
          <w:tcPr>
            <w:tcW w:w="500" w:type="dxa"/>
            <w:tcBorders>
              <w:top w:val="nil"/>
              <w:left w:val="nil"/>
              <w:bottom w:val="single" w:color="auto" w:sz="4" w:space="0"/>
              <w:right w:val="single" w:color="auto" w:sz="4" w:space="0"/>
            </w:tcBorders>
            <w:noWrap w:val="0"/>
            <w:vAlign w:val="center"/>
          </w:tcPr>
          <w:p>
            <w:pPr>
              <w:rPr>
                <w:rFonts w:hint="eastAsia" w:ascii="仿宋" w:hAnsi="仿宋" w:eastAsia="仿宋" w:cs="仿宋"/>
                <w:sz w:val="22"/>
                <w:szCs w:val="22"/>
              </w:rPr>
            </w:pPr>
          </w:p>
        </w:tc>
        <w:tc>
          <w:tcPr>
            <w:tcW w:w="232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2"/>
                <w:szCs w:val="22"/>
              </w:rPr>
            </w:pPr>
          </w:p>
        </w:tc>
        <w:tc>
          <w:tcPr>
            <w:tcW w:w="184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22"/>
                <w:szCs w:val="22"/>
              </w:rPr>
            </w:pPr>
          </w:p>
        </w:tc>
        <w:tc>
          <w:tcPr>
            <w:tcW w:w="184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22"/>
                <w:szCs w:val="22"/>
              </w:rPr>
            </w:pPr>
          </w:p>
        </w:tc>
        <w:tc>
          <w:tcPr>
            <w:tcW w:w="189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rPr>
                <w:rFonts w:hint="eastAsia" w:ascii="仿宋" w:hAnsi="仿宋" w:eastAsia="仿宋" w:cs="仿宋"/>
                <w:sz w:val="22"/>
                <w:szCs w:val="22"/>
              </w:rPr>
            </w:pPr>
          </w:p>
        </w:tc>
        <w:tc>
          <w:tcPr>
            <w:tcW w:w="454" w:type="dxa"/>
            <w:tcBorders>
              <w:top w:val="nil"/>
              <w:left w:val="nil"/>
              <w:bottom w:val="single" w:color="auto" w:sz="4" w:space="0"/>
              <w:right w:val="single" w:color="auto" w:sz="4" w:space="0"/>
            </w:tcBorders>
            <w:noWrap w:val="0"/>
            <w:vAlign w:val="center"/>
          </w:tcPr>
          <w:p>
            <w:pPr>
              <w:rPr>
                <w:rFonts w:hint="eastAsia" w:ascii="仿宋" w:hAnsi="仿宋" w:eastAsia="仿宋" w:cs="仿宋"/>
                <w:sz w:val="22"/>
                <w:szCs w:val="22"/>
              </w:rPr>
            </w:pPr>
          </w:p>
        </w:tc>
        <w:tc>
          <w:tcPr>
            <w:tcW w:w="500" w:type="dxa"/>
            <w:tcBorders>
              <w:top w:val="nil"/>
              <w:left w:val="nil"/>
              <w:bottom w:val="single" w:color="auto" w:sz="4" w:space="0"/>
              <w:right w:val="single" w:color="auto" w:sz="4" w:space="0"/>
            </w:tcBorders>
            <w:noWrap w:val="0"/>
            <w:vAlign w:val="center"/>
          </w:tcPr>
          <w:p>
            <w:pPr>
              <w:rPr>
                <w:rFonts w:hint="eastAsia" w:ascii="仿宋" w:hAnsi="仿宋" w:eastAsia="仿宋" w:cs="仿宋"/>
                <w:sz w:val="22"/>
                <w:szCs w:val="22"/>
              </w:rPr>
            </w:pPr>
          </w:p>
        </w:tc>
        <w:tc>
          <w:tcPr>
            <w:tcW w:w="232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2"/>
                <w:szCs w:val="22"/>
              </w:rPr>
            </w:pPr>
          </w:p>
        </w:tc>
        <w:tc>
          <w:tcPr>
            <w:tcW w:w="184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22"/>
                <w:szCs w:val="22"/>
              </w:rPr>
            </w:pPr>
          </w:p>
        </w:tc>
        <w:tc>
          <w:tcPr>
            <w:tcW w:w="184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22"/>
                <w:szCs w:val="22"/>
              </w:rPr>
            </w:pPr>
          </w:p>
        </w:tc>
        <w:tc>
          <w:tcPr>
            <w:tcW w:w="189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22"/>
                <w:szCs w:val="22"/>
              </w:rPr>
            </w:pPr>
          </w:p>
        </w:tc>
      </w:tr>
      <w:tr>
        <w:tblPrEx>
          <w:tblLayout w:type="fixed"/>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　</w:t>
            </w:r>
          </w:p>
        </w:tc>
        <w:tc>
          <w:tcPr>
            <w:tcW w:w="4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　</w:t>
            </w:r>
          </w:p>
        </w:tc>
        <w:tc>
          <w:tcPr>
            <w:tcW w:w="23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000000"/>
                <w:kern w:val="0"/>
                <w:sz w:val="22"/>
                <w:szCs w:val="22"/>
              </w:rPr>
            </w:pPr>
            <w:r>
              <w:rPr>
                <w:rFonts w:hint="eastAsia" w:ascii="仿宋" w:hAnsi="仿宋" w:eastAsia="仿宋" w:cs="仿宋"/>
                <w:b/>
                <w:bCs/>
                <w:color w:val="000000"/>
                <w:kern w:val="0"/>
                <w:sz w:val="22"/>
                <w:szCs w:val="22"/>
              </w:rPr>
              <w:t>合  计</w:t>
            </w:r>
          </w:p>
        </w:tc>
        <w:tc>
          <w:tcPr>
            <w:tcW w:w="184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b/>
                <w:bCs/>
                <w:color w:val="000000"/>
                <w:sz w:val="22"/>
                <w:szCs w:val="22"/>
              </w:rPr>
            </w:pPr>
            <w:r>
              <w:rPr>
                <w:rFonts w:hint="eastAsia" w:ascii="仿宋" w:hAnsi="仿宋" w:eastAsia="仿宋" w:cs="仿宋"/>
                <w:i w:val="0"/>
                <w:color w:val="000000"/>
                <w:kern w:val="0"/>
                <w:sz w:val="22"/>
                <w:szCs w:val="22"/>
                <w:u w:val="none"/>
                <w:lang w:val="en-US" w:eastAsia="zh-CN" w:bidi="ar"/>
              </w:rPr>
              <w:t>2005.49</w:t>
            </w:r>
          </w:p>
        </w:tc>
        <w:tc>
          <w:tcPr>
            <w:tcW w:w="184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b/>
                <w:bCs/>
                <w:color w:val="000000"/>
                <w:sz w:val="22"/>
                <w:szCs w:val="22"/>
              </w:rPr>
            </w:pPr>
            <w:r>
              <w:rPr>
                <w:rFonts w:hint="eastAsia" w:ascii="仿宋" w:hAnsi="仿宋" w:eastAsia="仿宋" w:cs="仿宋"/>
                <w:i w:val="0"/>
                <w:color w:val="000000"/>
                <w:kern w:val="0"/>
                <w:sz w:val="22"/>
                <w:szCs w:val="22"/>
                <w:u w:val="none"/>
                <w:lang w:val="en-US" w:eastAsia="zh-CN" w:bidi="ar"/>
              </w:rPr>
              <w:t>923.49</w:t>
            </w:r>
          </w:p>
        </w:tc>
        <w:tc>
          <w:tcPr>
            <w:tcW w:w="189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b/>
                <w:bCs/>
                <w:color w:val="000000"/>
                <w:sz w:val="22"/>
                <w:szCs w:val="22"/>
              </w:rPr>
            </w:pPr>
            <w:r>
              <w:rPr>
                <w:rFonts w:hint="eastAsia" w:ascii="仿宋" w:hAnsi="仿宋" w:eastAsia="仿宋" w:cs="仿宋"/>
                <w:i w:val="0"/>
                <w:color w:val="000000"/>
                <w:kern w:val="0"/>
                <w:sz w:val="22"/>
                <w:szCs w:val="22"/>
                <w:u w:val="none"/>
                <w:lang w:val="en-US" w:eastAsia="zh-CN" w:bidi="ar"/>
              </w:rPr>
              <w:t>1082.00</w:t>
            </w:r>
          </w:p>
        </w:tc>
      </w:tr>
    </w:tbl>
    <w:p>
      <w:pPr>
        <w:widowControl/>
        <w:jc w:val="left"/>
        <w:textAlignment w:val="bottom"/>
        <w:rPr>
          <w:rFonts w:hint="eastAsia" w:ascii="宋体" w:hAnsi="宋体" w:cs="宋体"/>
          <w:color w:val="000000"/>
          <w:kern w:val="0"/>
          <w:sz w:val="20"/>
          <w:szCs w:val="20"/>
          <w:lang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rPr>
        <w:t xml:space="preserve">中共呼图壁县委员会政法委员会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206"/>
        <w:gridCol w:w="551"/>
        <w:gridCol w:w="423"/>
        <w:gridCol w:w="503"/>
        <w:gridCol w:w="253"/>
        <w:gridCol w:w="997"/>
        <w:gridCol w:w="1260"/>
        <w:gridCol w:w="1237"/>
        <w:gridCol w:w="447"/>
        <w:gridCol w:w="600"/>
        <w:gridCol w:w="1069"/>
        <w:gridCol w:w="173"/>
        <w:gridCol w:w="596"/>
        <w:gridCol w:w="1105"/>
        <w:gridCol w:w="29"/>
      </w:tblGrid>
      <w:tr>
        <w:tblPrEx>
          <w:tblLayout w:type="fixed"/>
          <w:tblCellMar>
            <w:top w:w="0" w:type="dxa"/>
            <w:left w:w="108" w:type="dxa"/>
            <w:bottom w:w="0" w:type="dxa"/>
            <w:right w:w="108" w:type="dxa"/>
          </w:tblCellMar>
        </w:tblPrEx>
        <w:trPr>
          <w:trHeight w:val="285" w:hRule="atLeast"/>
        </w:trPr>
        <w:tc>
          <w:tcPr>
            <w:tcW w:w="2933"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16" w:type="dxa"/>
            <w:gridSpan w:val="9"/>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gridSpan w:val="5"/>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9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97"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47"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6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769"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9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1696.49</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04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1593.54</w:t>
            </w:r>
          </w:p>
        </w:tc>
        <w:tc>
          <w:tcPr>
            <w:tcW w:w="106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1593.54</w:t>
            </w: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9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1696.49</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9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4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44.93</w:t>
            </w:r>
          </w:p>
        </w:tc>
        <w:tc>
          <w:tcPr>
            <w:tcW w:w="106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44.93</w:t>
            </w: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47"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104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25.23</w:t>
            </w:r>
          </w:p>
        </w:tc>
        <w:tc>
          <w:tcPr>
            <w:tcW w:w="106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25.23</w:t>
            </w: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4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32.79</w:t>
            </w:r>
          </w:p>
        </w:tc>
        <w:tc>
          <w:tcPr>
            <w:tcW w:w="106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32.79</w:t>
            </w: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47"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047"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047"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97"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47"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069"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769"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gridSpan w:val="5"/>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9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1696.49</w:t>
            </w:r>
            <w:r>
              <w:rPr>
                <w:rFonts w:hint="eastAsia" w:ascii="仿宋_GB2312" w:hAnsi="宋体" w:eastAsia="仿宋_GB2312" w:cs="宋体"/>
                <w:b/>
                <w:bCs/>
                <w:color w:val="auto"/>
                <w:kern w:val="0"/>
                <w:sz w:val="20"/>
                <w:szCs w:val="20"/>
                <w:highlight w:val="none"/>
              </w:rPr>
              <w:t>　</w:t>
            </w:r>
          </w:p>
        </w:tc>
        <w:tc>
          <w:tcPr>
            <w:tcW w:w="249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104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1696.49</w:t>
            </w:r>
          </w:p>
        </w:tc>
        <w:tc>
          <w:tcPr>
            <w:tcW w:w="106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1696.49</w:t>
            </w:r>
          </w:p>
        </w:tc>
        <w:tc>
          <w:tcPr>
            <w:tcW w:w="1903" w:type="dxa"/>
            <w:gridSpan w:val="4"/>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9214" w:type="dxa"/>
            <w:gridSpan w:val="13"/>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rPr>
            </w:pPr>
          </w:p>
          <w:p>
            <w:pPr>
              <w:widowControl/>
              <w:jc w:val="left"/>
              <w:textAlignment w:val="bottom"/>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表5</w:t>
            </w:r>
          </w:p>
          <w:tbl>
            <w:tblPr>
              <w:tblStyle w:val="5"/>
              <w:tblW w:w="9214" w:type="dxa"/>
              <w:tblInd w:w="-34" w:type="dxa"/>
              <w:tblLayout w:type="fixed"/>
              <w:tblCellMar>
                <w:top w:w="0" w:type="dxa"/>
                <w:left w:w="108" w:type="dxa"/>
                <w:bottom w:w="0" w:type="dxa"/>
                <w:right w:w="108" w:type="dxa"/>
              </w:tblCellMar>
            </w:tblPr>
            <w:tblGrid>
              <w:gridCol w:w="9214"/>
            </w:tblGrid>
            <w:tr>
              <w:tblPrEx>
                <w:tblLayout w:type="fixed"/>
                <w:tblCellMar>
                  <w:top w:w="0" w:type="dxa"/>
                  <w:left w:w="108" w:type="dxa"/>
                  <w:bottom w:w="0" w:type="dxa"/>
                  <w:right w:w="108" w:type="dxa"/>
                </w:tblCellMar>
              </w:tblPrEx>
              <w:trPr>
                <w:trHeight w:val="450" w:hRule="atLeast"/>
              </w:trPr>
              <w:tc>
                <w:tcPr>
                  <w:tcW w:w="9214" w:type="dxa"/>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一般公共预算支出情况表</w:t>
                  </w:r>
                </w:p>
              </w:tc>
            </w:tr>
          </w:tbl>
          <w:p>
            <w:pPr>
              <w:widowControl/>
              <w:jc w:val="center"/>
              <w:rPr>
                <w:rFonts w:hint="eastAsia" w:ascii="方正小标宋_GBK" w:hAnsi="方正小标宋_GBK" w:eastAsia="方正小标宋_GBK" w:cs="方正小标宋_GBK"/>
                <w:color w:val="000000"/>
                <w:kern w:val="0"/>
                <w:sz w:val="32"/>
                <w:szCs w:val="32"/>
              </w:rPr>
            </w:pPr>
          </w:p>
        </w:tc>
      </w:tr>
      <w:tr>
        <w:tblPrEx>
          <w:tblLayout w:type="fixed"/>
          <w:tblCellMar>
            <w:top w:w="0" w:type="dxa"/>
            <w:left w:w="108" w:type="dxa"/>
            <w:bottom w:w="0" w:type="dxa"/>
            <w:right w:w="108" w:type="dxa"/>
          </w:tblCellMar>
        </w:tblPrEx>
        <w:trPr>
          <w:gridBefore w:val="1"/>
          <w:gridAfter w:val="1"/>
          <w:wBefore w:w="206" w:type="dxa"/>
          <w:wAfter w:w="29" w:type="dxa"/>
          <w:trHeight w:val="285" w:hRule="atLeast"/>
        </w:trPr>
        <w:tc>
          <w:tcPr>
            <w:tcW w:w="9214" w:type="dxa"/>
            <w:gridSpan w:val="13"/>
            <w:tcBorders>
              <w:top w:val="nil"/>
              <w:left w:val="nil"/>
              <w:bottom w:val="nil"/>
              <w:right w:val="nil"/>
            </w:tcBorders>
            <w:noWrap w:val="0"/>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 xml:space="preserve">中共呼图壁县委员会政法委员会                         </w:t>
            </w:r>
            <w:r>
              <w:rPr>
                <w:rFonts w:hint="eastAsia" w:ascii="仿宋_GB2312" w:hAnsi="宋体" w:eastAsia="仿宋_GB2312" w:cs="宋体"/>
                <w:color w:val="000000"/>
                <w:kern w:val="0"/>
                <w:sz w:val="24"/>
              </w:rPr>
              <w:t>单位：万元</w:t>
            </w:r>
          </w:p>
        </w:tc>
      </w:tr>
      <w:tr>
        <w:tblPrEx>
          <w:tblLayout w:type="fixed"/>
          <w:tblCellMar>
            <w:top w:w="0" w:type="dxa"/>
            <w:left w:w="108" w:type="dxa"/>
            <w:bottom w:w="0" w:type="dxa"/>
            <w:right w:w="108" w:type="dxa"/>
          </w:tblCellMar>
        </w:tblPrEx>
        <w:trPr>
          <w:gridBefore w:val="1"/>
          <w:gridAfter w:val="1"/>
          <w:wBefore w:w="206" w:type="dxa"/>
          <w:wAfter w:w="29" w:type="dxa"/>
          <w:trHeight w:val="405" w:hRule="atLeast"/>
        </w:trPr>
        <w:tc>
          <w:tcPr>
            <w:tcW w:w="3987"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5227" w:type="dxa"/>
            <w:gridSpan w:val="7"/>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tblPrEx>
          <w:tblLayout w:type="fixed"/>
          <w:tblCellMar>
            <w:top w:w="0" w:type="dxa"/>
            <w:left w:w="108" w:type="dxa"/>
            <w:bottom w:w="0" w:type="dxa"/>
            <w:right w:w="108" w:type="dxa"/>
          </w:tblCellMar>
        </w:tblPrEx>
        <w:trPr>
          <w:gridBefore w:val="1"/>
          <w:gridAfter w:val="1"/>
          <w:wBefore w:w="206" w:type="dxa"/>
          <w:wAfter w:w="29" w:type="dxa"/>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gridSpan w:val="3"/>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  计</w:t>
            </w:r>
          </w:p>
        </w:tc>
        <w:tc>
          <w:tcPr>
            <w:tcW w:w="1842" w:type="dxa"/>
            <w:gridSpan w:val="3"/>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gridBefore w:val="1"/>
          <w:gridAfter w:val="1"/>
          <w:wBefore w:w="206" w:type="dxa"/>
          <w:wAfter w:w="29" w:type="dxa"/>
          <w:trHeight w:val="435" w:hRule="atLeast"/>
        </w:trPr>
        <w:tc>
          <w:tcPr>
            <w:tcW w:w="55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2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gridSpan w:val="3"/>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842" w:type="dxa"/>
            <w:gridSpan w:val="3"/>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201　</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color w:val="000000"/>
                <w:kern w:val="0"/>
                <w:sz w:val="20"/>
                <w:szCs w:val="20"/>
              </w:rPr>
            </w:pPr>
            <w:r>
              <w:rPr>
                <w:rFonts w:hint="eastAsia" w:ascii="宋体" w:hAnsi="宋体" w:eastAsia="宋体" w:cs="宋体"/>
                <w:i w:val="0"/>
                <w:color w:val="000000"/>
                <w:kern w:val="0"/>
                <w:sz w:val="22"/>
                <w:szCs w:val="22"/>
                <w:u w:val="none"/>
                <w:lang w:val="en-US" w:eastAsia="zh-CN" w:bidi="ar"/>
              </w:rPr>
              <w:t>一般公共服务支出</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cs="宋体"/>
                <w:i w:val="0"/>
                <w:color w:val="000000"/>
                <w:kern w:val="0"/>
                <w:sz w:val="22"/>
                <w:szCs w:val="22"/>
                <w:u w:val="none"/>
                <w:lang w:val="en-US" w:eastAsia="zh-CN" w:bidi="ar"/>
              </w:rPr>
              <w:t>1593</w:t>
            </w:r>
            <w:r>
              <w:rPr>
                <w:rFonts w:hint="eastAsia" w:ascii="宋体" w:hAnsi="宋体" w:eastAsia="宋体" w:cs="宋体"/>
                <w:i w:val="0"/>
                <w:color w:val="000000"/>
                <w:kern w:val="0"/>
                <w:sz w:val="22"/>
                <w:szCs w:val="22"/>
                <w:u w:val="none"/>
                <w:lang w:val="en-US" w:eastAsia="zh-CN" w:bidi="ar"/>
              </w:rPr>
              <w:t>.54</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cs="宋体"/>
                <w:i w:val="0"/>
                <w:color w:val="000000"/>
                <w:kern w:val="0"/>
                <w:sz w:val="22"/>
                <w:szCs w:val="22"/>
                <w:u w:val="none"/>
                <w:lang w:val="en-US" w:eastAsia="zh-CN" w:bidi="ar"/>
              </w:rPr>
              <w:t>511</w:t>
            </w:r>
            <w:r>
              <w:rPr>
                <w:rFonts w:hint="eastAsia" w:ascii="宋体" w:hAnsi="宋体" w:eastAsia="宋体" w:cs="宋体"/>
                <w:i w:val="0"/>
                <w:color w:val="000000"/>
                <w:kern w:val="0"/>
                <w:sz w:val="22"/>
                <w:szCs w:val="22"/>
                <w:u w:val="none"/>
                <w:lang w:val="en-US" w:eastAsia="zh-CN" w:bidi="ar"/>
              </w:rPr>
              <w:t>.54</w:t>
            </w:r>
          </w:p>
        </w:tc>
        <w:tc>
          <w:tcPr>
            <w:tcW w:w="1701" w:type="dxa"/>
            <w:gridSpan w:val="2"/>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1082</w:t>
            </w: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201　</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31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党委办公厅（室）及相关机构事务</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cs="宋体"/>
                <w:i w:val="0"/>
                <w:color w:val="000000"/>
                <w:kern w:val="0"/>
                <w:sz w:val="22"/>
                <w:szCs w:val="22"/>
                <w:u w:val="none"/>
                <w:lang w:val="en-US" w:eastAsia="zh-CN" w:bidi="ar"/>
              </w:rPr>
              <w:t>1593</w:t>
            </w:r>
            <w:r>
              <w:rPr>
                <w:rFonts w:hint="eastAsia" w:ascii="宋体" w:hAnsi="宋体" w:eastAsia="宋体" w:cs="宋体"/>
                <w:i w:val="0"/>
                <w:color w:val="000000"/>
                <w:kern w:val="0"/>
                <w:sz w:val="22"/>
                <w:szCs w:val="22"/>
                <w:u w:val="none"/>
                <w:lang w:val="en-US" w:eastAsia="zh-CN" w:bidi="ar"/>
              </w:rPr>
              <w:t>.54</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cs="宋体"/>
                <w:i w:val="0"/>
                <w:color w:val="000000"/>
                <w:kern w:val="0"/>
                <w:sz w:val="22"/>
                <w:szCs w:val="22"/>
                <w:u w:val="none"/>
                <w:lang w:val="en-US" w:eastAsia="zh-CN" w:bidi="ar"/>
              </w:rPr>
              <w:t>511</w:t>
            </w:r>
            <w:r>
              <w:rPr>
                <w:rFonts w:hint="eastAsia" w:ascii="宋体" w:hAnsi="宋体" w:eastAsia="宋体" w:cs="宋体"/>
                <w:i w:val="0"/>
                <w:color w:val="000000"/>
                <w:kern w:val="0"/>
                <w:sz w:val="22"/>
                <w:szCs w:val="22"/>
                <w:u w:val="none"/>
                <w:lang w:val="en-US" w:eastAsia="zh-CN" w:bidi="ar"/>
              </w:rPr>
              <w:t>.54</w:t>
            </w:r>
          </w:p>
        </w:tc>
        <w:tc>
          <w:tcPr>
            <w:tcW w:w="1701" w:type="dxa"/>
            <w:gridSpan w:val="2"/>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1082</w:t>
            </w: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201　</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31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行政运行</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511.54</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511.54</w:t>
            </w:r>
          </w:p>
        </w:tc>
        <w:tc>
          <w:tcPr>
            <w:tcW w:w="1701" w:type="dxa"/>
            <w:gridSpan w:val="2"/>
            <w:tcBorders>
              <w:top w:val="nil"/>
              <w:left w:val="nil"/>
              <w:bottom w:val="single" w:color="auto" w:sz="4" w:space="0"/>
              <w:right w:val="single" w:color="auto" w:sz="4" w:space="0"/>
            </w:tcBorders>
            <w:noWrap w:val="0"/>
            <w:vAlign w:val="center"/>
          </w:tcPr>
          <w:p>
            <w:pPr>
              <w:jc w:val="right"/>
              <w:rPr>
                <w:rFonts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201</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31</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02</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一般行政管理事务</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1082</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p>
        </w:tc>
        <w:tc>
          <w:tcPr>
            <w:tcW w:w="1701" w:type="dxa"/>
            <w:gridSpan w:val="2"/>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1082</w:t>
            </w: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社会保障和就业支出</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44.93</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44.93</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208</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行政事业单位养老支出</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44.93</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44.93</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208</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05</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行政单位离退休</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5.58</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5.58</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208</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39.35</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39.35</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208</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05</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06</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1684" w:type="dxa"/>
            <w:gridSpan w:val="2"/>
            <w:tcBorders>
              <w:top w:val="nil"/>
              <w:left w:val="nil"/>
              <w:bottom w:val="single" w:color="auto" w:sz="4" w:space="0"/>
              <w:right w:val="single" w:color="auto" w:sz="4" w:space="0"/>
            </w:tcBorders>
            <w:noWrap w:val="0"/>
            <w:vAlign w:val="top"/>
          </w:tcPr>
          <w:p>
            <w:pPr>
              <w:jc w:val="right"/>
              <w:rPr>
                <w:rFonts w:hint="eastAsia" w:ascii="仿宋_GB2312" w:eastAsia="仿宋_GB2312"/>
                <w:color w:val="000000"/>
                <w:sz w:val="20"/>
                <w:szCs w:val="20"/>
              </w:rPr>
            </w:pPr>
          </w:p>
        </w:tc>
        <w:tc>
          <w:tcPr>
            <w:tcW w:w="1842" w:type="dxa"/>
            <w:gridSpan w:val="3"/>
            <w:tcBorders>
              <w:top w:val="nil"/>
              <w:left w:val="nil"/>
              <w:bottom w:val="single" w:color="auto" w:sz="4" w:space="0"/>
              <w:right w:val="single" w:color="auto" w:sz="4" w:space="0"/>
            </w:tcBorders>
            <w:noWrap w:val="0"/>
            <w:vAlign w:val="top"/>
          </w:tcPr>
          <w:p>
            <w:pPr>
              <w:jc w:val="right"/>
              <w:rPr>
                <w:rFonts w:hint="eastAsia" w:ascii="仿宋_GB2312" w:eastAsia="仿宋_GB2312"/>
                <w:color w:val="000000"/>
                <w:sz w:val="20"/>
                <w:szCs w:val="20"/>
              </w:rPr>
            </w:pP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卫生健康支出</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25.23</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25.23</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行政事业单位医疗</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25.23</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25.23</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42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行政单位医疗</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7.54</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7.54</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lang w:val="en-US" w:eastAsia="zh-CN"/>
              </w:rPr>
              <w:t>210</w:t>
            </w:r>
          </w:p>
        </w:tc>
        <w:tc>
          <w:tcPr>
            <w:tcW w:w="42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lang w:val="en-US" w:eastAsia="zh-CN"/>
              </w:rPr>
              <w:t>11</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lang w:val="en-US" w:eastAsia="zh-CN"/>
              </w:rPr>
              <w:t>02</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事业单位医疗</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12.13</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12.13</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lang w:val="en-US" w:eastAsia="zh-CN"/>
              </w:rPr>
              <w:t>210</w:t>
            </w:r>
          </w:p>
        </w:tc>
        <w:tc>
          <w:tcPr>
            <w:tcW w:w="42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lang w:val="en-US" w:eastAsia="zh-CN"/>
              </w:rPr>
              <w:t>11</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lang w:val="en-US" w:eastAsia="zh-CN"/>
              </w:rPr>
              <w:t>03</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公务员医疗补助</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5.41</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5.41</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r>
              <w:rPr>
                <w:rFonts w:hint="eastAsia" w:ascii="仿宋_GB2312" w:eastAsia="仿宋_GB2312"/>
                <w:color w:val="000000"/>
                <w:sz w:val="20"/>
                <w:szCs w:val="20"/>
              </w:rPr>
              <w:t>　</w:t>
            </w: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lang w:val="en-US" w:eastAsia="zh-CN"/>
              </w:rPr>
              <w:t>210</w:t>
            </w:r>
          </w:p>
        </w:tc>
        <w:tc>
          <w:tcPr>
            <w:tcW w:w="42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lang w:val="en-US" w:eastAsia="zh-CN"/>
              </w:rPr>
              <w:t>11</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lang w:val="en-US" w:eastAsia="zh-CN"/>
              </w:rPr>
              <w:t>99</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其他行政事业单位医疗支出</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0.15</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0.15</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r>
              <w:rPr>
                <w:rFonts w:hint="eastAsia" w:ascii="仿宋_GB2312" w:eastAsia="仿宋_GB2312"/>
                <w:color w:val="000000"/>
                <w:sz w:val="20"/>
                <w:szCs w:val="20"/>
              </w:rPr>
              <w:t>　</w:t>
            </w: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rPr>
              <w:t>221　</w:t>
            </w:r>
          </w:p>
        </w:tc>
        <w:tc>
          <w:tcPr>
            <w:tcW w:w="42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rPr>
              <w:t>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住房保障支出</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32.79</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32.79</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r>
              <w:rPr>
                <w:rFonts w:hint="eastAsia" w:ascii="仿宋_GB2312" w:eastAsia="仿宋_GB2312"/>
                <w:color w:val="000000"/>
                <w:sz w:val="20"/>
                <w:szCs w:val="20"/>
              </w:rPr>
              <w:t>　</w:t>
            </w: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rPr>
              <w:t>221</w:t>
            </w:r>
          </w:p>
        </w:tc>
        <w:tc>
          <w:tcPr>
            <w:tcW w:w="42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rPr>
              <w:t>02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rPr>
              <w:t>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住房改革支出</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32.79</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32.79</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r>
              <w:rPr>
                <w:rFonts w:hint="eastAsia" w:ascii="仿宋_GB2312" w:eastAsia="仿宋_GB2312"/>
                <w:color w:val="000000"/>
                <w:sz w:val="20"/>
                <w:szCs w:val="20"/>
              </w:rPr>
              <w:t>　</w:t>
            </w: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rPr>
              <w:t>221</w:t>
            </w:r>
          </w:p>
        </w:tc>
        <w:tc>
          <w:tcPr>
            <w:tcW w:w="42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rPr>
              <w:t>02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000000"/>
                <w:kern w:val="0"/>
                <w:sz w:val="20"/>
                <w:szCs w:val="20"/>
              </w:rPr>
            </w:pPr>
            <w:r>
              <w:rPr>
                <w:rFonts w:hint="eastAsia" w:ascii="仿宋_GB2312" w:eastAsia="仿宋_GB2312"/>
                <w:color w:val="000000"/>
                <w:sz w:val="20"/>
                <w:szCs w:val="20"/>
              </w:rPr>
              <w:t>01　</w:t>
            </w:r>
          </w:p>
        </w:tc>
        <w:tc>
          <w:tcPr>
            <w:tcW w:w="2510"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color w:val="000000"/>
                <w:kern w:val="0"/>
                <w:sz w:val="22"/>
                <w:szCs w:val="22"/>
                <w:u w:val="none"/>
                <w:lang w:val="en-US" w:eastAsia="zh-CN" w:bidi="ar"/>
              </w:rPr>
              <w:t>住房公积金</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32.79</w:t>
            </w:r>
          </w:p>
        </w:tc>
        <w:tc>
          <w:tcPr>
            <w:tcW w:w="1842" w:type="dxa"/>
            <w:gridSpan w:val="3"/>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32.79</w:t>
            </w:r>
          </w:p>
        </w:tc>
        <w:tc>
          <w:tcPr>
            <w:tcW w:w="1701" w:type="dxa"/>
            <w:gridSpan w:val="2"/>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20"/>
                <w:szCs w:val="20"/>
              </w:rPr>
            </w:pPr>
          </w:p>
        </w:tc>
      </w:tr>
      <w:tr>
        <w:tblPrEx>
          <w:tblLayout w:type="fixed"/>
          <w:tblCellMar>
            <w:top w:w="0" w:type="dxa"/>
            <w:left w:w="108" w:type="dxa"/>
            <w:bottom w:w="0" w:type="dxa"/>
            <w:right w:w="108" w:type="dxa"/>
          </w:tblCellMar>
        </w:tblPrEx>
        <w:trPr>
          <w:gridBefore w:val="1"/>
          <w:gridAfter w:val="1"/>
          <w:wBefore w:w="206" w:type="dxa"/>
          <w:wAfter w:w="29" w:type="dxa"/>
          <w:trHeight w:val="450" w:hRule="atLeast"/>
        </w:trPr>
        <w:tc>
          <w:tcPr>
            <w:tcW w:w="55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p>
        </w:tc>
        <w:tc>
          <w:tcPr>
            <w:tcW w:w="42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p>
        </w:tc>
        <w:tc>
          <w:tcPr>
            <w:tcW w:w="50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p>
        </w:tc>
        <w:tc>
          <w:tcPr>
            <w:tcW w:w="2510"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r>
              <w:rPr>
                <w:rFonts w:hint="eastAsia" w:ascii="仿宋_GB2312" w:hAnsi="仿宋_GB2312" w:eastAsia="仿宋_GB2312" w:cs="仿宋_GB2312"/>
                <w:b/>
                <w:bCs/>
                <w:color w:val="000000"/>
                <w:kern w:val="0"/>
                <w:sz w:val="20"/>
                <w:szCs w:val="20"/>
              </w:rPr>
              <w:t>合  计</w:t>
            </w:r>
          </w:p>
        </w:tc>
        <w:tc>
          <w:tcPr>
            <w:tcW w:w="1684" w:type="dxa"/>
            <w:gridSpan w:val="2"/>
            <w:tcBorders>
              <w:top w:val="nil"/>
              <w:left w:val="nil"/>
              <w:bottom w:val="single" w:color="auto" w:sz="4" w:space="0"/>
              <w:right w:val="single" w:color="auto" w:sz="4" w:space="0"/>
            </w:tcBorders>
            <w:noWrap w:val="0"/>
            <w:vAlign w:val="center"/>
          </w:tcPr>
          <w:p>
            <w:pPr>
              <w:jc w:val="right"/>
              <w:rPr>
                <w:rFonts w:hint="default" w:ascii="仿宋_GB2312" w:eastAsia="仿宋_GB2312"/>
                <w:b/>
                <w:bCs/>
                <w:color w:val="000000"/>
                <w:sz w:val="20"/>
                <w:szCs w:val="20"/>
                <w:lang w:val="en-US" w:eastAsia="zh-CN"/>
              </w:rPr>
            </w:pPr>
            <w:r>
              <w:rPr>
                <w:rFonts w:hint="eastAsia" w:ascii="仿宋_GB2312" w:eastAsia="仿宋_GB2312"/>
                <w:b/>
                <w:bCs/>
                <w:color w:val="000000"/>
                <w:sz w:val="20"/>
                <w:szCs w:val="20"/>
                <w:lang w:val="en-US" w:eastAsia="zh-CN"/>
              </w:rPr>
              <w:t>1696.49</w:t>
            </w:r>
          </w:p>
        </w:tc>
        <w:tc>
          <w:tcPr>
            <w:tcW w:w="1842" w:type="dxa"/>
            <w:gridSpan w:val="3"/>
            <w:tcBorders>
              <w:top w:val="nil"/>
              <w:left w:val="nil"/>
              <w:bottom w:val="single" w:color="auto" w:sz="4" w:space="0"/>
              <w:right w:val="single" w:color="auto" w:sz="4" w:space="0"/>
            </w:tcBorders>
            <w:noWrap w:val="0"/>
            <w:vAlign w:val="center"/>
          </w:tcPr>
          <w:p>
            <w:pPr>
              <w:jc w:val="right"/>
              <w:rPr>
                <w:rFonts w:hint="default" w:ascii="仿宋_GB2312" w:eastAsia="仿宋_GB2312"/>
                <w:b/>
                <w:bCs/>
                <w:color w:val="000000"/>
                <w:sz w:val="20"/>
                <w:szCs w:val="20"/>
                <w:lang w:val="en-US" w:eastAsia="zh-CN"/>
              </w:rPr>
            </w:pPr>
            <w:r>
              <w:rPr>
                <w:rFonts w:hint="eastAsia" w:ascii="仿宋_GB2312" w:eastAsia="仿宋_GB2312"/>
                <w:b/>
                <w:bCs/>
                <w:color w:val="000000"/>
                <w:sz w:val="20"/>
                <w:szCs w:val="20"/>
                <w:lang w:val="en-US" w:eastAsia="zh-CN"/>
              </w:rPr>
              <w:t>614.49</w:t>
            </w:r>
          </w:p>
        </w:tc>
        <w:tc>
          <w:tcPr>
            <w:tcW w:w="1701" w:type="dxa"/>
            <w:gridSpan w:val="2"/>
            <w:tcBorders>
              <w:top w:val="nil"/>
              <w:left w:val="nil"/>
              <w:bottom w:val="single" w:color="auto" w:sz="4" w:space="0"/>
              <w:right w:val="single" w:color="auto" w:sz="4" w:space="0"/>
            </w:tcBorders>
            <w:noWrap w:val="0"/>
            <w:vAlign w:val="center"/>
          </w:tcPr>
          <w:p>
            <w:pPr>
              <w:jc w:val="right"/>
              <w:rPr>
                <w:rFonts w:hint="default" w:ascii="仿宋_GB2312" w:eastAsia="仿宋_GB2312"/>
                <w:b/>
                <w:bCs/>
                <w:color w:val="000000"/>
                <w:sz w:val="20"/>
                <w:szCs w:val="20"/>
                <w:lang w:val="en-US" w:eastAsia="zh-CN"/>
              </w:rPr>
            </w:pPr>
            <w:r>
              <w:rPr>
                <w:rFonts w:hint="eastAsia" w:ascii="仿宋_GB2312" w:eastAsia="仿宋_GB2312"/>
                <w:b/>
                <w:bCs/>
                <w:color w:val="000000"/>
                <w:sz w:val="20"/>
                <w:szCs w:val="20"/>
                <w:lang w:val="en-US" w:eastAsia="zh-CN"/>
              </w:rPr>
              <w:t>1082</w:t>
            </w:r>
          </w:p>
        </w:tc>
      </w:tr>
    </w:tbl>
    <w:p>
      <w:pPr>
        <w:widowControl/>
        <w:jc w:val="left"/>
        <w:textAlignment w:val="bottom"/>
        <w:rPr>
          <w:rFonts w:hint="eastAsia" w:ascii="宋体" w:hAnsi="宋体" w:cs="宋体"/>
          <w:color w:val="000000"/>
          <w:kern w:val="0"/>
          <w:sz w:val="20"/>
          <w:szCs w:val="20"/>
          <w:lang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中共呼图壁县委员会政法委员会</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0"/>
                <w:sz w:val="20"/>
                <w:szCs w:val="20"/>
                <w:highlight w:val="none"/>
                <w:lang w:val="en-US" w:eastAsia="zh-CN"/>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0"/>
                <w:sz w:val="20"/>
                <w:szCs w:val="20"/>
                <w:highlight w:val="none"/>
              </w:rPr>
            </w:pPr>
            <w:r>
              <w:rPr>
                <w:rFonts w:hint="eastAsia" w:ascii="仿宋_GB2312" w:eastAsia="仿宋_GB2312"/>
                <w:color w:val="000000"/>
                <w:sz w:val="20"/>
                <w:szCs w:val="20"/>
              </w:rPr>
              <w:t>工资福利支出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473.52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473.52</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0"/>
                <w:sz w:val="20"/>
                <w:szCs w:val="20"/>
                <w:highlight w:val="none"/>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0"/>
                <w:sz w:val="20"/>
                <w:szCs w:val="20"/>
                <w:highlight w:val="none"/>
                <w:lang w:val="en-US" w:eastAsia="zh-CN"/>
              </w:rPr>
            </w:pPr>
            <w:r>
              <w:rPr>
                <w:rFonts w:hint="eastAsia" w:ascii="仿宋_GB2312" w:eastAsia="仿宋_GB2312"/>
                <w:color w:val="000000"/>
                <w:sz w:val="20"/>
                <w:szCs w:val="20"/>
              </w:rPr>
              <w:t>01</w:t>
            </w:r>
          </w:p>
        </w:tc>
        <w:tc>
          <w:tcPr>
            <w:tcW w:w="28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0"/>
                <w:sz w:val="20"/>
                <w:szCs w:val="20"/>
                <w:highlight w:val="none"/>
              </w:rPr>
            </w:pPr>
            <w:r>
              <w:rPr>
                <w:rFonts w:hint="eastAsia" w:ascii="仿宋_GB2312" w:eastAsia="仿宋_GB2312"/>
                <w:color w:val="000000"/>
                <w:sz w:val="20"/>
                <w:szCs w:val="20"/>
              </w:rPr>
              <w:t>基本工资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95.44</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95.44</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02</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津贴补贴</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68.42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68.42</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03</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奖金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79.93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79.93</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07</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绩效工资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40.96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40.96</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08</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39.35</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39.35</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10</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城镇职工基本医疗保险缴费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19.67</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19.67</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11</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公务员医疗补助缴费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5.41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5.41</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12</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其他社会保障缴费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1.89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1.89</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13</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住房公积金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32.79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32.79</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99</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其他工资福利支出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89.66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89.66</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商品和服务支出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135.38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110.12</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25.26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2.44</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2.44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eastAsia="仿宋_GB2312"/>
                <w:color w:val="000000"/>
                <w:sz w:val="20"/>
                <w:szCs w:val="20"/>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印刷费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0.25</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0.25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eastAsia="仿宋_GB2312"/>
                <w:color w:val="000000"/>
                <w:sz w:val="20"/>
                <w:szCs w:val="20"/>
                <w:lang w:val="en-US" w:eastAsia="zh-CN"/>
              </w:rPr>
              <w:t>05</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0.05</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0.05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eastAsia="仿宋_GB2312"/>
                <w:color w:val="000000"/>
                <w:sz w:val="20"/>
                <w:szCs w:val="20"/>
                <w:lang w:val="en-US" w:eastAsia="zh-CN"/>
              </w:rPr>
              <w:t>06</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电费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0.15</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0.15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eastAsia="仿宋_GB2312"/>
                <w:color w:val="000000"/>
                <w:sz w:val="20"/>
                <w:szCs w:val="20"/>
                <w:lang w:val="en-US" w:eastAsia="zh-CN"/>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邮电费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0.85</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0.85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eastAsia="仿宋_GB2312"/>
                <w:color w:val="000000"/>
                <w:sz w:val="20"/>
                <w:szCs w:val="20"/>
                <w:lang w:val="en-US" w:eastAsia="zh-CN"/>
              </w:rPr>
              <w:t>08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取暖费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12.23</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12.23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差旅费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0.70</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0.70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公务接待费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0.40</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0.40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劳务费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110.12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110.12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20"/>
                <w:szCs w:val="20"/>
              </w:rPr>
            </w:pPr>
            <w:r>
              <w:rPr>
                <w:rFonts w:hint="eastAsia" w:ascii="仿宋_GB2312" w:eastAsia="仿宋_GB2312"/>
                <w:color w:val="000000"/>
                <w:sz w:val="20"/>
                <w:szCs w:val="20"/>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28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工会经费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4.99</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4.99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31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公务用车运行维护费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3.20</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20"/>
                <w:szCs w:val="20"/>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对个人和家庭的补助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5.58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5.58</w:t>
            </w:r>
          </w:p>
        </w:tc>
        <w:tc>
          <w:tcPr>
            <w:tcW w:w="1701" w:type="dxa"/>
            <w:tcBorders>
              <w:top w:val="nil"/>
              <w:left w:val="nil"/>
              <w:bottom w:val="single" w:color="auto" w:sz="4" w:space="0"/>
              <w:right w:val="single" w:color="auto" w:sz="4" w:space="0"/>
            </w:tcBorders>
            <w:noWrap w:val="0"/>
            <w:vAlign w:val="top"/>
          </w:tcPr>
          <w:p>
            <w:pPr>
              <w:jc w:val="right"/>
              <w:rPr>
                <w:rFonts w:hint="eastAsia" w:ascii="宋体" w:hAnsi="宋体" w:eastAsia="宋体" w:cs="宋体"/>
                <w:i w:val="0"/>
                <w:color w:val="000000"/>
                <w:kern w:val="0"/>
                <w:sz w:val="22"/>
                <w:szCs w:val="22"/>
                <w:u w:val="none"/>
                <w:lang w:val="en-US" w:eastAsia="zh-CN" w:bidi="ar"/>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000000"/>
                <w:sz w:val="20"/>
                <w:szCs w:val="20"/>
              </w:rPr>
            </w:pPr>
            <w:r>
              <w:rPr>
                <w:rFonts w:hint="eastAsia" w:ascii="宋体" w:hAnsi="宋体" w:eastAsia="宋体" w:cs="宋体"/>
                <w:i w:val="0"/>
                <w:color w:val="000000"/>
                <w:kern w:val="0"/>
                <w:sz w:val="22"/>
                <w:szCs w:val="22"/>
                <w:u w:val="none"/>
                <w:lang w:val="en-US" w:eastAsia="zh-CN" w:bidi="ar"/>
              </w:rPr>
              <w:t>退休费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4.98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4.98</w:t>
            </w:r>
          </w:p>
        </w:tc>
        <w:tc>
          <w:tcPr>
            <w:tcW w:w="1701" w:type="dxa"/>
            <w:tcBorders>
              <w:top w:val="nil"/>
              <w:left w:val="nil"/>
              <w:bottom w:val="single" w:color="auto" w:sz="4" w:space="0"/>
              <w:right w:val="single" w:color="auto" w:sz="4" w:space="0"/>
            </w:tcBorders>
            <w:noWrap w:val="0"/>
            <w:vAlign w:val="top"/>
          </w:tcPr>
          <w:p>
            <w:pPr>
              <w:jc w:val="right"/>
              <w:rPr>
                <w:rFonts w:hint="eastAsia" w:ascii="宋体" w:hAnsi="宋体" w:eastAsia="宋体" w:cs="宋体"/>
                <w:i w:val="0"/>
                <w:color w:val="000000"/>
                <w:kern w:val="0"/>
                <w:sz w:val="22"/>
                <w:szCs w:val="22"/>
                <w:u w:val="none"/>
                <w:lang w:val="en-US" w:eastAsia="zh-CN" w:bidi="ar"/>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303</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09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奖励金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0.60</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0.60</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303</w:t>
            </w:r>
          </w:p>
        </w:tc>
        <w:tc>
          <w:tcPr>
            <w:tcW w:w="57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000000"/>
                <w:sz w:val="20"/>
                <w:szCs w:val="20"/>
              </w:rPr>
              <w:t>99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其他对个人和家庭的补助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0.01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0.01</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614.49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宋体" w:hAnsi="宋体" w:cs="宋体"/>
                <w:i w:val="0"/>
                <w:color w:val="000000"/>
                <w:kern w:val="0"/>
                <w:sz w:val="22"/>
                <w:szCs w:val="22"/>
                <w:u w:val="none"/>
                <w:lang w:val="en-US" w:eastAsia="zh-CN" w:bidi="ar"/>
              </w:rPr>
              <w:t>479.11</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135.38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tbl>
      <w:tblPr>
        <w:tblStyle w:val="5"/>
        <w:tblW w:w="9540" w:type="dxa"/>
        <w:tblInd w:w="-360" w:type="dxa"/>
        <w:tblLayout w:type="fixed"/>
        <w:tblCellMar>
          <w:top w:w="0" w:type="dxa"/>
          <w:left w:w="108" w:type="dxa"/>
          <w:bottom w:w="0" w:type="dxa"/>
          <w:right w:w="108" w:type="dxa"/>
        </w:tblCellMar>
      </w:tblPr>
      <w:tblGrid>
        <w:gridCol w:w="13"/>
        <w:gridCol w:w="509"/>
        <w:gridCol w:w="418"/>
        <w:gridCol w:w="482"/>
        <w:gridCol w:w="846"/>
        <w:gridCol w:w="1366"/>
        <w:gridCol w:w="752"/>
        <w:gridCol w:w="385"/>
        <w:gridCol w:w="824"/>
        <w:gridCol w:w="464"/>
        <w:gridCol w:w="520"/>
        <w:gridCol w:w="618"/>
        <w:gridCol w:w="419"/>
        <w:gridCol w:w="618"/>
        <w:gridCol w:w="420"/>
        <w:gridCol w:w="420"/>
        <w:gridCol w:w="387"/>
        <w:gridCol w:w="79"/>
      </w:tblGrid>
      <w:tr>
        <w:tblPrEx>
          <w:tblLayout w:type="fixed"/>
          <w:tblCellMar>
            <w:top w:w="0" w:type="dxa"/>
            <w:left w:w="108" w:type="dxa"/>
            <w:bottom w:w="0" w:type="dxa"/>
            <w:right w:w="108" w:type="dxa"/>
          </w:tblCellMar>
        </w:tblPrEx>
        <w:trPr>
          <w:gridBefore w:val="1"/>
          <w:gridAfter w:val="1"/>
          <w:wBefore w:w="13" w:type="dxa"/>
          <w:wAfter w:w="79" w:type="dxa"/>
          <w:trHeight w:val="375" w:hRule="atLeast"/>
        </w:trPr>
        <w:tc>
          <w:tcPr>
            <w:tcW w:w="9448"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13" w:type="dxa"/>
          <w:wAfter w:w="79" w:type="dxa"/>
          <w:trHeight w:val="405" w:hRule="atLeast"/>
        </w:trPr>
        <w:tc>
          <w:tcPr>
            <w:tcW w:w="9448" w:type="dxa"/>
            <w:gridSpan w:val="16"/>
            <w:tcBorders>
              <w:top w:val="nil"/>
              <w:left w:val="nil"/>
              <w:bottom w:val="nil"/>
              <w:right w:val="nil"/>
            </w:tcBorders>
            <w:noWrap w:val="0"/>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 xml:space="preserve">中共呼图壁县委员会政法委员会                           </w:t>
            </w: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22" w:type="dxa"/>
            <w:gridSpan w:val="4"/>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846" w:type="dxa"/>
            <w:vMerge w:val="restart"/>
            <w:noWrap w:val="0"/>
            <w:vAlign w:val="center"/>
          </w:tcPr>
          <w:p>
            <w:pPr>
              <w:widowControl/>
              <w:jc w:val="center"/>
              <w:outlineLvl w:val="1"/>
              <w:rPr>
                <w:rFonts w:hint="eastAsia" w:ascii="仿宋_GB2312" w:hAnsi="宋体" w:eastAsia="仿宋_GB2312"/>
                <w:b/>
                <w:color w:val="000000"/>
                <w:kern w:val="0"/>
                <w:sz w:val="20"/>
                <w:szCs w:val="20"/>
              </w:rPr>
            </w:pPr>
            <w:r>
              <w:rPr>
                <w:rFonts w:hint="eastAsia" w:ascii="仿宋_GB2312" w:hAnsi="宋体" w:eastAsia="仿宋_GB2312"/>
                <w:b/>
                <w:color w:val="000000"/>
                <w:kern w:val="0"/>
                <w:sz w:val="20"/>
                <w:szCs w:val="20"/>
              </w:rPr>
              <w:t>科目</w:t>
            </w:r>
          </w:p>
          <w:p>
            <w:pPr>
              <w:widowControl/>
              <w:jc w:val="center"/>
              <w:outlineLvl w:val="1"/>
              <w:rPr>
                <w:rFonts w:hint="eastAsia" w:ascii="仿宋_GB2312" w:hAnsi="宋体" w:eastAsia="仿宋_GB2312"/>
                <w:b/>
                <w:kern w:val="0"/>
                <w:sz w:val="20"/>
                <w:szCs w:val="20"/>
              </w:rPr>
            </w:pPr>
            <w:r>
              <w:rPr>
                <w:rFonts w:hint="eastAsia" w:ascii="仿宋_GB2312" w:hAnsi="宋体" w:eastAsia="仿宋_GB2312"/>
                <w:b/>
                <w:color w:val="000000"/>
                <w:kern w:val="0"/>
                <w:sz w:val="20"/>
                <w:szCs w:val="20"/>
              </w:rPr>
              <w:t>名称</w:t>
            </w:r>
          </w:p>
        </w:tc>
        <w:tc>
          <w:tcPr>
            <w:tcW w:w="1366" w:type="dxa"/>
            <w:vMerge w:val="restart"/>
            <w:noWrap w:val="0"/>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752"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385"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24"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464"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520"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9"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20"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20"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6" w:type="dxa"/>
            <w:gridSpan w:val="2"/>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22" w:type="dxa"/>
            <w:gridSpan w:val="2"/>
            <w:tcBorders>
              <w:bottom w:val="single" w:color="auto" w:sz="4" w:space="0"/>
            </w:tcBorders>
            <w:noWrap w:val="0"/>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18" w:type="dxa"/>
            <w:tcBorders>
              <w:bottom w:val="single" w:color="auto" w:sz="4" w:space="0"/>
            </w:tcBorders>
            <w:noWrap w:val="0"/>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82" w:type="dxa"/>
            <w:tcBorders>
              <w:bottom w:val="single" w:color="auto" w:sz="4" w:space="0"/>
            </w:tcBorders>
            <w:noWrap w:val="0"/>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46" w:type="dxa"/>
            <w:vMerge w:val="continue"/>
            <w:tcBorders>
              <w:bottom w:val="single" w:color="auto" w:sz="4" w:space="0"/>
            </w:tcBorders>
            <w:noWrap w:val="0"/>
            <w:vAlign w:val="center"/>
          </w:tcPr>
          <w:p>
            <w:pPr>
              <w:widowControl/>
              <w:jc w:val="left"/>
              <w:outlineLvl w:val="1"/>
              <w:rPr>
                <w:rFonts w:ascii="仿宋_GB2312" w:hAnsi="宋体" w:eastAsia="仿宋_GB2312"/>
                <w:b/>
                <w:kern w:val="0"/>
                <w:sz w:val="20"/>
                <w:szCs w:val="20"/>
              </w:rPr>
            </w:pPr>
          </w:p>
        </w:tc>
        <w:tc>
          <w:tcPr>
            <w:tcW w:w="1366"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752"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385"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824"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464"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520"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466"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22" w:type="dxa"/>
            <w:gridSpan w:val="2"/>
            <w:noWrap w:val="0"/>
            <w:vAlign w:val="top"/>
          </w:tcPr>
          <w:p>
            <w:pPr>
              <w:widowControl/>
              <w:jc w:val="left"/>
              <w:outlineLvl w:val="1"/>
              <w:rPr>
                <w:rFonts w:hint="eastAsia" w:ascii="仿宋_GB2312" w:hAnsi="宋体" w:eastAsia="仿宋_GB2312"/>
                <w:kern w:val="0"/>
                <w:sz w:val="20"/>
                <w:szCs w:val="20"/>
              </w:rPr>
            </w:pPr>
            <w:r>
              <w:rPr>
                <w:rFonts w:hint="eastAsia" w:ascii="仿宋_GB2312" w:hAnsi="宋体" w:eastAsia="仿宋_GB2312"/>
                <w:kern w:val="0"/>
                <w:sz w:val="20"/>
                <w:szCs w:val="20"/>
              </w:rPr>
              <w:t>201</w:t>
            </w:r>
          </w:p>
        </w:tc>
        <w:tc>
          <w:tcPr>
            <w:tcW w:w="418" w:type="dxa"/>
            <w:noWrap w:val="0"/>
            <w:vAlign w:val="top"/>
          </w:tcPr>
          <w:p>
            <w:pPr>
              <w:widowControl/>
              <w:jc w:val="left"/>
              <w:outlineLvl w:val="1"/>
              <w:rPr>
                <w:rFonts w:ascii="仿宋_GB2312" w:hAnsi="宋体" w:eastAsia="仿宋_GB2312"/>
                <w:kern w:val="0"/>
                <w:sz w:val="20"/>
                <w:szCs w:val="20"/>
              </w:rPr>
            </w:pPr>
          </w:p>
        </w:tc>
        <w:tc>
          <w:tcPr>
            <w:tcW w:w="482" w:type="dxa"/>
            <w:noWrap w:val="0"/>
            <w:vAlign w:val="top"/>
          </w:tcPr>
          <w:p>
            <w:pPr>
              <w:widowControl/>
              <w:jc w:val="left"/>
              <w:outlineLvl w:val="1"/>
              <w:rPr>
                <w:rFonts w:ascii="仿宋_GB2312" w:hAnsi="宋体" w:eastAsia="仿宋_GB2312"/>
                <w:kern w:val="0"/>
                <w:sz w:val="20"/>
                <w:szCs w:val="20"/>
              </w:rPr>
            </w:pPr>
          </w:p>
        </w:tc>
        <w:tc>
          <w:tcPr>
            <w:tcW w:w="846" w:type="dxa"/>
            <w:noWrap w:val="0"/>
            <w:vAlign w:val="center"/>
          </w:tcPr>
          <w:p>
            <w:pPr>
              <w:tabs>
                <w:tab w:val="left" w:pos="501"/>
              </w:tabs>
              <w:jc w:val="left"/>
              <w:rPr>
                <w:rFonts w:hint="eastAsia" w:ascii="仿宋_GB2312" w:hAnsi="宋体" w:eastAsia="仿宋_GB2312" w:cs="宋体"/>
                <w:color w:val="000000"/>
                <w:sz w:val="20"/>
                <w:szCs w:val="20"/>
              </w:rPr>
            </w:pPr>
            <w:r>
              <w:rPr>
                <w:rFonts w:hint="eastAsia" w:ascii="仿宋_GB2312" w:hAnsi="宋体" w:eastAsia="仿宋_GB2312" w:cs="宋体"/>
                <w:color w:val="000000"/>
                <w:sz w:val="20"/>
                <w:szCs w:val="20"/>
              </w:rPr>
              <w:t>一般公共服务支出</w:t>
            </w:r>
          </w:p>
        </w:tc>
        <w:tc>
          <w:tcPr>
            <w:tcW w:w="1366" w:type="dxa"/>
            <w:noWrap w:val="0"/>
            <w:vAlign w:val="top"/>
          </w:tcPr>
          <w:p>
            <w:pPr>
              <w:widowControl/>
              <w:jc w:val="center"/>
              <w:outlineLvl w:val="1"/>
              <w:rPr>
                <w:rFonts w:hint="eastAsia" w:ascii="仿宋_GB2312" w:hAnsi="宋体" w:eastAsia="仿宋_GB2312"/>
                <w:kern w:val="0"/>
                <w:sz w:val="20"/>
                <w:szCs w:val="20"/>
              </w:rPr>
            </w:pPr>
          </w:p>
        </w:tc>
        <w:tc>
          <w:tcPr>
            <w:tcW w:w="752" w:type="dxa"/>
            <w:noWrap w:val="0"/>
            <w:vAlign w:val="top"/>
          </w:tcPr>
          <w:p>
            <w:pPr>
              <w:widowControl/>
              <w:jc w:val="righ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1082</w:t>
            </w:r>
          </w:p>
        </w:tc>
        <w:tc>
          <w:tcPr>
            <w:tcW w:w="385" w:type="dxa"/>
            <w:noWrap w:val="0"/>
            <w:vAlign w:val="top"/>
          </w:tcPr>
          <w:p>
            <w:pPr>
              <w:widowControl/>
              <w:jc w:val="right"/>
              <w:outlineLvl w:val="1"/>
              <w:rPr>
                <w:rFonts w:hint="eastAsia" w:ascii="仿宋_GB2312" w:hAnsi="宋体" w:eastAsia="仿宋_GB2312"/>
                <w:kern w:val="0"/>
                <w:sz w:val="20"/>
                <w:szCs w:val="20"/>
              </w:rPr>
            </w:pPr>
          </w:p>
        </w:tc>
        <w:tc>
          <w:tcPr>
            <w:tcW w:w="824" w:type="dxa"/>
            <w:noWrap w:val="0"/>
            <w:vAlign w:val="top"/>
          </w:tcPr>
          <w:p>
            <w:pPr>
              <w:widowControl/>
              <w:jc w:val="righ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1082</w:t>
            </w:r>
          </w:p>
        </w:tc>
        <w:tc>
          <w:tcPr>
            <w:tcW w:w="464" w:type="dxa"/>
            <w:noWrap w:val="0"/>
            <w:vAlign w:val="top"/>
          </w:tcPr>
          <w:p>
            <w:pPr>
              <w:widowControl/>
              <w:jc w:val="right"/>
              <w:outlineLvl w:val="1"/>
              <w:rPr>
                <w:rFonts w:hint="eastAsia" w:ascii="仿宋_GB2312" w:hAnsi="宋体" w:eastAsia="仿宋_GB2312"/>
                <w:kern w:val="0"/>
                <w:sz w:val="20"/>
                <w:szCs w:val="20"/>
              </w:rPr>
            </w:pPr>
          </w:p>
        </w:tc>
        <w:tc>
          <w:tcPr>
            <w:tcW w:w="520" w:type="dxa"/>
            <w:noWrap w:val="0"/>
            <w:vAlign w:val="top"/>
          </w:tcPr>
          <w:p>
            <w:pPr>
              <w:widowControl/>
              <w:jc w:val="right"/>
              <w:outlineLvl w:val="1"/>
              <w:rPr>
                <w:rFonts w:hint="eastAsia" w:ascii="仿宋_GB2312" w:hAnsi="宋体" w:eastAsia="仿宋_GB2312"/>
                <w:kern w:val="0"/>
                <w:sz w:val="20"/>
                <w:szCs w:val="20"/>
              </w:rPr>
            </w:pPr>
          </w:p>
        </w:tc>
        <w:tc>
          <w:tcPr>
            <w:tcW w:w="618" w:type="dxa"/>
            <w:noWrap w:val="0"/>
            <w:vAlign w:val="top"/>
          </w:tcPr>
          <w:p>
            <w:pPr>
              <w:widowControl/>
              <w:jc w:val="right"/>
              <w:outlineLvl w:val="1"/>
              <w:rPr>
                <w:rFonts w:hint="eastAsia" w:ascii="仿宋_GB2312" w:hAnsi="宋体" w:eastAsia="仿宋_GB2312"/>
                <w:kern w:val="0"/>
                <w:sz w:val="20"/>
                <w:szCs w:val="20"/>
              </w:rPr>
            </w:pPr>
          </w:p>
        </w:tc>
        <w:tc>
          <w:tcPr>
            <w:tcW w:w="419" w:type="dxa"/>
            <w:noWrap w:val="0"/>
            <w:vAlign w:val="top"/>
          </w:tcPr>
          <w:p>
            <w:pPr>
              <w:widowControl/>
              <w:jc w:val="right"/>
              <w:outlineLvl w:val="1"/>
              <w:rPr>
                <w:rFonts w:hint="eastAsia" w:ascii="仿宋_GB2312" w:hAnsi="宋体" w:eastAsia="仿宋_GB2312"/>
                <w:kern w:val="0"/>
                <w:sz w:val="20"/>
                <w:szCs w:val="20"/>
              </w:rPr>
            </w:pPr>
          </w:p>
        </w:tc>
        <w:tc>
          <w:tcPr>
            <w:tcW w:w="618" w:type="dxa"/>
            <w:noWrap w:val="0"/>
            <w:vAlign w:val="top"/>
          </w:tcPr>
          <w:p>
            <w:pPr>
              <w:widowControl/>
              <w:jc w:val="right"/>
              <w:outlineLvl w:val="1"/>
              <w:rPr>
                <w:rFonts w:hint="eastAsia" w:ascii="仿宋_GB2312" w:hAnsi="宋体" w:eastAsia="仿宋_GB2312"/>
                <w:kern w:val="0"/>
                <w:sz w:val="20"/>
                <w:szCs w:val="20"/>
              </w:rPr>
            </w:pPr>
          </w:p>
        </w:tc>
        <w:tc>
          <w:tcPr>
            <w:tcW w:w="420" w:type="dxa"/>
            <w:noWrap w:val="0"/>
            <w:vAlign w:val="top"/>
          </w:tcPr>
          <w:p>
            <w:pPr>
              <w:widowControl/>
              <w:jc w:val="right"/>
              <w:outlineLvl w:val="1"/>
              <w:rPr>
                <w:rFonts w:hint="eastAsia" w:ascii="仿宋_GB2312" w:hAnsi="宋体" w:eastAsia="仿宋_GB2312"/>
                <w:kern w:val="0"/>
                <w:sz w:val="20"/>
                <w:szCs w:val="20"/>
              </w:rPr>
            </w:pPr>
          </w:p>
        </w:tc>
        <w:tc>
          <w:tcPr>
            <w:tcW w:w="420" w:type="dxa"/>
            <w:noWrap w:val="0"/>
            <w:vAlign w:val="top"/>
          </w:tcPr>
          <w:p>
            <w:pPr>
              <w:widowControl/>
              <w:jc w:val="right"/>
              <w:outlineLvl w:val="1"/>
              <w:rPr>
                <w:rFonts w:hint="eastAsia" w:ascii="仿宋_GB2312" w:hAnsi="宋体" w:eastAsia="仿宋_GB2312"/>
                <w:kern w:val="0"/>
                <w:sz w:val="20"/>
                <w:szCs w:val="20"/>
              </w:rPr>
            </w:pPr>
          </w:p>
        </w:tc>
        <w:tc>
          <w:tcPr>
            <w:tcW w:w="466" w:type="dxa"/>
            <w:gridSpan w:val="2"/>
            <w:noWrap w:val="0"/>
            <w:vAlign w:val="top"/>
          </w:tcPr>
          <w:p>
            <w:pPr>
              <w:widowControl/>
              <w:jc w:val="right"/>
              <w:outlineLvl w:val="1"/>
              <w:rPr>
                <w:rFonts w:hint="eastAsia"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22" w:type="dxa"/>
            <w:gridSpan w:val="2"/>
            <w:noWrap w:val="0"/>
            <w:vAlign w:val="top"/>
          </w:tcPr>
          <w:p>
            <w:pPr>
              <w:widowControl/>
              <w:jc w:val="left"/>
              <w:outlineLvl w:val="1"/>
              <w:rPr>
                <w:rFonts w:hint="eastAsia" w:ascii="仿宋_GB2312" w:hAnsi="宋体" w:eastAsia="仿宋_GB2312"/>
                <w:kern w:val="0"/>
                <w:sz w:val="20"/>
                <w:szCs w:val="20"/>
              </w:rPr>
            </w:pPr>
            <w:r>
              <w:rPr>
                <w:rFonts w:hint="eastAsia" w:ascii="仿宋_GB2312" w:hAnsi="宋体" w:eastAsia="仿宋_GB2312"/>
                <w:kern w:val="0"/>
                <w:sz w:val="20"/>
                <w:szCs w:val="20"/>
              </w:rPr>
              <w:t>201</w:t>
            </w:r>
          </w:p>
        </w:tc>
        <w:tc>
          <w:tcPr>
            <w:tcW w:w="418" w:type="dxa"/>
            <w:noWrap w:val="0"/>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31</w:t>
            </w:r>
          </w:p>
        </w:tc>
        <w:tc>
          <w:tcPr>
            <w:tcW w:w="482" w:type="dxa"/>
            <w:noWrap w:val="0"/>
            <w:vAlign w:val="top"/>
          </w:tcPr>
          <w:p>
            <w:pPr>
              <w:widowControl/>
              <w:jc w:val="left"/>
              <w:outlineLvl w:val="1"/>
              <w:rPr>
                <w:rFonts w:ascii="仿宋_GB2312" w:hAnsi="宋体" w:eastAsia="仿宋_GB2312"/>
                <w:kern w:val="0"/>
                <w:sz w:val="20"/>
                <w:szCs w:val="20"/>
              </w:rPr>
            </w:pPr>
          </w:p>
        </w:tc>
        <w:tc>
          <w:tcPr>
            <w:tcW w:w="846" w:type="dxa"/>
            <w:noWrap w:val="0"/>
            <w:vAlign w:val="center"/>
          </w:tcPr>
          <w:p>
            <w:pPr>
              <w:jc w:val="center"/>
              <w:rPr>
                <w:rFonts w:hint="eastAsia" w:ascii="仿宋_GB2312" w:hAnsi="宋体" w:eastAsia="仿宋_GB2312" w:cs="宋体"/>
                <w:color w:val="000000"/>
                <w:sz w:val="20"/>
                <w:szCs w:val="20"/>
              </w:rPr>
            </w:pPr>
            <w:r>
              <w:rPr>
                <w:rFonts w:hint="eastAsia" w:ascii="仿宋_GB2312" w:eastAsia="仿宋_GB2312"/>
                <w:color w:val="000000"/>
                <w:sz w:val="20"/>
                <w:szCs w:val="20"/>
              </w:rPr>
              <w:t>党委办公厅（室）及相关机构事务</w:t>
            </w:r>
          </w:p>
        </w:tc>
        <w:tc>
          <w:tcPr>
            <w:tcW w:w="1366" w:type="dxa"/>
            <w:noWrap w:val="0"/>
            <w:vAlign w:val="top"/>
          </w:tcPr>
          <w:p>
            <w:pPr>
              <w:widowControl/>
              <w:jc w:val="center"/>
              <w:outlineLvl w:val="1"/>
              <w:rPr>
                <w:rFonts w:hint="eastAsia" w:ascii="仿宋_GB2312" w:hAnsi="宋体" w:eastAsia="仿宋_GB2312"/>
                <w:kern w:val="0"/>
                <w:sz w:val="20"/>
                <w:szCs w:val="20"/>
              </w:rPr>
            </w:pPr>
          </w:p>
        </w:tc>
        <w:tc>
          <w:tcPr>
            <w:tcW w:w="752" w:type="dxa"/>
            <w:noWrap w:val="0"/>
            <w:vAlign w:val="top"/>
          </w:tcPr>
          <w:p>
            <w:pPr>
              <w:widowControl/>
              <w:jc w:val="righ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1082</w:t>
            </w:r>
          </w:p>
        </w:tc>
        <w:tc>
          <w:tcPr>
            <w:tcW w:w="385" w:type="dxa"/>
            <w:noWrap w:val="0"/>
            <w:vAlign w:val="top"/>
          </w:tcPr>
          <w:p>
            <w:pPr>
              <w:widowControl/>
              <w:jc w:val="right"/>
              <w:outlineLvl w:val="1"/>
              <w:rPr>
                <w:rFonts w:hint="eastAsia" w:ascii="仿宋_GB2312" w:hAnsi="宋体" w:eastAsia="仿宋_GB2312"/>
                <w:kern w:val="0"/>
                <w:sz w:val="20"/>
                <w:szCs w:val="20"/>
              </w:rPr>
            </w:pPr>
          </w:p>
        </w:tc>
        <w:tc>
          <w:tcPr>
            <w:tcW w:w="824" w:type="dxa"/>
            <w:noWrap w:val="0"/>
            <w:vAlign w:val="top"/>
          </w:tcPr>
          <w:p>
            <w:pPr>
              <w:widowControl/>
              <w:jc w:val="righ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1082</w:t>
            </w:r>
          </w:p>
        </w:tc>
        <w:tc>
          <w:tcPr>
            <w:tcW w:w="464" w:type="dxa"/>
            <w:noWrap w:val="0"/>
            <w:vAlign w:val="top"/>
          </w:tcPr>
          <w:p>
            <w:pPr>
              <w:widowControl/>
              <w:jc w:val="right"/>
              <w:outlineLvl w:val="1"/>
              <w:rPr>
                <w:rFonts w:hint="eastAsia" w:ascii="仿宋_GB2312" w:hAnsi="宋体" w:eastAsia="仿宋_GB2312"/>
                <w:kern w:val="0"/>
                <w:sz w:val="20"/>
                <w:szCs w:val="20"/>
              </w:rPr>
            </w:pPr>
          </w:p>
        </w:tc>
        <w:tc>
          <w:tcPr>
            <w:tcW w:w="520" w:type="dxa"/>
            <w:noWrap w:val="0"/>
            <w:vAlign w:val="top"/>
          </w:tcPr>
          <w:p>
            <w:pPr>
              <w:widowControl/>
              <w:jc w:val="right"/>
              <w:outlineLvl w:val="1"/>
              <w:rPr>
                <w:rFonts w:hint="eastAsia" w:ascii="仿宋_GB2312" w:hAnsi="宋体" w:eastAsia="仿宋_GB2312"/>
                <w:kern w:val="0"/>
                <w:sz w:val="20"/>
                <w:szCs w:val="20"/>
              </w:rPr>
            </w:pPr>
          </w:p>
        </w:tc>
        <w:tc>
          <w:tcPr>
            <w:tcW w:w="618" w:type="dxa"/>
            <w:noWrap w:val="0"/>
            <w:vAlign w:val="top"/>
          </w:tcPr>
          <w:p>
            <w:pPr>
              <w:widowControl/>
              <w:jc w:val="right"/>
              <w:outlineLvl w:val="1"/>
              <w:rPr>
                <w:rFonts w:hint="eastAsia" w:ascii="仿宋_GB2312" w:hAnsi="宋体" w:eastAsia="仿宋_GB2312"/>
                <w:kern w:val="0"/>
                <w:sz w:val="20"/>
                <w:szCs w:val="20"/>
              </w:rPr>
            </w:pPr>
          </w:p>
        </w:tc>
        <w:tc>
          <w:tcPr>
            <w:tcW w:w="419" w:type="dxa"/>
            <w:noWrap w:val="0"/>
            <w:vAlign w:val="top"/>
          </w:tcPr>
          <w:p>
            <w:pPr>
              <w:widowControl/>
              <w:jc w:val="right"/>
              <w:outlineLvl w:val="1"/>
              <w:rPr>
                <w:rFonts w:hint="eastAsia" w:ascii="仿宋_GB2312" w:hAnsi="宋体" w:eastAsia="仿宋_GB2312"/>
                <w:kern w:val="0"/>
                <w:sz w:val="20"/>
                <w:szCs w:val="20"/>
              </w:rPr>
            </w:pPr>
          </w:p>
        </w:tc>
        <w:tc>
          <w:tcPr>
            <w:tcW w:w="618" w:type="dxa"/>
            <w:noWrap w:val="0"/>
            <w:vAlign w:val="top"/>
          </w:tcPr>
          <w:p>
            <w:pPr>
              <w:widowControl/>
              <w:jc w:val="right"/>
              <w:outlineLvl w:val="1"/>
              <w:rPr>
                <w:rFonts w:hint="eastAsia" w:ascii="仿宋_GB2312" w:hAnsi="宋体" w:eastAsia="仿宋_GB2312"/>
                <w:kern w:val="0"/>
                <w:sz w:val="20"/>
                <w:szCs w:val="20"/>
              </w:rPr>
            </w:pPr>
          </w:p>
        </w:tc>
        <w:tc>
          <w:tcPr>
            <w:tcW w:w="420" w:type="dxa"/>
            <w:noWrap w:val="0"/>
            <w:vAlign w:val="top"/>
          </w:tcPr>
          <w:p>
            <w:pPr>
              <w:widowControl/>
              <w:jc w:val="right"/>
              <w:outlineLvl w:val="1"/>
              <w:rPr>
                <w:rFonts w:hint="eastAsia" w:ascii="仿宋_GB2312" w:hAnsi="宋体" w:eastAsia="仿宋_GB2312"/>
                <w:kern w:val="0"/>
                <w:sz w:val="20"/>
                <w:szCs w:val="20"/>
              </w:rPr>
            </w:pPr>
          </w:p>
        </w:tc>
        <w:tc>
          <w:tcPr>
            <w:tcW w:w="420" w:type="dxa"/>
            <w:noWrap w:val="0"/>
            <w:vAlign w:val="top"/>
          </w:tcPr>
          <w:p>
            <w:pPr>
              <w:widowControl/>
              <w:jc w:val="right"/>
              <w:outlineLvl w:val="1"/>
              <w:rPr>
                <w:rFonts w:hint="eastAsia" w:ascii="仿宋_GB2312" w:hAnsi="宋体" w:eastAsia="仿宋_GB2312"/>
                <w:kern w:val="0"/>
                <w:sz w:val="20"/>
                <w:szCs w:val="20"/>
              </w:rPr>
            </w:pPr>
          </w:p>
        </w:tc>
        <w:tc>
          <w:tcPr>
            <w:tcW w:w="466" w:type="dxa"/>
            <w:gridSpan w:val="2"/>
            <w:noWrap w:val="0"/>
            <w:vAlign w:val="top"/>
          </w:tcPr>
          <w:p>
            <w:pPr>
              <w:widowControl/>
              <w:jc w:val="right"/>
              <w:outlineLvl w:val="1"/>
              <w:rPr>
                <w:rFonts w:hint="eastAsia"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22" w:type="dxa"/>
            <w:gridSpan w:val="2"/>
            <w:noWrap w:val="0"/>
            <w:vAlign w:val="top"/>
          </w:tcPr>
          <w:p>
            <w:pPr>
              <w:widowControl/>
              <w:jc w:val="left"/>
              <w:outlineLvl w:val="1"/>
              <w:rPr>
                <w:rFonts w:hint="eastAsia" w:ascii="仿宋_GB2312" w:hAnsi="宋体" w:eastAsia="仿宋_GB2312"/>
                <w:kern w:val="0"/>
                <w:sz w:val="20"/>
                <w:szCs w:val="20"/>
              </w:rPr>
            </w:pPr>
            <w:r>
              <w:rPr>
                <w:rFonts w:hint="eastAsia" w:ascii="仿宋_GB2312" w:hAnsi="宋体" w:eastAsia="仿宋_GB2312"/>
                <w:kern w:val="0"/>
                <w:sz w:val="20"/>
                <w:szCs w:val="20"/>
              </w:rPr>
              <w:t>201</w:t>
            </w:r>
          </w:p>
        </w:tc>
        <w:tc>
          <w:tcPr>
            <w:tcW w:w="418" w:type="dxa"/>
            <w:noWrap w:val="0"/>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31</w:t>
            </w:r>
          </w:p>
        </w:tc>
        <w:tc>
          <w:tcPr>
            <w:tcW w:w="482" w:type="dxa"/>
            <w:noWrap w:val="0"/>
            <w:vAlign w:val="top"/>
          </w:tcPr>
          <w:p>
            <w:pPr>
              <w:widowControl/>
              <w:jc w:val="left"/>
              <w:outlineLvl w:val="1"/>
              <w:rPr>
                <w:rFonts w:hint="eastAsia" w:ascii="仿宋_GB2312" w:hAnsi="宋体" w:eastAsia="仿宋_GB2312"/>
                <w:kern w:val="0"/>
                <w:sz w:val="20"/>
                <w:szCs w:val="20"/>
                <w:lang w:eastAsia="zh-CN"/>
              </w:rPr>
            </w:pPr>
            <w:r>
              <w:rPr>
                <w:rFonts w:hint="eastAsia" w:ascii="仿宋_GB2312" w:hAnsi="宋体" w:eastAsia="仿宋_GB2312"/>
                <w:kern w:val="0"/>
                <w:sz w:val="20"/>
                <w:szCs w:val="20"/>
              </w:rPr>
              <w:t>0</w:t>
            </w:r>
            <w:r>
              <w:rPr>
                <w:rFonts w:hint="eastAsia" w:ascii="仿宋_GB2312" w:hAnsi="宋体" w:eastAsia="仿宋_GB2312"/>
                <w:kern w:val="0"/>
                <w:sz w:val="20"/>
                <w:szCs w:val="20"/>
                <w:lang w:val="en-US" w:eastAsia="zh-CN"/>
              </w:rPr>
              <w:t>2</w:t>
            </w:r>
          </w:p>
        </w:tc>
        <w:tc>
          <w:tcPr>
            <w:tcW w:w="846" w:type="dxa"/>
            <w:noWrap w:val="0"/>
            <w:vAlign w:val="top"/>
          </w:tcPr>
          <w:p>
            <w:pPr>
              <w:widowControl/>
              <w:jc w:val="center"/>
              <w:outlineLvl w:val="1"/>
              <w:rPr>
                <w:rFonts w:hint="eastAsia" w:ascii="仿宋_GB2312" w:hAnsi="宋体" w:eastAsia="仿宋_GB2312" w:cs="宋体"/>
                <w:color w:val="000000"/>
                <w:sz w:val="20"/>
                <w:szCs w:val="20"/>
              </w:rPr>
            </w:pPr>
            <w:r>
              <w:rPr>
                <w:rFonts w:hint="eastAsia" w:ascii="仿宋_GB2312" w:hAnsi="宋体" w:eastAsia="仿宋_GB2312" w:cs="宋体"/>
                <w:color w:val="000000"/>
                <w:sz w:val="20"/>
                <w:szCs w:val="20"/>
              </w:rPr>
              <w:t>一般公共服务支出</w:t>
            </w:r>
          </w:p>
        </w:tc>
        <w:tc>
          <w:tcPr>
            <w:tcW w:w="1366" w:type="dxa"/>
            <w:noWrap w:val="0"/>
            <w:vAlign w:val="center"/>
          </w:tcPr>
          <w:p>
            <w:pPr>
              <w:keepNext w:val="0"/>
              <w:keepLines w:val="0"/>
              <w:widowControl/>
              <w:suppressLineNumbers w:val="0"/>
              <w:jc w:val="left"/>
              <w:textAlignment w:val="center"/>
              <w:rPr>
                <w:rFonts w:hint="eastAsia" w:ascii="仿宋_GB2312" w:hAnsi="宋体" w:eastAsia="仿宋_GB2312"/>
                <w:kern w:val="0"/>
                <w:sz w:val="20"/>
                <w:szCs w:val="20"/>
              </w:rPr>
            </w:pPr>
            <w:r>
              <w:rPr>
                <w:rFonts w:hint="eastAsia" w:ascii="宋体" w:hAnsi="宋体" w:eastAsia="宋体" w:cs="宋体"/>
                <w:i w:val="0"/>
                <w:color w:val="000000"/>
                <w:kern w:val="0"/>
                <w:sz w:val="22"/>
                <w:szCs w:val="22"/>
                <w:u w:val="none"/>
                <w:lang w:val="en-US" w:eastAsia="zh-CN" w:bidi="ar"/>
              </w:rPr>
              <w:t>2024综合办公楼运转经费项目（非定额）</w:t>
            </w:r>
          </w:p>
        </w:tc>
        <w:tc>
          <w:tcPr>
            <w:tcW w:w="752" w:type="dxa"/>
            <w:noWrap w:val="0"/>
            <w:vAlign w:val="top"/>
          </w:tcPr>
          <w:p>
            <w:pPr>
              <w:widowControl/>
              <w:jc w:val="righ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70</w:t>
            </w:r>
          </w:p>
        </w:tc>
        <w:tc>
          <w:tcPr>
            <w:tcW w:w="385" w:type="dxa"/>
            <w:noWrap w:val="0"/>
            <w:vAlign w:val="top"/>
          </w:tcPr>
          <w:p>
            <w:pPr>
              <w:widowControl/>
              <w:jc w:val="right"/>
              <w:outlineLvl w:val="1"/>
              <w:rPr>
                <w:rFonts w:hint="eastAsia" w:ascii="仿宋_GB2312" w:hAnsi="宋体" w:eastAsia="仿宋_GB2312"/>
                <w:kern w:val="0"/>
                <w:sz w:val="20"/>
                <w:szCs w:val="20"/>
              </w:rPr>
            </w:pPr>
          </w:p>
        </w:tc>
        <w:tc>
          <w:tcPr>
            <w:tcW w:w="824" w:type="dxa"/>
            <w:noWrap w:val="0"/>
            <w:vAlign w:val="top"/>
          </w:tcPr>
          <w:p>
            <w:pPr>
              <w:widowControl/>
              <w:jc w:val="righ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70</w:t>
            </w:r>
          </w:p>
        </w:tc>
        <w:tc>
          <w:tcPr>
            <w:tcW w:w="464" w:type="dxa"/>
            <w:noWrap w:val="0"/>
            <w:vAlign w:val="top"/>
          </w:tcPr>
          <w:p>
            <w:pPr>
              <w:widowControl/>
              <w:jc w:val="right"/>
              <w:outlineLvl w:val="1"/>
              <w:rPr>
                <w:rFonts w:hint="eastAsia" w:ascii="仿宋_GB2312" w:hAnsi="宋体" w:eastAsia="仿宋_GB2312"/>
                <w:kern w:val="0"/>
                <w:sz w:val="20"/>
                <w:szCs w:val="20"/>
              </w:rPr>
            </w:pPr>
          </w:p>
        </w:tc>
        <w:tc>
          <w:tcPr>
            <w:tcW w:w="520" w:type="dxa"/>
            <w:noWrap w:val="0"/>
            <w:vAlign w:val="top"/>
          </w:tcPr>
          <w:p>
            <w:pPr>
              <w:widowControl/>
              <w:jc w:val="right"/>
              <w:outlineLvl w:val="1"/>
              <w:rPr>
                <w:rFonts w:hint="eastAsia" w:ascii="仿宋_GB2312" w:hAnsi="宋体" w:eastAsia="仿宋_GB2312"/>
                <w:kern w:val="0"/>
                <w:sz w:val="20"/>
                <w:szCs w:val="20"/>
              </w:rPr>
            </w:pPr>
          </w:p>
        </w:tc>
        <w:tc>
          <w:tcPr>
            <w:tcW w:w="618" w:type="dxa"/>
            <w:noWrap w:val="0"/>
            <w:vAlign w:val="top"/>
          </w:tcPr>
          <w:p>
            <w:pPr>
              <w:widowControl/>
              <w:jc w:val="right"/>
              <w:outlineLvl w:val="1"/>
              <w:rPr>
                <w:rFonts w:hint="eastAsia" w:ascii="仿宋_GB2312" w:hAnsi="宋体" w:eastAsia="仿宋_GB2312"/>
                <w:kern w:val="0"/>
                <w:sz w:val="20"/>
                <w:szCs w:val="20"/>
              </w:rPr>
            </w:pPr>
          </w:p>
        </w:tc>
        <w:tc>
          <w:tcPr>
            <w:tcW w:w="419" w:type="dxa"/>
            <w:noWrap w:val="0"/>
            <w:vAlign w:val="top"/>
          </w:tcPr>
          <w:p>
            <w:pPr>
              <w:widowControl/>
              <w:jc w:val="right"/>
              <w:outlineLvl w:val="1"/>
              <w:rPr>
                <w:rFonts w:hint="eastAsia" w:ascii="仿宋_GB2312" w:hAnsi="宋体" w:eastAsia="仿宋_GB2312"/>
                <w:kern w:val="0"/>
                <w:sz w:val="20"/>
                <w:szCs w:val="20"/>
              </w:rPr>
            </w:pPr>
          </w:p>
        </w:tc>
        <w:tc>
          <w:tcPr>
            <w:tcW w:w="618" w:type="dxa"/>
            <w:noWrap w:val="0"/>
            <w:vAlign w:val="top"/>
          </w:tcPr>
          <w:p>
            <w:pPr>
              <w:widowControl/>
              <w:jc w:val="right"/>
              <w:outlineLvl w:val="1"/>
              <w:rPr>
                <w:rFonts w:hint="eastAsia" w:ascii="仿宋_GB2312" w:hAnsi="宋体" w:eastAsia="仿宋_GB2312"/>
                <w:kern w:val="0"/>
                <w:sz w:val="20"/>
                <w:szCs w:val="20"/>
              </w:rPr>
            </w:pPr>
          </w:p>
        </w:tc>
        <w:tc>
          <w:tcPr>
            <w:tcW w:w="420" w:type="dxa"/>
            <w:noWrap w:val="0"/>
            <w:vAlign w:val="top"/>
          </w:tcPr>
          <w:p>
            <w:pPr>
              <w:widowControl/>
              <w:jc w:val="right"/>
              <w:outlineLvl w:val="1"/>
              <w:rPr>
                <w:rFonts w:hint="eastAsia" w:ascii="仿宋_GB2312" w:hAnsi="宋体" w:eastAsia="仿宋_GB2312"/>
                <w:kern w:val="0"/>
                <w:sz w:val="20"/>
                <w:szCs w:val="20"/>
              </w:rPr>
            </w:pPr>
          </w:p>
        </w:tc>
        <w:tc>
          <w:tcPr>
            <w:tcW w:w="420" w:type="dxa"/>
            <w:noWrap w:val="0"/>
            <w:vAlign w:val="top"/>
          </w:tcPr>
          <w:p>
            <w:pPr>
              <w:widowControl/>
              <w:jc w:val="right"/>
              <w:outlineLvl w:val="1"/>
              <w:rPr>
                <w:rFonts w:hint="eastAsia" w:ascii="仿宋_GB2312" w:hAnsi="宋体" w:eastAsia="仿宋_GB2312"/>
                <w:kern w:val="0"/>
                <w:sz w:val="20"/>
                <w:szCs w:val="20"/>
              </w:rPr>
            </w:pPr>
          </w:p>
        </w:tc>
        <w:tc>
          <w:tcPr>
            <w:tcW w:w="466" w:type="dxa"/>
            <w:gridSpan w:val="2"/>
            <w:noWrap w:val="0"/>
            <w:vAlign w:val="top"/>
          </w:tcPr>
          <w:p>
            <w:pPr>
              <w:widowControl/>
              <w:jc w:val="right"/>
              <w:outlineLvl w:val="1"/>
              <w:rPr>
                <w:rFonts w:hint="eastAsia"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22" w:type="dxa"/>
            <w:gridSpan w:val="2"/>
            <w:noWrap w:val="0"/>
            <w:vAlign w:val="top"/>
          </w:tcPr>
          <w:p>
            <w:pPr>
              <w:widowControl/>
              <w:jc w:val="left"/>
              <w:outlineLvl w:val="1"/>
              <w:rPr>
                <w:rFonts w:hint="eastAsia" w:ascii="仿宋_GB2312" w:hAnsi="宋体" w:eastAsia="仿宋_GB2312"/>
                <w:kern w:val="0"/>
                <w:sz w:val="20"/>
                <w:szCs w:val="20"/>
              </w:rPr>
            </w:pPr>
            <w:r>
              <w:rPr>
                <w:rFonts w:hint="eastAsia" w:ascii="仿宋_GB2312" w:hAnsi="宋体" w:eastAsia="仿宋_GB2312"/>
                <w:kern w:val="0"/>
                <w:sz w:val="20"/>
                <w:szCs w:val="20"/>
              </w:rPr>
              <w:t>201</w:t>
            </w:r>
          </w:p>
        </w:tc>
        <w:tc>
          <w:tcPr>
            <w:tcW w:w="418" w:type="dxa"/>
            <w:noWrap w:val="0"/>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31</w:t>
            </w:r>
          </w:p>
        </w:tc>
        <w:tc>
          <w:tcPr>
            <w:tcW w:w="482" w:type="dxa"/>
            <w:noWrap w:val="0"/>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w:t>
            </w:r>
            <w:r>
              <w:rPr>
                <w:rFonts w:hint="eastAsia" w:ascii="仿宋_GB2312" w:hAnsi="宋体" w:eastAsia="仿宋_GB2312"/>
                <w:kern w:val="0"/>
                <w:sz w:val="20"/>
                <w:szCs w:val="20"/>
                <w:lang w:val="en-US" w:eastAsia="zh-CN"/>
              </w:rPr>
              <w:t>2</w:t>
            </w:r>
          </w:p>
        </w:tc>
        <w:tc>
          <w:tcPr>
            <w:tcW w:w="846" w:type="dxa"/>
            <w:noWrap w:val="0"/>
            <w:vAlign w:val="center"/>
          </w:tcPr>
          <w:p>
            <w:pPr>
              <w:tabs>
                <w:tab w:val="left" w:pos="501"/>
              </w:tabs>
              <w:jc w:val="left"/>
              <w:rPr>
                <w:rFonts w:hint="eastAsia" w:ascii="仿宋_GB2312" w:hAnsi="宋体" w:eastAsia="仿宋_GB2312" w:cs="宋体"/>
                <w:color w:val="000000"/>
                <w:sz w:val="20"/>
                <w:szCs w:val="20"/>
              </w:rPr>
            </w:pPr>
            <w:r>
              <w:rPr>
                <w:rFonts w:hint="eastAsia" w:ascii="仿宋_GB2312" w:hAnsi="宋体" w:eastAsia="仿宋_GB2312" w:cs="宋体"/>
                <w:color w:val="000000"/>
                <w:sz w:val="20"/>
                <w:szCs w:val="20"/>
              </w:rPr>
              <w:t>一般公共服务支出</w:t>
            </w:r>
          </w:p>
        </w:tc>
        <w:tc>
          <w:tcPr>
            <w:tcW w:w="1366" w:type="dxa"/>
            <w:noWrap w:val="0"/>
            <w:vAlign w:val="center"/>
          </w:tcPr>
          <w:p>
            <w:pPr>
              <w:keepNext w:val="0"/>
              <w:keepLines w:val="0"/>
              <w:widowControl/>
              <w:suppressLineNumbers w:val="0"/>
              <w:jc w:val="left"/>
              <w:textAlignment w:val="center"/>
              <w:rPr>
                <w:rFonts w:hint="eastAsia" w:ascii="仿宋_GB2312" w:hAnsi="宋体" w:eastAsia="仿宋_GB2312"/>
                <w:kern w:val="0"/>
                <w:sz w:val="20"/>
                <w:szCs w:val="20"/>
              </w:rPr>
            </w:pPr>
            <w:r>
              <w:rPr>
                <w:rFonts w:hint="eastAsia" w:ascii="宋体" w:hAnsi="宋体" w:eastAsia="宋体" w:cs="宋体"/>
                <w:i w:val="0"/>
                <w:color w:val="000000"/>
                <w:kern w:val="0"/>
                <w:sz w:val="22"/>
                <w:szCs w:val="22"/>
                <w:u w:val="none"/>
                <w:lang w:val="en-US" w:eastAsia="zh-CN" w:bidi="ar"/>
              </w:rPr>
              <w:t>2024年电信联通移动全县接入互联网通讯费（非定额）</w:t>
            </w:r>
          </w:p>
        </w:tc>
        <w:tc>
          <w:tcPr>
            <w:tcW w:w="752" w:type="dxa"/>
            <w:noWrap w:val="0"/>
            <w:vAlign w:val="top"/>
          </w:tcPr>
          <w:p>
            <w:pPr>
              <w:keepNext w:val="0"/>
              <w:keepLines w:val="0"/>
              <w:widowControl/>
              <w:suppressLineNumbers w:val="0"/>
              <w:jc w:val="right"/>
              <w:textAlignment w:val="top"/>
              <w:rPr>
                <w:rFonts w:hint="default" w:ascii="仿宋_GB2312" w:hAnsi="宋体" w:eastAsia="仿宋_GB2312"/>
                <w:kern w:val="0"/>
                <w:sz w:val="20"/>
                <w:szCs w:val="20"/>
                <w:lang w:val="en-US"/>
              </w:rPr>
            </w:pPr>
            <w:r>
              <w:rPr>
                <w:rFonts w:hint="eastAsia" w:ascii="宋体" w:hAnsi="宋体" w:cs="宋体"/>
                <w:i w:val="0"/>
                <w:color w:val="000000"/>
                <w:kern w:val="0"/>
                <w:sz w:val="22"/>
                <w:szCs w:val="22"/>
                <w:u w:val="none"/>
                <w:lang w:val="en-US" w:eastAsia="zh-CN" w:bidi="ar"/>
              </w:rPr>
              <w:t>960</w:t>
            </w:r>
          </w:p>
        </w:tc>
        <w:tc>
          <w:tcPr>
            <w:tcW w:w="385" w:type="dxa"/>
            <w:noWrap w:val="0"/>
            <w:vAlign w:val="top"/>
          </w:tcPr>
          <w:p>
            <w:pPr>
              <w:jc w:val="right"/>
              <w:rPr>
                <w:rFonts w:hint="eastAsia" w:ascii="仿宋_GB2312" w:hAnsi="宋体" w:eastAsia="仿宋_GB2312"/>
                <w:kern w:val="0"/>
                <w:sz w:val="20"/>
                <w:szCs w:val="20"/>
              </w:rPr>
            </w:pPr>
          </w:p>
        </w:tc>
        <w:tc>
          <w:tcPr>
            <w:tcW w:w="824" w:type="dxa"/>
            <w:noWrap w:val="0"/>
            <w:vAlign w:val="top"/>
          </w:tcPr>
          <w:p>
            <w:pPr>
              <w:keepNext w:val="0"/>
              <w:keepLines w:val="0"/>
              <w:widowControl/>
              <w:suppressLineNumbers w:val="0"/>
              <w:jc w:val="right"/>
              <w:textAlignment w:val="top"/>
              <w:rPr>
                <w:rFonts w:hint="default" w:ascii="仿宋_GB2312" w:hAnsi="宋体" w:eastAsia="仿宋_GB2312"/>
                <w:kern w:val="0"/>
                <w:sz w:val="20"/>
                <w:szCs w:val="20"/>
                <w:lang w:val="en-US"/>
              </w:rPr>
            </w:pPr>
            <w:r>
              <w:rPr>
                <w:rFonts w:hint="eastAsia" w:ascii="宋体" w:hAnsi="宋体" w:cs="宋体"/>
                <w:i w:val="0"/>
                <w:color w:val="000000"/>
                <w:kern w:val="0"/>
                <w:sz w:val="22"/>
                <w:szCs w:val="22"/>
                <w:u w:val="none"/>
                <w:lang w:val="en-US" w:eastAsia="zh-CN" w:bidi="ar"/>
              </w:rPr>
              <w:t>960</w:t>
            </w:r>
          </w:p>
        </w:tc>
        <w:tc>
          <w:tcPr>
            <w:tcW w:w="464" w:type="dxa"/>
            <w:noWrap w:val="0"/>
            <w:vAlign w:val="top"/>
          </w:tcPr>
          <w:p>
            <w:pPr>
              <w:widowControl/>
              <w:jc w:val="right"/>
              <w:outlineLvl w:val="1"/>
              <w:rPr>
                <w:rFonts w:hint="eastAsia" w:ascii="仿宋_GB2312" w:hAnsi="宋体" w:eastAsia="仿宋_GB2312"/>
                <w:kern w:val="0"/>
                <w:sz w:val="20"/>
                <w:szCs w:val="20"/>
              </w:rPr>
            </w:pPr>
          </w:p>
        </w:tc>
        <w:tc>
          <w:tcPr>
            <w:tcW w:w="520" w:type="dxa"/>
            <w:noWrap w:val="0"/>
            <w:vAlign w:val="top"/>
          </w:tcPr>
          <w:p>
            <w:pPr>
              <w:widowControl/>
              <w:jc w:val="right"/>
              <w:outlineLvl w:val="1"/>
              <w:rPr>
                <w:rFonts w:hint="eastAsia" w:ascii="仿宋_GB2312" w:hAnsi="宋体" w:eastAsia="仿宋_GB2312"/>
                <w:kern w:val="0"/>
                <w:sz w:val="20"/>
                <w:szCs w:val="20"/>
              </w:rPr>
            </w:pPr>
          </w:p>
        </w:tc>
        <w:tc>
          <w:tcPr>
            <w:tcW w:w="618" w:type="dxa"/>
            <w:noWrap w:val="0"/>
            <w:vAlign w:val="top"/>
          </w:tcPr>
          <w:p>
            <w:pPr>
              <w:widowControl/>
              <w:jc w:val="right"/>
              <w:outlineLvl w:val="1"/>
              <w:rPr>
                <w:rFonts w:hint="eastAsia" w:ascii="仿宋_GB2312" w:hAnsi="宋体" w:eastAsia="仿宋_GB2312"/>
                <w:kern w:val="0"/>
                <w:sz w:val="20"/>
                <w:szCs w:val="20"/>
              </w:rPr>
            </w:pPr>
          </w:p>
        </w:tc>
        <w:tc>
          <w:tcPr>
            <w:tcW w:w="419" w:type="dxa"/>
            <w:noWrap w:val="0"/>
            <w:vAlign w:val="top"/>
          </w:tcPr>
          <w:p>
            <w:pPr>
              <w:widowControl/>
              <w:jc w:val="right"/>
              <w:outlineLvl w:val="1"/>
              <w:rPr>
                <w:rFonts w:hint="eastAsia" w:ascii="仿宋_GB2312" w:hAnsi="宋体" w:eastAsia="仿宋_GB2312"/>
                <w:kern w:val="0"/>
                <w:sz w:val="20"/>
                <w:szCs w:val="20"/>
              </w:rPr>
            </w:pPr>
          </w:p>
        </w:tc>
        <w:tc>
          <w:tcPr>
            <w:tcW w:w="618" w:type="dxa"/>
            <w:noWrap w:val="0"/>
            <w:vAlign w:val="top"/>
          </w:tcPr>
          <w:p>
            <w:pPr>
              <w:widowControl/>
              <w:jc w:val="right"/>
              <w:outlineLvl w:val="1"/>
              <w:rPr>
                <w:rFonts w:hint="eastAsia" w:ascii="仿宋_GB2312" w:hAnsi="宋体" w:eastAsia="仿宋_GB2312"/>
                <w:kern w:val="0"/>
                <w:sz w:val="20"/>
                <w:szCs w:val="20"/>
              </w:rPr>
            </w:pPr>
          </w:p>
        </w:tc>
        <w:tc>
          <w:tcPr>
            <w:tcW w:w="420" w:type="dxa"/>
            <w:noWrap w:val="0"/>
            <w:vAlign w:val="top"/>
          </w:tcPr>
          <w:p>
            <w:pPr>
              <w:widowControl/>
              <w:jc w:val="right"/>
              <w:outlineLvl w:val="1"/>
              <w:rPr>
                <w:rFonts w:hint="eastAsia" w:ascii="仿宋_GB2312" w:hAnsi="宋体" w:eastAsia="仿宋_GB2312"/>
                <w:kern w:val="0"/>
                <w:sz w:val="20"/>
                <w:szCs w:val="20"/>
              </w:rPr>
            </w:pPr>
          </w:p>
        </w:tc>
        <w:tc>
          <w:tcPr>
            <w:tcW w:w="420" w:type="dxa"/>
            <w:noWrap w:val="0"/>
            <w:vAlign w:val="top"/>
          </w:tcPr>
          <w:p>
            <w:pPr>
              <w:widowControl/>
              <w:jc w:val="right"/>
              <w:outlineLvl w:val="1"/>
              <w:rPr>
                <w:rFonts w:hint="eastAsia" w:ascii="仿宋_GB2312" w:hAnsi="宋体" w:eastAsia="仿宋_GB2312"/>
                <w:kern w:val="0"/>
                <w:sz w:val="20"/>
                <w:szCs w:val="20"/>
              </w:rPr>
            </w:pPr>
          </w:p>
        </w:tc>
        <w:tc>
          <w:tcPr>
            <w:tcW w:w="466" w:type="dxa"/>
            <w:gridSpan w:val="2"/>
            <w:noWrap w:val="0"/>
            <w:vAlign w:val="top"/>
          </w:tcPr>
          <w:p>
            <w:pPr>
              <w:widowControl/>
              <w:jc w:val="right"/>
              <w:outlineLvl w:val="1"/>
              <w:rPr>
                <w:rFonts w:hint="eastAsia"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22" w:type="dxa"/>
            <w:gridSpan w:val="2"/>
            <w:noWrap w:val="0"/>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201</w:t>
            </w:r>
          </w:p>
        </w:tc>
        <w:tc>
          <w:tcPr>
            <w:tcW w:w="418" w:type="dxa"/>
            <w:noWrap w:val="0"/>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31</w:t>
            </w:r>
          </w:p>
        </w:tc>
        <w:tc>
          <w:tcPr>
            <w:tcW w:w="482" w:type="dxa"/>
            <w:noWrap w:val="0"/>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0</w:t>
            </w:r>
            <w:r>
              <w:rPr>
                <w:rFonts w:hint="eastAsia" w:ascii="仿宋_GB2312" w:hAnsi="宋体" w:eastAsia="仿宋_GB2312"/>
                <w:kern w:val="0"/>
                <w:sz w:val="20"/>
                <w:szCs w:val="20"/>
                <w:lang w:val="en-US" w:eastAsia="zh-CN"/>
              </w:rPr>
              <w:t>2</w:t>
            </w:r>
          </w:p>
        </w:tc>
        <w:tc>
          <w:tcPr>
            <w:tcW w:w="846" w:type="dxa"/>
            <w:noWrap w:val="0"/>
            <w:vAlign w:val="center"/>
          </w:tcPr>
          <w:p>
            <w:pPr>
              <w:tabs>
                <w:tab w:val="left" w:pos="501"/>
              </w:tabs>
              <w:jc w:val="left"/>
              <w:rPr>
                <w:rFonts w:ascii="仿宋_GB2312" w:hAnsi="宋体" w:eastAsia="仿宋_GB2312"/>
                <w:kern w:val="0"/>
                <w:sz w:val="20"/>
                <w:szCs w:val="20"/>
              </w:rPr>
            </w:pPr>
            <w:r>
              <w:rPr>
                <w:rFonts w:hint="eastAsia" w:ascii="仿宋_GB2312" w:hAnsi="宋体" w:eastAsia="仿宋_GB2312" w:cs="宋体"/>
                <w:color w:val="000000"/>
                <w:sz w:val="20"/>
                <w:szCs w:val="20"/>
              </w:rPr>
              <w:t>一般公共服务支出</w:t>
            </w:r>
          </w:p>
        </w:tc>
        <w:tc>
          <w:tcPr>
            <w:tcW w:w="1366" w:type="dxa"/>
            <w:noWrap w:val="0"/>
            <w:vAlign w:val="center"/>
          </w:tcPr>
          <w:p>
            <w:pPr>
              <w:keepNext w:val="0"/>
              <w:keepLines w:val="0"/>
              <w:widowControl/>
              <w:suppressLineNumbers w:val="0"/>
              <w:jc w:val="left"/>
              <w:textAlignment w:val="center"/>
              <w:rPr>
                <w:rFonts w:ascii="仿宋_GB2312" w:hAnsi="宋体" w:eastAsia="仿宋_GB2312"/>
                <w:kern w:val="0"/>
                <w:sz w:val="20"/>
                <w:szCs w:val="20"/>
              </w:rPr>
            </w:pPr>
            <w:r>
              <w:rPr>
                <w:rFonts w:hint="eastAsia" w:ascii="宋体" w:hAnsi="宋体" w:eastAsia="宋体" w:cs="宋体"/>
                <w:i w:val="0"/>
                <w:color w:val="000000"/>
                <w:kern w:val="0"/>
                <w:sz w:val="22"/>
                <w:szCs w:val="22"/>
                <w:u w:val="none"/>
                <w:lang w:val="en-US" w:eastAsia="zh-CN" w:bidi="ar"/>
              </w:rPr>
              <w:t>2024年城镇社区网格工作经费项目（非定额）</w:t>
            </w:r>
          </w:p>
        </w:tc>
        <w:tc>
          <w:tcPr>
            <w:tcW w:w="752" w:type="dxa"/>
            <w:noWrap w:val="0"/>
            <w:vAlign w:val="top"/>
          </w:tcPr>
          <w:p>
            <w:pPr>
              <w:keepNext w:val="0"/>
              <w:keepLines w:val="0"/>
              <w:widowControl/>
              <w:suppressLineNumbers w:val="0"/>
              <w:jc w:val="right"/>
              <w:textAlignment w:val="top"/>
              <w:rPr>
                <w:rFonts w:hint="default" w:ascii="仿宋_GB2312" w:hAnsi="宋体" w:eastAsia="仿宋_GB2312"/>
                <w:kern w:val="0"/>
                <w:sz w:val="20"/>
                <w:szCs w:val="20"/>
                <w:lang w:val="en-US"/>
              </w:rPr>
            </w:pPr>
            <w:r>
              <w:rPr>
                <w:rFonts w:hint="eastAsia" w:ascii="宋体" w:hAnsi="宋体" w:cs="宋体"/>
                <w:i w:val="0"/>
                <w:color w:val="000000"/>
                <w:kern w:val="0"/>
                <w:sz w:val="22"/>
                <w:szCs w:val="22"/>
                <w:u w:val="none"/>
                <w:lang w:val="en-US" w:eastAsia="zh-CN" w:bidi="ar"/>
              </w:rPr>
              <w:t>52</w:t>
            </w:r>
          </w:p>
        </w:tc>
        <w:tc>
          <w:tcPr>
            <w:tcW w:w="385" w:type="dxa"/>
            <w:noWrap w:val="0"/>
            <w:vAlign w:val="top"/>
          </w:tcPr>
          <w:p>
            <w:pPr>
              <w:jc w:val="right"/>
              <w:rPr>
                <w:rFonts w:ascii="仿宋_GB2312" w:hAnsi="宋体" w:eastAsia="仿宋_GB2312"/>
                <w:kern w:val="0"/>
                <w:sz w:val="20"/>
                <w:szCs w:val="20"/>
              </w:rPr>
            </w:pPr>
          </w:p>
        </w:tc>
        <w:tc>
          <w:tcPr>
            <w:tcW w:w="824" w:type="dxa"/>
            <w:noWrap w:val="0"/>
            <w:vAlign w:val="top"/>
          </w:tcPr>
          <w:p>
            <w:pPr>
              <w:keepNext w:val="0"/>
              <w:keepLines w:val="0"/>
              <w:widowControl/>
              <w:suppressLineNumbers w:val="0"/>
              <w:jc w:val="right"/>
              <w:textAlignment w:val="top"/>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52</w:t>
            </w:r>
          </w:p>
        </w:tc>
        <w:tc>
          <w:tcPr>
            <w:tcW w:w="464" w:type="dxa"/>
            <w:noWrap w:val="0"/>
            <w:vAlign w:val="top"/>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520" w:type="dxa"/>
            <w:noWrap w:val="0"/>
            <w:vAlign w:val="top"/>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618" w:type="dxa"/>
            <w:noWrap w:val="0"/>
            <w:vAlign w:val="top"/>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19" w:type="dxa"/>
            <w:noWrap w:val="0"/>
            <w:vAlign w:val="top"/>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618" w:type="dxa"/>
            <w:noWrap w:val="0"/>
            <w:vAlign w:val="top"/>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val="0"/>
            <w:vAlign w:val="top"/>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noWrap w:val="0"/>
            <w:vAlign w:val="top"/>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66" w:type="dxa"/>
            <w:gridSpan w:val="2"/>
            <w:noWrap w:val="0"/>
            <w:vAlign w:val="top"/>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22" w:type="dxa"/>
            <w:gridSpan w:val="2"/>
            <w:noWrap w:val="0"/>
            <w:vAlign w:val="top"/>
          </w:tcPr>
          <w:p>
            <w:pPr>
              <w:widowControl/>
              <w:jc w:val="center"/>
              <w:outlineLvl w:val="1"/>
              <w:rPr>
                <w:rFonts w:ascii="仿宋_GB2312" w:hAnsi="宋体" w:eastAsia="仿宋_GB2312"/>
                <w:kern w:val="0"/>
                <w:sz w:val="32"/>
                <w:szCs w:val="32"/>
              </w:rPr>
            </w:pPr>
          </w:p>
        </w:tc>
        <w:tc>
          <w:tcPr>
            <w:tcW w:w="418" w:type="dxa"/>
            <w:noWrap w:val="0"/>
            <w:vAlign w:val="top"/>
          </w:tcPr>
          <w:p>
            <w:pPr>
              <w:widowControl/>
              <w:jc w:val="center"/>
              <w:outlineLvl w:val="1"/>
              <w:rPr>
                <w:rFonts w:ascii="仿宋_GB2312" w:hAnsi="宋体" w:eastAsia="仿宋_GB2312"/>
                <w:kern w:val="0"/>
                <w:sz w:val="32"/>
                <w:szCs w:val="32"/>
              </w:rPr>
            </w:pPr>
          </w:p>
        </w:tc>
        <w:tc>
          <w:tcPr>
            <w:tcW w:w="482" w:type="dxa"/>
            <w:noWrap w:val="0"/>
            <w:vAlign w:val="top"/>
          </w:tcPr>
          <w:p>
            <w:pPr>
              <w:widowControl/>
              <w:jc w:val="center"/>
              <w:outlineLvl w:val="1"/>
              <w:rPr>
                <w:rFonts w:ascii="仿宋_GB2312" w:hAnsi="宋体" w:eastAsia="仿宋_GB2312"/>
                <w:kern w:val="0"/>
                <w:sz w:val="32"/>
                <w:szCs w:val="32"/>
              </w:rPr>
            </w:pPr>
          </w:p>
        </w:tc>
        <w:tc>
          <w:tcPr>
            <w:tcW w:w="846" w:type="dxa"/>
            <w:noWrap w:val="0"/>
            <w:vAlign w:val="top"/>
          </w:tcPr>
          <w:p>
            <w:pPr>
              <w:widowControl/>
              <w:jc w:val="center"/>
              <w:outlineLvl w:val="1"/>
              <w:rPr>
                <w:rFonts w:ascii="仿宋_GB2312" w:hAnsi="宋体" w:eastAsia="仿宋_GB2312"/>
                <w:kern w:val="0"/>
                <w:sz w:val="32"/>
                <w:szCs w:val="32"/>
              </w:rPr>
            </w:pPr>
          </w:p>
        </w:tc>
        <w:tc>
          <w:tcPr>
            <w:tcW w:w="1366" w:type="dxa"/>
            <w:noWrap w:val="0"/>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752" w:type="dxa"/>
            <w:noWrap w:val="0"/>
            <w:vAlign w:val="top"/>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lang w:val="en-US" w:eastAsia="zh-CN"/>
              </w:rPr>
              <w:t>1082</w:t>
            </w:r>
            <w:r>
              <w:rPr>
                <w:rFonts w:hint="eastAsia" w:ascii="仿宋_GB2312" w:hAnsi="宋体" w:eastAsia="仿宋_GB2312"/>
                <w:kern w:val="0"/>
                <w:sz w:val="20"/>
                <w:szCs w:val="20"/>
              </w:rPr>
              <w:t>　</w:t>
            </w:r>
          </w:p>
        </w:tc>
        <w:tc>
          <w:tcPr>
            <w:tcW w:w="385" w:type="dxa"/>
            <w:noWrap w:val="0"/>
            <w:vAlign w:val="top"/>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824" w:type="dxa"/>
            <w:noWrap w:val="0"/>
            <w:vAlign w:val="top"/>
          </w:tcPr>
          <w:p>
            <w:pPr>
              <w:widowControl/>
              <w:jc w:val="righ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1082</w:t>
            </w:r>
          </w:p>
        </w:tc>
        <w:tc>
          <w:tcPr>
            <w:tcW w:w="464" w:type="dxa"/>
            <w:noWrap w:val="0"/>
            <w:vAlign w:val="top"/>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20" w:type="dxa"/>
            <w:noWrap w:val="0"/>
            <w:vAlign w:val="top"/>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noWrap w:val="0"/>
            <w:vAlign w:val="top"/>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noWrap w:val="0"/>
            <w:vAlign w:val="top"/>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noWrap w:val="0"/>
            <w:vAlign w:val="top"/>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noWrap w:val="0"/>
            <w:vAlign w:val="top"/>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noWrap w:val="0"/>
            <w:vAlign w:val="top"/>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6" w:type="dxa"/>
            <w:gridSpan w:val="2"/>
            <w:noWrap w:val="0"/>
            <w:vAlign w:val="top"/>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 xml:space="preserve">中共呼图壁县委员会政法委员会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备注：呼图壁县委政法委</w:t>
      </w:r>
      <w:r>
        <w:rPr>
          <w:rFonts w:hint="eastAsia" w:ascii="仿宋_GB2312" w:hAnsi="宋体" w:eastAsia="仿宋_GB2312"/>
          <w:b/>
          <w:kern w:val="0"/>
          <w:sz w:val="28"/>
          <w:szCs w:val="32"/>
          <w:lang w:val="en-US" w:eastAsia="zh-CN"/>
        </w:rPr>
        <w:t>2024年</w:t>
      </w:r>
      <w:r>
        <w:rPr>
          <w:rFonts w:hint="eastAsia" w:ascii="仿宋_GB2312" w:hAnsi="宋体" w:eastAsia="仿宋_GB2312"/>
          <w:b/>
          <w:kern w:val="0"/>
          <w:sz w:val="28"/>
          <w:szCs w:val="32"/>
        </w:rPr>
        <w:t>无政府性基金预算安排，此表为空</w:t>
      </w:r>
      <w:r>
        <w:rPr>
          <w:rFonts w:hint="eastAsia" w:ascii="仿宋_GB2312" w:hAnsi="宋体" w:eastAsia="仿宋_GB2312"/>
          <w:b/>
          <w:kern w:val="0"/>
          <w:sz w:val="28"/>
          <w:szCs w:val="32"/>
          <w:lang w:val="en-US" w:eastAsia="zh-CN"/>
        </w:rPr>
        <w:t>表</w:t>
      </w:r>
      <w:r>
        <w:rPr>
          <w:rFonts w:hint="eastAsia" w:ascii="仿宋_GB2312" w:hAnsi="宋体" w:eastAsia="仿宋_GB2312"/>
          <w:b/>
          <w:kern w:val="0"/>
          <w:sz w:val="28"/>
          <w:szCs w:val="32"/>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 xml:space="preserve">中共呼图壁县委员会政法委员会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kern w:val="0"/>
          <w:sz w:val="28"/>
          <w:szCs w:val="32"/>
        </w:rPr>
        <w:t>备注：呼图壁县委政法委</w:t>
      </w:r>
      <w:r>
        <w:rPr>
          <w:rFonts w:hint="eastAsia" w:ascii="仿宋_GB2312" w:hAnsi="宋体" w:eastAsia="仿宋_GB2312"/>
          <w:b/>
          <w:kern w:val="0"/>
          <w:sz w:val="28"/>
          <w:szCs w:val="32"/>
          <w:lang w:val="en-US" w:eastAsia="zh-CN"/>
        </w:rPr>
        <w:t>2024年</w:t>
      </w:r>
      <w:r>
        <w:rPr>
          <w:rFonts w:hint="eastAsia" w:ascii="仿宋_GB2312" w:hAnsi="宋体" w:eastAsia="仿宋_GB2312"/>
          <w:b/>
          <w:kern w:val="0"/>
          <w:sz w:val="28"/>
          <w:szCs w:val="32"/>
        </w:rPr>
        <w:t>无国有资本经营预算安排，此表为空</w:t>
      </w:r>
      <w:r>
        <w:rPr>
          <w:rFonts w:hint="eastAsia" w:ascii="仿宋_GB2312" w:hAnsi="宋体" w:eastAsia="仿宋_GB2312"/>
          <w:b/>
          <w:kern w:val="0"/>
          <w:sz w:val="28"/>
          <w:szCs w:val="32"/>
          <w:lang w:val="en-US" w:eastAsia="zh-CN"/>
        </w:rPr>
        <w:t>表</w:t>
      </w:r>
      <w:r>
        <w:rPr>
          <w:rFonts w:hint="eastAsia" w:ascii="仿宋_GB2312" w:hAnsi="宋体" w:eastAsia="仿宋_GB2312"/>
          <w:b/>
          <w:kern w:val="0"/>
          <w:sz w:val="28"/>
          <w:szCs w:val="32"/>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 xml:space="preserve">中共呼图壁县委员会政法委员会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8.10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8.10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0.40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0.40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7.70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7.70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r>
        <w:rPr>
          <w:rFonts w:hint="eastAsia" w:ascii="仿宋_GB2312" w:hAnsi="宋体" w:eastAsia="仿宋_GB2312"/>
          <w:b/>
          <w:kern w:val="0"/>
          <w:sz w:val="28"/>
          <w:szCs w:val="32"/>
        </w:rPr>
        <w:t>备注：呼图壁县委政法委</w:t>
      </w:r>
      <w:r>
        <w:rPr>
          <w:rFonts w:hint="eastAsia" w:ascii="仿宋_GB2312" w:hAnsi="宋体" w:eastAsia="仿宋_GB2312"/>
          <w:b/>
          <w:kern w:val="0"/>
          <w:sz w:val="28"/>
          <w:szCs w:val="32"/>
          <w:lang w:val="en-US" w:eastAsia="zh-CN"/>
        </w:rPr>
        <w:t>2024年</w:t>
      </w:r>
      <w:r>
        <w:rPr>
          <w:rFonts w:hint="eastAsia" w:ascii="仿宋_GB2312" w:hAnsi="宋体" w:eastAsia="仿宋_GB2312"/>
          <w:b/>
          <w:kern w:val="0"/>
          <w:sz w:val="28"/>
          <w:szCs w:val="32"/>
        </w:rPr>
        <w:t>无</w:t>
      </w:r>
      <w:r>
        <w:rPr>
          <w:rFonts w:hint="eastAsia" w:ascii="仿宋_GB2312" w:hAnsi="宋体" w:eastAsia="仿宋_GB2312"/>
          <w:b/>
          <w:kern w:val="0"/>
          <w:sz w:val="28"/>
          <w:szCs w:val="32"/>
          <w:lang w:val="en-US" w:eastAsia="zh-CN"/>
        </w:rPr>
        <w:t>上年结转结余</w:t>
      </w:r>
      <w:r>
        <w:rPr>
          <w:rFonts w:hint="eastAsia" w:ascii="仿宋_GB2312" w:hAnsi="宋体" w:eastAsia="仿宋_GB2312"/>
          <w:b/>
          <w:kern w:val="0"/>
          <w:sz w:val="28"/>
          <w:szCs w:val="32"/>
        </w:rPr>
        <w:t>，此表为空</w:t>
      </w:r>
      <w:r>
        <w:rPr>
          <w:rFonts w:hint="eastAsia" w:ascii="仿宋_GB2312" w:hAnsi="宋体" w:eastAsia="仿宋_GB2312"/>
          <w:b/>
          <w:kern w:val="0"/>
          <w:sz w:val="28"/>
          <w:szCs w:val="32"/>
          <w:lang w:val="en-US" w:eastAsia="zh-CN"/>
        </w:rPr>
        <w:t>表</w:t>
      </w:r>
      <w:r>
        <w:rPr>
          <w:rFonts w:hint="eastAsia" w:ascii="仿宋_GB2312" w:hAnsi="宋体" w:eastAsia="仿宋_GB2312"/>
          <w:b/>
          <w:kern w:val="0"/>
          <w:sz w:val="28"/>
          <w:szCs w:val="32"/>
        </w:rPr>
        <w:t>。</w:t>
      </w: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单位</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按照全口径预算的原则，中共呼图壁县委员会政法委员会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2005.49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1696.49万元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309万元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1748.54万元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122.93万元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65.23万元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68.79万元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中共呼图壁县委员会政法委员会收入预算</w:t>
      </w:r>
      <w:r>
        <w:rPr>
          <w:rFonts w:hint="eastAsia" w:ascii="仿宋_GB2312" w:hAnsi="宋体" w:eastAsia="仿宋_GB2312" w:cs="宋体"/>
          <w:color w:val="auto"/>
          <w:kern w:val="0"/>
          <w:sz w:val="32"/>
          <w:szCs w:val="32"/>
          <w:highlight w:val="none"/>
          <w:lang w:val="en-US" w:eastAsia="zh-CN"/>
        </w:rPr>
        <w:t>2005.49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1696.49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84.59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385.87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29.44%，</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一</w:t>
      </w:r>
      <w:r>
        <w:rPr>
          <w:rFonts w:hint="eastAsia" w:ascii="仿宋_GB2312" w:hAnsi="宋体" w:eastAsia="仿宋_GB2312" w:cs="宋体"/>
          <w:color w:val="auto"/>
          <w:kern w:val="0"/>
          <w:sz w:val="32"/>
          <w:szCs w:val="32"/>
          <w:highlight w:val="none"/>
        </w:rPr>
        <w:t>是</w:t>
      </w:r>
      <w:r>
        <w:rPr>
          <w:rFonts w:hint="eastAsia" w:ascii="仿宋_GB2312" w:hAnsi="宋体" w:eastAsia="仿宋_GB2312" w:cs="宋体"/>
          <w:color w:val="auto"/>
          <w:kern w:val="0"/>
          <w:sz w:val="32"/>
          <w:szCs w:val="32"/>
          <w:highlight w:val="none"/>
          <w:lang w:val="en-US" w:eastAsia="zh-CN"/>
        </w:rPr>
        <w:t>2024年预算中全县接入互联网通讯费增加了254万元；二是增加了综合办公楼运转经费和城镇社区网格工作经费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1696.49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1748.54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15.41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47.14%，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2024年单位预算资金预算安排中增加援疆资金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中共呼图壁县委员会政法委员会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2005.49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923.49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46.05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318.7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52.7%，</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val="en-US" w:eastAsia="zh-CN"/>
        </w:rPr>
        <w:t>一</w:t>
      </w:r>
      <w:r>
        <w:rPr>
          <w:rFonts w:hint="eastAsia" w:ascii="仿宋_GB2312" w:hAnsi="宋体" w:eastAsia="仿宋_GB2312" w:cs="宋体"/>
          <w:color w:val="auto"/>
          <w:kern w:val="0"/>
          <w:sz w:val="32"/>
          <w:szCs w:val="32"/>
          <w:highlight w:val="none"/>
        </w:rPr>
        <w:t>是</w:t>
      </w:r>
      <w:r>
        <w:rPr>
          <w:rFonts w:hint="eastAsia" w:ascii="仿宋_GB2312" w:hAnsi="宋体" w:eastAsia="仿宋_GB2312" w:cs="宋体"/>
          <w:color w:val="auto"/>
          <w:kern w:val="0"/>
          <w:sz w:val="32"/>
          <w:szCs w:val="32"/>
          <w:highlight w:val="none"/>
          <w:lang w:val="en-US" w:eastAsia="zh-CN"/>
        </w:rPr>
        <w:t>2024年预算增加援疆资金；二是人员增加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1082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53.95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376.17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53.29%，</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一</w:t>
      </w:r>
      <w:r>
        <w:rPr>
          <w:rFonts w:hint="eastAsia" w:ascii="仿宋_GB2312" w:hAnsi="宋体" w:eastAsia="仿宋_GB2312" w:cs="宋体"/>
          <w:color w:val="auto"/>
          <w:kern w:val="0"/>
          <w:sz w:val="32"/>
          <w:szCs w:val="32"/>
          <w:highlight w:val="none"/>
        </w:rPr>
        <w:t>是</w:t>
      </w:r>
      <w:r>
        <w:rPr>
          <w:rFonts w:hint="eastAsia" w:ascii="仿宋_GB2312" w:hAnsi="宋体" w:eastAsia="仿宋_GB2312" w:cs="宋体"/>
          <w:color w:val="auto"/>
          <w:kern w:val="0"/>
          <w:sz w:val="32"/>
          <w:szCs w:val="32"/>
          <w:highlight w:val="none"/>
          <w:lang w:val="en-US" w:eastAsia="zh-CN"/>
        </w:rPr>
        <w:t>2024年预算中全县接入互联网通讯费增加了254万元；二是增加了综合办公楼运转经费和城镇社区网格工作经费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1696.49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1696.49</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1593.54</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rPr>
        <w:t>人员工资、社保、公用经费等；社会保障和就业支出</w:t>
      </w:r>
      <w:r>
        <w:rPr>
          <w:rFonts w:hint="eastAsia" w:ascii="仿宋_GB2312" w:hAnsi="宋体" w:eastAsia="仿宋_GB2312" w:cs="宋体"/>
          <w:kern w:val="0"/>
          <w:sz w:val="32"/>
          <w:szCs w:val="32"/>
          <w:lang w:val="en-US" w:eastAsia="zh-CN"/>
        </w:rPr>
        <w:t>44.93</w:t>
      </w:r>
      <w:r>
        <w:rPr>
          <w:rFonts w:hint="eastAsia" w:ascii="仿宋_GB2312" w:hAnsi="宋体" w:eastAsia="仿宋_GB2312" w:cs="宋体"/>
          <w:kern w:val="0"/>
          <w:sz w:val="32"/>
          <w:szCs w:val="32"/>
        </w:rPr>
        <w:t>万元，主要用于养老保险缴费；卫生健康支出25.</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3万元，主要用于城镇职工医疗保险缴费和公务员补助医疗缴费；住房保障支出</w:t>
      </w:r>
      <w:r>
        <w:rPr>
          <w:rFonts w:hint="eastAsia" w:ascii="仿宋_GB2312" w:hAnsi="宋体" w:eastAsia="仿宋_GB2312" w:cs="宋体"/>
          <w:kern w:val="0"/>
          <w:sz w:val="32"/>
          <w:szCs w:val="32"/>
          <w:lang w:val="en-US" w:eastAsia="zh-CN"/>
        </w:rPr>
        <w:t>32.79</w:t>
      </w:r>
      <w:r>
        <w:rPr>
          <w:rFonts w:hint="eastAsia" w:ascii="仿宋_GB2312" w:hAnsi="宋体" w:eastAsia="仿宋_GB2312" w:cs="宋体"/>
          <w:kern w:val="0"/>
          <w:sz w:val="32"/>
          <w:szCs w:val="32"/>
        </w:rPr>
        <w:t>万元，主要用于职工住房公积金缴费。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中共呼图壁县委员会政法委员会2024年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1696.49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614.49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9.7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事业编增加4人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1082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376.17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53.29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一</w:t>
      </w:r>
      <w:r>
        <w:rPr>
          <w:rFonts w:hint="eastAsia" w:ascii="仿宋_GB2312" w:hAnsi="宋体" w:eastAsia="仿宋_GB2312" w:cs="宋体"/>
          <w:color w:val="auto"/>
          <w:kern w:val="0"/>
          <w:sz w:val="32"/>
          <w:szCs w:val="32"/>
          <w:highlight w:val="none"/>
        </w:rPr>
        <w:t>是</w:t>
      </w:r>
      <w:r>
        <w:rPr>
          <w:rFonts w:hint="eastAsia" w:ascii="仿宋_GB2312" w:hAnsi="宋体" w:eastAsia="仿宋_GB2312" w:cs="宋体"/>
          <w:color w:val="auto"/>
          <w:kern w:val="0"/>
          <w:sz w:val="32"/>
          <w:szCs w:val="32"/>
          <w:highlight w:val="none"/>
          <w:lang w:val="en-US" w:eastAsia="zh-CN"/>
        </w:rPr>
        <w:t>2024年预算中全县接入互联网通讯费增加了254万元；二是增加了综合办公楼运转经费和城镇社区网格工作经费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w:t>
      </w:r>
      <w:r>
        <w:rPr>
          <w:rFonts w:hint="eastAsia" w:ascii="仿宋_GB2312" w:eastAsia="仿宋_GB2312"/>
          <w:sz w:val="32"/>
          <w:szCs w:val="32"/>
          <w:lang w:val="en-US" w:eastAsia="zh-CN"/>
        </w:rPr>
        <w:t>支出</w:t>
      </w:r>
      <w:r>
        <w:rPr>
          <w:rFonts w:hint="eastAsia" w:ascii="仿宋_GB2312" w:eastAsia="仿宋_GB2312"/>
          <w:sz w:val="32"/>
          <w:szCs w:val="32"/>
        </w:rPr>
        <w:t>（类）</w:t>
      </w:r>
      <w:r>
        <w:rPr>
          <w:rFonts w:hint="eastAsia" w:ascii="仿宋_GB2312" w:eastAsia="仿宋_GB2312"/>
          <w:sz w:val="32"/>
          <w:szCs w:val="32"/>
          <w:lang w:val="en-US" w:eastAsia="zh-CN"/>
        </w:rPr>
        <w:t>1593.54</w:t>
      </w:r>
      <w:r>
        <w:rPr>
          <w:rFonts w:hint="eastAsia" w:ascii="仿宋_GB2312" w:hAnsi="宋体" w:eastAsia="仿宋_GB2312" w:cs="宋体"/>
          <w:kern w:val="0"/>
          <w:sz w:val="32"/>
          <w:szCs w:val="32"/>
        </w:rPr>
        <w:t>万元，占93.</w:t>
      </w:r>
      <w:r>
        <w:rPr>
          <w:rFonts w:hint="eastAsia" w:ascii="仿宋_GB2312" w:hAnsi="宋体" w:eastAsia="仿宋_GB2312" w:cs="宋体"/>
          <w:kern w:val="0"/>
          <w:sz w:val="32"/>
          <w:szCs w:val="32"/>
          <w:lang w:val="en-US" w:eastAsia="zh-CN"/>
        </w:rPr>
        <w:t>93</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w:t>
      </w:r>
      <w:r>
        <w:rPr>
          <w:rFonts w:hint="eastAsia" w:ascii="仿宋_GB2312" w:eastAsia="仿宋_GB2312"/>
          <w:sz w:val="32"/>
          <w:szCs w:val="32"/>
        </w:rPr>
        <w:t>（类）</w:t>
      </w:r>
      <w:r>
        <w:rPr>
          <w:rFonts w:hint="eastAsia" w:ascii="仿宋_GB2312" w:hAnsi="宋体" w:eastAsia="仿宋_GB2312" w:cs="宋体"/>
          <w:kern w:val="0"/>
          <w:sz w:val="32"/>
          <w:szCs w:val="32"/>
          <w:lang w:val="en-US" w:eastAsia="zh-CN"/>
        </w:rPr>
        <w:t>44.93</w:t>
      </w:r>
      <w:r>
        <w:rPr>
          <w:rFonts w:hint="eastAsia" w:ascii="仿宋_GB2312" w:hAnsi="宋体" w:eastAsia="仿宋_GB2312" w:cs="宋体"/>
          <w:kern w:val="0"/>
          <w:sz w:val="32"/>
          <w:szCs w:val="32"/>
        </w:rPr>
        <w:t>万元，占2.</w:t>
      </w:r>
      <w:r>
        <w:rPr>
          <w:rFonts w:hint="eastAsia" w:ascii="仿宋_GB2312" w:hAnsi="宋体" w:eastAsia="仿宋_GB2312" w:cs="宋体"/>
          <w:kern w:val="0"/>
          <w:sz w:val="32"/>
          <w:szCs w:val="32"/>
          <w:lang w:val="en-US" w:eastAsia="zh-CN"/>
        </w:rPr>
        <w:t>65</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.卫生健康支出</w:t>
      </w:r>
      <w:r>
        <w:rPr>
          <w:rFonts w:hint="eastAsia" w:ascii="仿宋_GB2312" w:eastAsia="仿宋_GB2312"/>
          <w:sz w:val="32"/>
          <w:szCs w:val="32"/>
        </w:rPr>
        <w:t>（类）</w:t>
      </w:r>
      <w:r>
        <w:rPr>
          <w:rFonts w:hint="eastAsia" w:ascii="仿宋_GB2312" w:hAnsi="宋体" w:eastAsia="仿宋_GB2312" w:cs="宋体"/>
          <w:kern w:val="0"/>
          <w:sz w:val="32"/>
          <w:szCs w:val="32"/>
        </w:rPr>
        <w:t>25.</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3万元，占1.</w:t>
      </w:r>
      <w:r>
        <w:rPr>
          <w:rFonts w:hint="eastAsia" w:ascii="仿宋_GB2312" w:hAnsi="宋体" w:eastAsia="仿宋_GB2312" w:cs="宋体"/>
          <w:kern w:val="0"/>
          <w:sz w:val="32"/>
          <w:szCs w:val="32"/>
          <w:lang w:val="en-US" w:eastAsia="zh-CN"/>
        </w:rPr>
        <w:t>49</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.住房保障支出</w:t>
      </w:r>
      <w:r>
        <w:rPr>
          <w:rFonts w:hint="eastAsia" w:ascii="仿宋_GB2312" w:eastAsia="仿宋_GB2312"/>
          <w:sz w:val="32"/>
          <w:szCs w:val="32"/>
        </w:rPr>
        <w:t>（类）</w:t>
      </w:r>
      <w:r>
        <w:rPr>
          <w:rFonts w:hint="eastAsia" w:ascii="仿宋_GB2312" w:hAnsi="宋体" w:eastAsia="仿宋_GB2312" w:cs="宋体"/>
          <w:kern w:val="0"/>
          <w:sz w:val="32"/>
          <w:szCs w:val="32"/>
          <w:lang w:val="en-US" w:eastAsia="zh-CN"/>
        </w:rPr>
        <w:t>32.79</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1.93</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一般公共服务（类）</w:t>
      </w:r>
      <w:r>
        <w:rPr>
          <w:rFonts w:hint="eastAsia" w:ascii="仿宋_GB2312" w:hAnsi="宋体" w:eastAsia="仿宋_GB2312" w:cs="宋体"/>
          <w:kern w:val="0"/>
          <w:sz w:val="32"/>
          <w:szCs w:val="32"/>
        </w:rPr>
        <w:t>党委办公厅（室）及相关机构事务</w:t>
      </w:r>
      <w:r>
        <w:rPr>
          <w:rFonts w:ascii="仿宋_GB2312" w:hAnsi="宋体" w:eastAsia="仿宋_GB2312" w:cs="宋体"/>
          <w:kern w:val="0"/>
          <w:sz w:val="32"/>
          <w:szCs w:val="32"/>
        </w:rPr>
        <w:t>（款）行政运行（项）: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 xml:space="preserve">511.54 </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val="en-US" w:eastAsia="zh-CN"/>
        </w:rPr>
        <w:t>减少713.51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下降58.24</w:t>
      </w:r>
      <w:r>
        <w:rPr>
          <w:rFonts w:hint="eastAsia" w:ascii="仿宋_GB2312" w:hAnsi="宋体" w:eastAsia="仿宋_GB2312" w:cs="宋体"/>
          <w:kern w:val="0"/>
          <w:sz w:val="32"/>
          <w:szCs w:val="32"/>
        </w:rPr>
        <w:t>%，主要原因是：202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预算项目支出功能分类调整</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2.一般行政管理事务（项）</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1082</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1082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一是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预算项目支出功能分类调整</w:t>
      </w:r>
      <w:r>
        <w:rPr>
          <w:rFonts w:hint="eastAsia" w:ascii="仿宋_GB2312" w:hAnsi="宋体" w:eastAsia="仿宋_GB2312" w:cs="宋体"/>
          <w:kern w:val="0"/>
          <w:sz w:val="32"/>
          <w:szCs w:val="32"/>
          <w:lang w:eastAsia="zh-CN"/>
        </w:rPr>
        <w:t>；</w:t>
      </w:r>
      <w:r>
        <w:rPr>
          <w:rFonts w:hint="eastAsia" w:ascii="仿宋_GB2312" w:hAnsi="宋体" w:eastAsia="仿宋_GB2312" w:cs="宋体"/>
          <w:color w:val="auto"/>
          <w:kern w:val="0"/>
          <w:sz w:val="32"/>
          <w:szCs w:val="32"/>
          <w:highlight w:val="none"/>
          <w:lang w:val="en-US" w:eastAsia="zh-CN"/>
        </w:rPr>
        <w:t>二</w:t>
      </w:r>
      <w:r>
        <w:rPr>
          <w:rFonts w:hint="eastAsia" w:ascii="仿宋_GB2312" w:hAnsi="宋体" w:eastAsia="仿宋_GB2312" w:cs="宋体"/>
          <w:color w:val="auto"/>
          <w:kern w:val="0"/>
          <w:sz w:val="32"/>
          <w:szCs w:val="32"/>
          <w:highlight w:val="none"/>
        </w:rPr>
        <w:t>是</w:t>
      </w:r>
      <w:r>
        <w:rPr>
          <w:rFonts w:hint="eastAsia" w:ascii="仿宋_GB2312" w:hAnsi="宋体" w:eastAsia="仿宋_GB2312" w:cs="宋体"/>
          <w:color w:val="auto"/>
          <w:kern w:val="0"/>
          <w:sz w:val="32"/>
          <w:szCs w:val="32"/>
          <w:highlight w:val="none"/>
          <w:lang w:val="en-US" w:eastAsia="zh-CN"/>
        </w:rPr>
        <w:t>2024年预算中全县接入互联网通讯费增加了254万元；三是增加了综合办公楼运转经费和城镇社区网格工作经费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rPr>
        <w:t xml:space="preserve">   </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.社会保障和就业支出</w:t>
      </w:r>
      <w:r>
        <w:rPr>
          <w:rFonts w:ascii="仿宋_GB2312" w:hAnsi="宋体" w:eastAsia="仿宋_GB2312" w:cs="宋体"/>
          <w:color w:val="auto"/>
          <w:kern w:val="0"/>
          <w:sz w:val="32"/>
          <w:szCs w:val="32"/>
        </w:rPr>
        <w:t>（类）</w:t>
      </w:r>
      <w:r>
        <w:rPr>
          <w:rFonts w:hint="eastAsia" w:ascii="仿宋_GB2312" w:hAnsi="宋体" w:eastAsia="仿宋_GB2312" w:cs="宋体"/>
          <w:color w:val="auto"/>
          <w:kern w:val="0"/>
          <w:sz w:val="32"/>
          <w:szCs w:val="32"/>
        </w:rPr>
        <w:t>行政事业单位养老支出</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rPr>
        <w:t>行政单位离退休</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项</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lang w:val="en-US" w:eastAsia="zh-CN"/>
        </w:rPr>
        <w:t>5.58</w:t>
      </w:r>
      <w:r>
        <w:rPr>
          <w:rFonts w:hint="eastAsia" w:ascii="仿宋_GB2312" w:hAnsi="宋体" w:eastAsia="仿宋_GB2312" w:cs="宋体"/>
          <w:color w:val="auto"/>
          <w:kern w:val="0"/>
          <w:sz w:val="32"/>
          <w:szCs w:val="32"/>
        </w:rPr>
        <w:t>万元，比上年预算增加</w:t>
      </w:r>
      <w:r>
        <w:rPr>
          <w:rFonts w:hint="eastAsia" w:ascii="仿宋_GB2312" w:hAnsi="宋体" w:eastAsia="仿宋_GB2312" w:cs="宋体"/>
          <w:color w:val="auto"/>
          <w:kern w:val="0"/>
          <w:sz w:val="32"/>
          <w:szCs w:val="32"/>
          <w:lang w:val="en-US" w:eastAsia="zh-CN"/>
        </w:rPr>
        <w:t>5.58</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100</w:t>
      </w:r>
      <w:r>
        <w:rPr>
          <w:rFonts w:hint="eastAsia" w:ascii="仿宋_GB2312" w:hAnsi="宋体" w:eastAsia="仿宋_GB2312" w:cs="宋体"/>
          <w:color w:val="auto"/>
          <w:kern w:val="0"/>
          <w:sz w:val="32"/>
          <w:szCs w:val="32"/>
        </w:rPr>
        <w:t>%，原因是202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w:t>
      </w:r>
      <w:r>
        <w:rPr>
          <w:rFonts w:hint="eastAsia" w:ascii="仿宋_GB2312" w:hAnsi="宋体" w:eastAsia="仿宋_GB2312" w:cs="宋体"/>
          <w:color w:val="auto"/>
          <w:kern w:val="0"/>
          <w:sz w:val="32"/>
          <w:szCs w:val="32"/>
          <w:lang w:val="en-US" w:eastAsia="zh-CN"/>
        </w:rPr>
        <w:t>预算支出功能分类调整。</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机关事业单位基本养老保险</w:t>
      </w:r>
      <w:r>
        <w:rPr>
          <w:rFonts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lang w:val="en-US" w:eastAsia="zh-CN"/>
        </w:rPr>
        <w:t>39.35</w:t>
      </w:r>
      <w:r>
        <w:rPr>
          <w:rFonts w:hint="eastAsia" w:ascii="仿宋_GB2312" w:hAnsi="宋体" w:eastAsia="仿宋_GB2312" w:cs="宋体"/>
          <w:color w:val="auto"/>
          <w:kern w:val="0"/>
          <w:sz w:val="32"/>
          <w:szCs w:val="32"/>
        </w:rPr>
        <w:t>万元，比上年预算增加6.0</w:t>
      </w:r>
      <w:r>
        <w:rPr>
          <w:rFonts w:hint="eastAsia" w:ascii="仿宋_GB2312" w:hAnsi="宋体" w:eastAsia="仿宋_GB2312" w:cs="宋体"/>
          <w:color w:val="auto"/>
          <w:kern w:val="0"/>
          <w:sz w:val="32"/>
          <w:szCs w:val="32"/>
          <w:lang w:val="en-US" w:eastAsia="zh-CN"/>
        </w:rPr>
        <w:t>8</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18.27</w:t>
      </w:r>
      <w:r>
        <w:rPr>
          <w:rFonts w:hint="eastAsia" w:ascii="仿宋_GB2312" w:hAnsi="宋体" w:eastAsia="仿宋_GB2312" w:cs="宋体"/>
          <w:color w:val="auto"/>
          <w:kern w:val="0"/>
          <w:sz w:val="32"/>
          <w:szCs w:val="32"/>
        </w:rPr>
        <w:t>%，原因是202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w:t>
      </w:r>
      <w:r>
        <w:rPr>
          <w:rFonts w:hint="eastAsia" w:ascii="仿宋_GB2312" w:hAnsi="宋体" w:eastAsia="仿宋_GB2312" w:cs="宋体"/>
          <w:color w:val="auto"/>
          <w:kern w:val="0"/>
          <w:sz w:val="32"/>
          <w:szCs w:val="32"/>
          <w:lang w:val="en-US" w:eastAsia="zh-CN"/>
        </w:rPr>
        <w:t>事业编制增加4人</w:t>
      </w:r>
      <w:r>
        <w:rPr>
          <w:rFonts w:hint="eastAsia" w:ascii="仿宋_GB2312" w:hAnsi="宋体" w:eastAsia="仿宋_GB2312" w:cs="宋体"/>
          <w:color w:val="auto"/>
          <w:kern w:val="0"/>
          <w:sz w:val="32"/>
          <w:szCs w:val="32"/>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.卫生健康支出</w:t>
      </w:r>
      <w:r>
        <w:rPr>
          <w:rFonts w:ascii="仿宋_GB2312" w:hAnsi="宋体" w:eastAsia="仿宋_GB2312" w:cs="宋体"/>
          <w:kern w:val="0"/>
          <w:sz w:val="32"/>
          <w:szCs w:val="32"/>
        </w:rPr>
        <w:t>（类）</w:t>
      </w:r>
      <w:r>
        <w:rPr>
          <w:rFonts w:hint="eastAsia" w:ascii="仿宋_GB2312" w:hAnsi="宋体" w:eastAsia="仿宋_GB2312" w:cs="宋体"/>
          <w:kern w:val="0"/>
          <w:sz w:val="32"/>
          <w:szCs w:val="32"/>
        </w:rPr>
        <w:t>行政事业单位医疗</w:t>
      </w:r>
      <w:r>
        <w:rPr>
          <w:rFonts w:ascii="仿宋_GB2312" w:hAnsi="宋体" w:eastAsia="仿宋_GB2312" w:cs="宋体"/>
          <w:kern w:val="0"/>
          <w:sz w:val="32"/>
          <w:szCs w:val="32"/>
        </w:rPr>
        <w:t>（款）</w:t>
      </w:r>
      <w:r>
        <w:rPr>
          <w:rFonts w:hint="eastAsia" w:ascii="仿宋_GB2312" w:hAnsi="宋体" w:eastAsia="仿宋_GB2312" w:cs="宋体"/>
          <w:kern w:val="0"/>
          <w:sz w:val="32"/>
          <w:szCs w:val="32"/>
        </w:rPr>
        <w:t>行政单位医疗</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7.54</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val="en-US" w:eastAsia="zh-CN"/>
        </w:rPr>
        <w:t>减少17.76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下降70.20</w:t>
      </w:r>
      <w:r>
        <w:rPr>
          <w:rFonts w:hint="eastAsia" w:ascii="仿宋_GB2312" w:hAnsi="宋体" w:eastAsia="仿宋_GB2312" w:cs="宋体"/>
          <w:kern w:val="0"/>
          <w:sz w:val="32"/>
          <w:szCs w:val="32"/>
        </w:rPr>
        <w:t>%，主要原因是：202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年预算中</w:t>
      </w:r>
      <w:r>
        <w:rPr>
          <w:rFonts w:hint="eastAsia" w:ascii="仿宋_GB2312" w:hAnsi="宋体" w:eastAsia="仿宋_GB2312" w:cs="宋体"/>
          <w:kern w:val="0"/>
          <w:sz w:val="32"/>
          <w:szCs w:val="32"/>
          <w:lang w:val="en-US" w:eastAsia="zh-CN"/>
        </w:rPr>
        <w:t>将事业单位医疗单列</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6.事业</w:t>
      </w:r>
      <w:r>
        <w:rPr>
          <w:rFonts w:hint="eastAsia" w:ascii="仿宋_GB2312" w:hAnsi="宋体" w:eastAsia="仿宋_GB2312" w:cs="宋体"/>
          <w:kern w:val="0"/>
          <w:sz w:val="32"/>
          <w:szCs w:val="32"/>
        </w:rPr>
        <w:t>单位医疗</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12.13</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val="en-US" w:eastAsia="zh-CN"/>
        </w:rPr>
        <w:t>增加12.13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，主要原因是：202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年预算中</w:t>
      </w:r>
      <w:r>
        <w:rPr>
          <w:rFonts w:hint="eastAsia" w:ascii="仿宋_GB2312" w:hAnsi="宋体" w:eastAsia="仿宋_GB2312" w:cs="宋体"/>
          <w:kern w:val="0"/>
          <w:sz w:val="32"/>
          <w:szCs w:val="32"/>
          <w:lang w:val="en-US" w:eastAsia="zh-CN"/>
        </w:rPr>
        <w:t>将事业单位医疗单列。</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7.公务员医疗补助（项）：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5.41</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val="en-US" w:eastAsia="zh-CN"/>
        </w:rPr>
        <w:t>增加5.41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，主要原因是：202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年预算中</w:t>
      </w:r>
      <w:r>
        <w:rPr>
          <w:rFonts w:hint="eastAsia" w:ascii="仿宋_GB2312" w:hAnsi="宋体" w:eastAsia="仿宋_GB2312" w:cs="宋体"/>
          <w:kern w:val="0"/>
          <w:sz w:val="32"/>
          <w:szCs w:val="32"/>
          <w:lang w:val="en-US" w:eastAsia="zh-CN"/>
        </w:rPr>
        <w:t>将公务员医疗补助单列。</w:t>
      </w:r>
    </w:p>
    <w:p>
      <w:pPr>
        <w:spacing w:line="560" w:lineRule="exact"/>
        <w:ind w:firstLine="640" w:firstLineChars="200"/>
        <w:rPr>
          <w:rFonts w:hint="default" w:ascii="仿宋_GB2312" w:hAnsi="宋体" w:eastAsia="仿宋_GB2312" w:cs="宋体"/>
          <w:kern w:val="0"/>
          <w:sz w:val="32"/>
          <w:szCs w:val="32"/>
          <w:lang w:val="en-US"/>
        </w:rPr>
      </w:pPr>
      <w:r>
        <w:rPr>
          <w:rFonts w:hint="eastAsia" w:ascii="仿宋_GB2312" w:hAnsi="宋体" w:eastAsia="仿宋_GB2312" w:cs="宋体"/>
          <w:kern w:val="0"/>
          <w:sz w:val="32"/>
          <w:szCs w:val="32"/>
          <w:lang w:val="en-US" w:eastAsia="zh-CN"/>
        </w:rPr>
        <w:t>8.其他行政事业单位医疗支出（项）：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0.15</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val="en-US" w:eastAsia="zh-CN"/>
        </w:rPr>
        <w:t>增加0.15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，主要原因是：202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年预算中</w:t>
      </w:r>
      <w:r>
        <w:rPr>
          <w:rFonts w:hint="eastAsia" w:ascii="仿宋_GB2312" w:hAnsi="宋体" w:eastAsia="仿宋_GB2312" w:cs="宋体"/>
          <w:kern w:val="0"/>
          <w:sz w:val="32"/>
          <w:szCs w:val="32"/>
          <w:lang w:val="en-US" w:eastAsia="zh-CN"/>
        </w:rPr>
        <w:t>将其他行政事业单位医疗支出单列。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.住房保障支出</w:t>
      </w:r>
      <w:r>
        <w:rPr>
          <w:rFonts w:ascii="仿宋_GB2312" w:hAnsi="宋体" w:eastAsia="仿宋_GB2312" w:cs="宋体"/>
          <w:kern w:val="0"/>
          <w:sz w:val="32"/>
          <w:szCs w:val="32"/>
        </w:rPr>
        <w:t>（类）</w:t>
      </w:r>
      <w:r>
        <w:rPr>
          <w:rFonts w:hint="eastAsia" w:ascii="仿宋_GB2312" w:hAnsi="宋体" w:eastAsia="仿宋_GB2312" w:cs="宋体"/>
          <w:kern w:val="0"/>
          <w:sz w:val="32"/>
          <w:szCs w:val="32"/>
        </w:rPr>
        <w:t>住房改革支出</w:t>
      </w:r>
      <w:r>
        <w:rPr>
          <w:rFonts w:ascii="仿宋_GB2312" w:hAnsi="宋体" w:eastAsia="仿宋_GB2312" w:cs="宋体"/>
          <w:kern w:val="0"/>
          <w:sz w:val="32"/>
          <w:szCs w:val="32"/>
        </w:rPr>
        <w:t>（款）</w:t>
      </w:r>
      <w:r>
        <w:rPr>
          <w:rFonts w:hint="eastAsia" w:ascii="仿宋_GB2312" w:hAnsi="宋体" w:eastAsia="仿宋_GB2312" w:cs="宋体"/>
          <w:kern w:val="0"/>
          <w:sz w:val="32"/>
          <w:szCs w:val="32"/>
        </w:rPr>
        <w:t>住房公积金</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32.79</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5.79</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21.44</w:t>
      </w:r>
      <w:r>
        <w:rPr>
          <w:rFonts w:hint="eastAsia" w:ascii="仿宋_GB2312" w:hAnsi="宋体" w:eastAsia="仿宋_GB2312" w:cs="宋体"/>
          <w:kern w:val="0"/>
          <w:sz w:val="32"/>
          <w:szCs w:val="32"/>
        </w:rPr>
        <w:t>%，主要原因是：202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年预算中</w:t>
      </w:r>
      <w:r>
        <w:rPr>
          <w:rFonts w:hint="eastAsia" w:ascii="仿宋_GB2312" w:hAnsi="宋体" w:eastAsia="仿宋_GB2312" w:cs="宋体"/>
          <w:kern w:val="0"/>
          <w:sz w:val="32"/>
          <w:szCs w:val="32"/>
          <w:lang w:val="en-US" w:eastAsia="zh-CN"/>
        </w:rPr>
        <w:t>增加4人及工资上涨、基数增加</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中共呼图壁县委员会政法委员会2024年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614.49</w:t>
      </w:r>
      <w:r>
        <w:rPr>
          <w:rFonts w:hint="eastAsia" w:ascii="仿宋_GB2312" w:hAnsi="宋体" w:eastAsia="仿宋_GB2312" w:cs="宋体"/>
          <w:color w:val="auto"/>
          <w:spacing w:val="-6"/>
          <w:kern w:val="0"/>
          <w:sz w:val="32"/>
          <w:szCs w:val="32"/>
          <w:highlight w:val="none"/>
        </w:rPr>
        <w:t>万元， 其中：</w:t>
      </w:r>
    </w:p>
    <w:p>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479.11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奖励金、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135.38</w:t>
      </w:r>
      <w:r>
        <w:rPr>
          <w:rFonts w:hint="eastAsia" w:ascii="仿宋_GB2312" w:hAnsi="宋体" w:eastAsia="仿宋_GB2312" w:cs="宋体"/>
          <w:color w:val="auto"/>
          <w:kern w:val="0"/>
          <w:sz w:val="32"/>
          <w:szCs w:val="32"/>
          <w:highlight w:val="none"/>
        </w:rPr>
        <w:t>万元，主要包括：</w:t>
      </w:r>
      <w:r>
        <w:rPr>
          <w:rFonts w:hint="eastAsia" w:ascii="仿宋_GB2312" w:hAnsi="宋体" w:eastAsia="仿宋_GB2312" w:cs="宋体"/>
          <w:color w:val="auto"/>
          <w:kern w:val="0"/>
          <w:sz w:val="32"/>
          <w:szCs w:val="32"/>
          <w:highlight w:val="none"/>
          <w:lang w:val="en-US" w:eastAsia="zh-CN"/>
        </w:rPr>
        <w:t>劳务费、</w:t>
      </w:r>
      <w:r>
        <w:rPr>
          <w:rFonts w:hint="eastAsia" w:ascii="仿宋_GB2312" w:hAnsi="宋体" w:eastAsia="仿宋_GB2312" w:cs="宋体"/>
          <w:sz w:val="32"/>
          <w:szCs w:val="32"/>
        </w:rPr>
        <w:t>办公费、</w:t>
      </w:r>
      <w:r>
        <w:rPr>
          <w:rFonts w:hint="eastAsia" w:ascii="仿宋_GB2312" w:hAnsi="宋体" w:eastAsia="仿宋_GB2312" w:cs="宋体"/>
          <w:color w:val="auto"/>
          <w:kern w:val="0"/>
          <w:sz w:val="32"/>
          <w:szCs w:val="32"/>
          <w:highlight w:val="none"/>
        </w:rPr>
        <w:t>印刷费、</w:t>
      </w:r>
      <w:r>
        <w:rPr>
          <w:rFonts w:hint="eastAsia" w:ascii="仿宋_GB2312" w:hAnsi="宋体" w:eastAsia="仿宋_GB2312" w:cs="宋体"/>
          <w:color w:val="auto"/>
          <w:kern w:val="0"/>
          <w:sz w:val="32"/>
          <w:szCs w:val="32"/>
          <w:highlight w:val="none"/>
          <w:lang w:val="en-US" w:eastAsia="zh-CN"/>
        </w:rPr>
        <w:t>水费、</w:t>
      </w:r>
      <w:r>
        <w:rPr>
          <w:rFonts w:hint="eastAsia" w:ascii="仿宋_GB2312" w:hAnsi="宋体" w:eastAsia="仿宋_GB2312" w:cs="宋体"/>
          <w:sz w:val="32"/>
          <w:szCs w:val="32"/>
        </w:rPr>
        <w:t>电费、邮电费、</w:t>
      </w:r>
      <w:r>
        <w:rPr>
          <w:rFonts w:hint="eastAsia" w:ascii="仿宋_GB2312" w:hAnsi="宋体" w:eastAsia="仿宋_GB2312" w:cs="宋体"/>
          <w:kern w:val="0"/>
          <w:sz w:val="32"/>
          <w:szCs w:val="32"/>
        </w:rPr>
        <w:t>取暖费、</w:t>
      </w:r>
      <w:r>
        <w:rPr>
          <w:rFonts w:hint="eastAsia" w:ascii="仿宋_GB2312" w:hAnsi="宋体" w:eastAsia="仿宋_GB2312" w:cs="宋体"/>
          <w:color w:val="auto"/>
          <w:kern w:val="0"/>
          <w:sz w:val="32"/>
          <w:szCs w:val="32"/>
          <w:highlight w:val="none"/>
        </w:rPr>
        <w:t>差旅费、公务接待费、</w:t>
      </w:r>
      <w:r>
        <w:rPr>
          <w:rFonts w:hint="eastAsia" w:ascii="仿宋_GB2312" w:hAnsi="宋体" w:eastAsia="仿宋_GB2312" w:cs="宋体"/>
          <w:kern w:val="0"/>
          <w:sz w:val="32"/>
          <w:szCs w:val="32"/>
        </w:rPr>
        <w:t>公务用车运行维护费、工会经费。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年</w:t>
      </w:r>
      <w:r>
        <w:rPr>
          <w:rFonts w:hint="eastAsia" w:ascii="仿宋_GB2312" w:hAnsi="宋体" w:eastAsia="仿宋_GB2312" w:cs="宋体"/>
          <w:color w:val="auto"/>
          <w:kern w:val="0"/>
          <w:sz w:val="32"/>
          <w:szCs w:val="32"/>
          <w:highlight w:val="none"/>
        </w:rPr>
        <w:t>综合办公楼运转经费项目（非定额）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21万元</w:t>
      </w:r>
      <w:r>
        <w:rPr>
          <w:rFonts w:hint="eastAsia" w:ascii="仿宋_GB2312" w:hAnsi="黑体" w:eastAsia="仿宋_GB2312"/>
          <w:color w:val="auto"/>
          <w:sz w:val="32"/>
          <w:szCs w:val="32"/>
          <w:highlight w:val="none"/>
          <w:lang w:val="en-US" w:eastAsia="zh-CN"/>
        </w:rPr>
        <w:t>主要用于</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年</w:t>
      </w:r>
      <w:r>
        <w:rPr>
          <w:rFonts w:hint="eastAsia" w:ascii="仿宋_GB2312" w:hAnsi="宋体" w:eastAsia="仿宋_GB2312" w:cs="宋体"/>
          <w:color w:val="auto"/>
          <w:kern w:val="0"/>
          <w:sz w:val="32"/>
          <w:szCs w:val="32"/>
          <w:highlight w:val="none"/>
        </w:rPr>
        <w:t>综合办公楼运转经费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sz w:val="32"/>
          <w:szCs w:val="32"/>
        </w:rPr>
        <w:t>办公费</w:t>
      </w:r>
      <w:r>
        <w:rPr>
          <w:rFonts w:hint="eastAsia" w:ascii="仿宋_GB2312" w:hAnsi="宋体" w:eastAsia="仿宋_GB2312" w:cs="宋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年</w:t>
      </w:r>
      <w:r>
        <w:rPr>
          <w:rFonts w:hint="eastAsia" w:ascii="仿宋_GB2312" w:hAnsi="宋体" w:eastAsia="仿宋_GB2312" w:cs="宋体"/>
          <w:color w:val="auto"/>
          <w:kern w:val="0"/>
          <w:sz w:val="32"/>
          <w:szCs w:val="32"/>
          <w:highlight w:val="none"/>
        </w:rPr>
        <w:t>综合办公楼运转经费项目（非定额）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4万元主要用于</w:t>
      </w:r>
      <w:r>
        <w:rPr>
          <w:rFonts w:hint="eastAsia" w:ascii="仿宋_GB2312" w:hAnsi="宋体" w:eastAsia="仿宋_GB2312" w:cs="宋体"/>
          <w:color w:val="auto"/>
          <w:kern w:val="0"/>
          <w:sz w:val="32"/>
          <w:szCs w:val="32"/>
          <w:highlight w:val="none"/>
        </w:rPr>
        <w:t>印刷费</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年</w:t>
      </w:r>
      <w:r>
        <w:rPr>
          <w:rFonts w:hint="eastAsia" w:ascii="仿宋_GB2312" w:hAnsi="宋体" w:eastAsia="仿宋_GB2312" w:cs="宋体"/>
          <w:color w:val="auto"/>
          <w:kern w:val="0"/>
          <w:sz w:val="32"/>
          <w:szCs w:val="32"/>
          <w:highlight w:val="none"/>
        </w:rPr>
        <w:t>综合办公楼运转经费项目（非定额）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主要用于</w:t>
      </w:r>
      <w:r>
        <w:rPr>
          <w:rFonts w:hint="eastAsia" w:ascii="仿宋_GB2312" w:hAnsi="宋体" w:eastAsia="仿宋_GB2312" w:cs="宋体"/>
          <w:color w:val="auto"/>
          <w:kern w:val="0"/>
          <w:sz w:val="32"/>
          <w:szCs w:val="32"/>
          <w:highlight w:val="none"/>
          <w:lang w:val="en-US" w:eastAsia="zh-CN"/>
        </w:rPr>
        <w:t>水费。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年</w:t>
      </w:r>
      <w:r>
        <w:rPr>
          <w:rFonts w:hint="eastAsia" w:ascii="仿宋_GB2312" w:hAnsi="宋体" w:eastAsia="仿宋_GB2312" w:cs="宋体"/>
          <w:color w:val="auto"/>
          <w:kern w:val="0"/>
          <w:sz w:val="32"/>
          <w:szCs w:val="32"/>
          <w:highlight w:val="none"/>
        </w:rPr>
        <w:t>综合办公楼运转经费项目（非定额）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主要用于</w:t>
      </w:r>
      <w:r>
        <w:rPr>
          <w:rFonts w:hint="eastAsia" w:ascii="仿宋_GB2312" w:hAnsi="宋体" w:eastAsia="仿宋_GB2312" w:cs="宋体"/>
          <w:sz w:val="32"/>
          <w:szCs w:val="32"/>
        </w:rPr>
        <w:t>电费</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年</w:t>
      </w:r>
      <w:r>
        <w:rPr>
          <w:rFonts w:hint="eastAsia" w:ascii="仿宋_GB2312" w:hAnsi="宋体" w:eastAsia="仿宋_GB2312" w:cs="宋体"/>
          <w:color w:val="auto"/>
          <w:kern w:val="0"/>
          <w:sz w:val="32"/>
          <w:szCs w:val="32"/>
          <w:highlight w:val="none"/>
        </w:rPr>
        <w:t>综合办公楼运转经费项目（非定额）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主要用于</w:t>
      </w:r>
      <w:r>
        <w:rPr>
          <w:rFonts w:hint="eastAsia" w:ascii="仿宋_GB2312" w:hAnsi="宋体" w:eastAsia="仿宋_GB2312" w:cs="宋体"/>
          <w:sz w:val="32"/>
          <w:szCs w:val="32"/>
        </w:rPr>
        <w:t>邮电费</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年</w:t>
      </w:r>
      <w:r>
        <w:rPr>
          <w:rFonts w:hint="eastAsia" w:ascii="仿宋_GB2312" w:hAnsi="宋体" w:eastAsia="仿宋_GB2312" w:cs="宋体"/>
          <w:color w:val="auto"/>
          <w:kern w:val="0"/>
          <w:sz w:val="32"/>
          <w:szCs w:val="32"/>
          <w:highlight w:val="none"/>
        </w:rPr>
        <w:t>综合办公楼运转经费项目（非定额）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主要用于</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年</w:t>
      </w:r>
      <w:r>
        <w:rPr>
          <w:rFonts w:hint="eastAsia" w:ascii="仿宋_GB2312" w:hAnsi="宋体" w:eastAsia="仿宋_GB2312" w:cs="宋体"/>
          <w:color w:val="auto"/>
          <w:kern w:val="0"/>
          <w:sz w:val="32"/>
          <w:szCs w:val="32"/>
          <w:highlight w:val="none"/>
        </w:rPr>
        <w:t>综合办公楼运转经费项目（非定额）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18.5万元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主要用于</w:t>
      </w:r>
      <w:r>
        <w:rPr>
          <w:rFonts w:hint="eastAsia" w:ascii="仿宋_GB2312" w:hAnsi="宋体" w:eastAsia="仿宋_GB2312" w:cs="宋体"/>
          <w:kern w:val="0"/>
          <w:sz w:val="32"/>
          <w:szCs w:val="32"/>
        </w:rPr>
        <w:t>公务用车运行维护费、</w:t>
      </w:r>
      <w:r>
        <w:rPr>
          <w:rFonts w:hint="eastAsia" w:ascii="仿宋_GB2312" w:hAnsi="宋体" w:eastAsia="仿宋_GB2312" w:cs="宋体"/>
          <w:kern w:val="0"/>
          <w:sz w:val="32"/>
          <w:szCs w:val="32"/>
          <w:lang w:val="en-US" w:eastAsia="zh-CN"/>
        </w:rPr>
        <w:t>维修费。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年</w:t>
      </w:r>
      <w:r>
        <w:rPr>
          <w:rFonts w:hint="eastAsia" w:ascii="仿宋_GB2312" w:hAnsi="宋体" w:eastAsia="仿宋_GB2312" w:cs="宋体"/>
          <w:color w:val="auto"/>
          <w:kern w:val="0"/>
          <w:sz w:val="32"/>
          <w:szCs w:val="32"/>
          <w:highlight w:val="none"/>
        </w:rPr>
        <w:t>综合办公楼运转经费项目（非定额）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主要用于</w:t>
      </w:r>
      <w:r>
        <w:rPr>
          <w:rFonts w:hint="eastAsia" w:ascii="仿宋_GB2312" w:hAnsi="宋体" w:eastAsia="仿宋_GB2312" w:cs="宋体"/>
          <w:kern w:val="0"/>
          <w:sz w:val="32"/>
          <w:szCs w:val="32"/>
          <w:lang w:val="en-US" w:eastAsia="zh-CN"/>
        </w:rPr>
        <w:t>其他交通费。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年</w:t>
      </w:r>
      <w:r>
        <w:rPr>
          <w:rFonts w:hint="eastAsia" w:ascii="仿宋_GB2312" w:hAnsi="宋体" w:eastAsia="仿宋_GB2312" w:cs="宋体"/>
          <w:color w:val="auto"/>
          <w:kern w:val="0"/>
          <w:sz w:val="32"/>
          <w:szCs w:val="32"/>
          <w:highlight w:val="none"/>
        </w:rPr>
        <w:t>综合办公楼运转经费项目（非定额）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主要用于</w:t>
      </w:r>
      <w:r>
        <w:rPr>
          <w:rFonts w:hint="eastAsia" w:ascii="仿宋_GB2312" w:hAnsi="宋体" w:eastAsia="仿宋_GB2312" w:cs="宋体"/>
          <w:kern w:val="0"/>
          <w:sz w:val="32"/>
          <w:szCs w:val="32"/>
          <w:lang w:val="en-US" w:eastAsia="zh-CN"/>
        </w:rPr>
        <w:t>其他商品服务支出。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2024年电信联通移动全县接入互联网通讯费（非定额）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呼财预【2024】51号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960万元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主要用于全县接入互联网</w:t>
      </w:r>
      <w:r>
        <w:rPr>
          <w:rFonts w:hint="eastAsia" w:ascii="仿宋_GB2312" w:hAnsi="宋体" w:eastAsia="仿宋_GB2312" w:cs="宋体"/>
          <w:sz w:val="32"/>
          <w:szCs w:val="32"/>
          <w:lang w:val="en-US" w:eastAsia="zh-CN"/>
        </w:rPr>
        <w:t>通讯费，每月需支付80万元，12月合计需支付960万元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hint="eastAsia" w:ascii="仿宋_GB2312" w:hAnsi="黑体" w:eastAsia="仿宋_GB2312"/>
          <w:color w:val="auto"/>
          <w:sz w:val="32"/>
          <w:szCs w:val="32"/>
          <w:highlight w:val="none"/>
          <w:lang w:val="en-US" w:eastAsia="zh-CN"/>
        </w:rPr>
        <w:t>三</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2024年城镇社区网格工作经费项目（非定额）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呼财预【2024】52号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：中共呼图壁县委员会政法委员会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按照城镇社区每个网格每年拨付不少于1万元的标准落实工作经费，本县城镇网格52个共计52万元。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中共呼图壁县委员会政法委员会2024年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中共呼图壁县委员会政法委员会2024年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中共呼图壁县委员会政法委员会2024年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8.1</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7.7</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val="en-US" w:eastAsia="zh-Hans"/>
        </w:rPr>
        <w:t>财政拨款“三公”经费比上年预算增加</w:t>
      </w:r>
      <w:r>
        <w:rPr>
          <w:rFonts w:hint="eastAsia" w:ascii="仿宋_GB2312" w:hAnsi="宋体" w:eastAsia="仿宋_GB2312" w:cs="宋体"/>
          <w:color w:val="auto"/>
          <w:kern w:val="0"/>
          <w:sz w:val="32"/>
          <w:szCs w:val="32"/>
          <w:highlight w:val="none"/>
          <w:lang w:val="en-US" w:eastAsia="zh-CN"/>
        </w:rPr>
        <w:t>4.9</w:t>
      </w:r>
      <w:r>
        <w:rPr>
          <w:rFonts w:hint="eastAsia" w:ascii="仿宋_GB2312" w:hAnsi="宋体" w:eastAsia="仿宋_GB2312" w:cs="宋体"/>
          <w:color w:val="auto"/>
          <w:kern w:val="0"/>
          <w:sz w:val="32"/>
          <w:szCs w:val="32"/>
          <w:highlight w:val="none"/>
          <w:lang w:val="en-US" w:eastAsia="zh-Hans"/>
        </w:rPr>
        <w:t>万元，</w:t>
      </w:r>
      <w:r>
        <w:rPr>
          <w:rFonts w:hint="eastAsia" w:ascii="仿宋_GB2312" w:hAnsi="宋体" w:eastAsia="仿宋_GB2312" w:cs="宋体"/>
          <w:color w:val="auto"/>
          <w:kern w:val="0"/>
          <w:sz w:val="32"/>
          <w:szCs w:val="32"/>
          <w:highlight w:val="none"/>
          <w:lang w:val="en-US" w:eastAsia="zh-CN"/>
        </w:rPr>
        <w:t>增长153.13%，</w:t>
      </w:r>
      <w:r>
        <w:rPr>
          <w:rFonts w:hint="eastAsia" w:ascii="仿宋_GB2312" w:hAnsi="宋体" w:eastAsia="仿宋_GB2312" w:cs="宋体"/>
          <w:color w:val="auto"/>
          <w:kern w:val="0"/>
          <w:sz w:val="32"/>
          <w:szCs w:val="32"/>
          <w:highlight w:val="none"/>
          <w:lang w:val="en-US" w:eastAsia="zh-Hans"/>
        </w:rPr>
        <w:t>其中：因公出国（境）费增加0万元，增长0%，主要原因是2023年及2024年均未安排预算；公务用车购置费为0万元，增长0%，主要原因是2023年及2024年均未安排预算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Hans"/>
        </w:rPr>
        <w:t>公务用车运行费增加</w:t>
      </w:r>
      <w:r>
        <w:rPr>
          <w:rFonts w:hint="eastAsia" w:ascii="仿宋_GB2312" w:hAnsi="宋体" w:eastAsia="仿宋_GB2312" w:cs="宋体"/>
          <w:color w:val="auto"/>
          <w:kern w:val="0"/>
          <w:sz w:val="32"/>
          <w:szCs w:val="32"/>
          <w:highlight w:val="none"/>
          <w:lang w:val="en-US" w:eastAsia="zh-CN"/>
        </w:rPr>
        <w:t>4.5</w:t>
      </w:r>
      <w:r>
        <w:rPr>
          <w:rFonts w:hint="eastAsia" w:ascii="仿宋_GB2312" w:hAnsi="宋体" w:eastAsia="仿宋_GB2312" w:cs="宋体"/>
          <w:color w:val="auto"/>
          <w:kern w:val="0"/>
          <w:sz w:val="32"/>
          <w:szCs w:val="32"/>
          <w:highlight w:val="none"/>
          <w:lang w:val="en-US" w:eastAsia="zh-Hans"/>
        </w:rPr>
        <w:t>万元，</w:t>
      </w:r>
      <w:r>
        <w:rPr>
          <w:rFonts w:hint="eastAsia" w:ascii="仿宋_GB2312" w:hAnsi="宋体" w:eastAsia="仿宋_GB2312" w:cs="宋体"/>
          <w:color w:val="auto"/>
          <w:kern w:val="0"/>
          <w:sz w:val="32"/>
          <w:szCs w:val="32"/>
          <w:highlight w:val="none"/>
          <w:lang w:val="en-US" w:eastAsia="zh-CN"/>
        </w:rPr>
        <w:t>增长140.63%，</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2024年预算中安排了运转经费</w:t>
      </w:r>
      <w:r>
        <w:rPr>
          <w:rFonts w:hint="eastAsia" w:ascii="仿宋_GB2312" w:hAnsi="宋体" w:eastAsia="仿宋_GB2312" w:cs="宋体"/>
          <w:color w:val="auto"/>
          <w:kern w:val="0"/>
          <w:sz w:val="32"/>
          <w:szCs w:val="32"/>
          <w:highlight w:val="none"/>
          <w:lang w:val="en-US" w:eastAsia="zh-Hans"/>
        </w:rPr>
        <w:t>；公务接待费增加</w:t>
      </w:r>
      <w:r>
        <w:rPr>
          <w:rFonts w:hint="eastAsia" w:ascii="仿宋_GB2312" w:hAnsi="宋体" w:eastAsia="仿宋_GB2312" w:cs="宋体"/>
          <w:color w:val="auto"/>
          <w:kern w:val="0"/>
          <w:sz w:val="32"/>
          <w:szCs w:val="32"/>
          <w:highlight w:val="none"/>
          <w:lang w:val="en-US" w:eastAsia="zh-CN"/>
        </w:rPr>
        <w:t>0.4</w:t>
      </w:r>
      <w:r>
        <w:rPr>
          <w:rFonts w:hint="eastAsia" w:ascii="仿宋_GB2312" w:hAnsi="宋体" w:eastAsia="仿宋_GB2312" w:cs="宋体"/>
          <w:color w:val="auto"/>
          <w:kern w:val="0"/>
          <w:sz w:val="32"/>
          <w:szCs w:val="32"/>
          <w:highlight w:val="none"/>
          <w:lang w:val="en-US" w:eastAsia="zh-Hans"/>
        </w:rPr>
        <w:t>万元，</w:t>
      </w:r>
      <w:r>
        <w:rPr>
          <w:rFonts w:hint="eastAsia" w:ascii="仿宋_GB2312" w:hAnsi="宋体" w:eastAsia="仿宋_GB2312" w:cs="宋体"/>
          <w:color w:val="auto"/>
          <w:kern w:val="0"/>
          <w:sz w:val="32"/>
          <w:szCs w:val="32"/>
          <w:highlight w:val="none"/>
          <w:lang w:val="en-US" w:eastAsia="zh-CN"/>
        </w:rPr>
        <w:t>增长100%，</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2023年预算未安排公务接待费</w:t>
      </w:r>
      <w:r>
        <w:rPr>
          <w:rFonts w:hint="eastAsia" w:ascii="仿宋_GB2312" w:hAnsi="宋体" w:eastAsia="仿宋_GB2312" w:cs="宋体"/>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中共呼图壁县委员会政法委员会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中共呼图壁县委员会政法委员会2024年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中共呼图壁县委员会政法委员会2024年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135.38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 xml:space="preserve">2.86 </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12.77</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val="en-US" w:eastAsia="zh-CN"/>
        </w:rPr>
        <w:t>一</w:t>
      </w:r>
      <w:r>
        <w:rPr>
          <w:rFonts w:hint="eastAsia" w:ascii="仿宋_GB2312" w:hAnsi="仿宋_GB2312" w:eastAsia="仿宋_GB2312" w:cs="仿宋_GB2312"/>
          <w:color w:val="auto"/>
          <w:kern w:val="0"/>
          <w:sz w:val="32"/>
          <w:szCs w:val="32"/>
          <w:highlight w:val="none"/>
        </w:rPr>
        <w:t>是</w:t>
      </w:r>
      <w:r>
        <w:rPr>
          <w:rFonts w:hint="eastAsia" w:ascii="仿宋_GB2312" w:hAnsi="仿宋_GB2312" w:eastAsia="仿宋_GB2312" w:cs="仿宋_GB2312"/>
          <w:color w:val="auto"/>
          <w:kern w:val="0"/>
          <w:sz w:val="32"/>
          <w:szCs w:val="32"/>
          <w:highlight w:val="none"/>
          <w:lang w:val="en-US" w:eastAsia="zh-CN"/>
        </w:rPr>
        <w:t>事业编制人员增加4人；二是工会经费预算增加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中共呼图壁县委员会政法委员会</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225.79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94.34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131.45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中共呼图壁县委员会政法委员会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225.19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225.19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中共呼图壁县委员会政法委员会</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r>
        <w:rPr>
          <w:rFonts w:hint="eastAsia" w:ascii="仿宋" w:hAnsi="仿宋" w:eastAsia="仿宋" w:cs="仿宋"/>
          <w:kern w:val="10"/>
          <w:sz w:val="32"/>
          <w:szCs w:val="32"/>
          <w:highlight w:val="none"/>
          <w:lang w:val="en-US" w:eastAsia="zh-CN"/>
        </w:rPr>
        <w:t>2708.14</w:t>
      </w:r>
      <w:r>
        <w:rPr>
          <w:rFonts w:hint="eastAsia" w:ascii="仿宋" w:hAnsi="仿宋" w:eastAsia="仿宋" w:cs="仿宋"/>
          <w:kern w:val="1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color w:val="auto"/>
          <w:kern w:val="0"/>
          <w:sz w:val="32"/>
          <w:szCs w:val="32"/>
          <w:highlight w:val="none"/>
        </w:rPr>
        <w:t>2.</w:t>
      </w:r>
      <w:r>
        <w:rPr>
          <w:rFonts w:hint="eastAsia" w:ascii="仿宋_GB2312" w:hAnsi="宋体" w:eastAsia="仿宋_GB2312" w:cs="宋体"/>
          <w:kern w:val="0"/>
          <w:sz w:val="32"/>
          <w:szCs w:val="32"/>
        </w:rPr>
        <w:t>车辆3辆，价值52.71万元；其中：一般公务用车3辆，价值52.71万元；执法执勤用车0辆，价值0万元；其他车辆0辆，价值0万元。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82.16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2573.27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套，</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单位价值100万元以上大型设备</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w:t>
      </w:r>
      <w:r>
        <w:rPr>
          <w:rFonts w:hint="eastAsia" w:ascii="仿宋_GB2312" w:hAnsi="仿宋_GB2312" w:eastAsia="仿宋_GB2312" w:cs="仿宋_GB2312"/>
          <w:color w:val="auto"/>
          <w:kern w:val="0"/>
          <w:sz w:val="32"/>
          <w:szCs w:val="32"/>
          <w:highlight w:val="none"/>
          <w:lang w:val="en-US" w:eastAsia="zh-CN"/>
        </w:rPr>
        <w:t>未</w:t>
      </w:r>
      <w:r>
        <w:rPr>
          <w:rFonts w:hint="eastAsia" w:ascii="仿宋_GB2312" w:hAnsi="仿宋_GB2312" w:eastAsia="仿宋_GB2312" w:cs="仿宋_GB2312"/>
          <w:color w:val="auto"/>
          <w:kern w:val="0"/>
          <w:sz w:val="32"/>
          <w:szCs w:val="32"/>
          <w:highlight w:val="none"/>
        </w:rPr>
        <w:t>安排购置50万元以上大型设备</w:t>
      </w:r>
      <w:r>
        <w:rPr>
          <w:rFonts w:hint="eastAsia" w:ascii="仿宋_GB2312" w:hAnsi="仿宋_GB2312" w:eastAsia="仿宋_GB2312" w:cs="仿宋_GB2312"/>
          <w:color w:val="auto"/>
          <w:kern w:val="0"/>
          <w:sz w:val="32"/>
          <w:szCs w:val="32"/>
          <w:highlight w:val="none"/>
          <w:lang w:val="en-US" w:eastAsia="zh-CN"/>
        </w:rPr>
        <w:t>及</w:t>
      </w:r>
      <w:r>
        <w:rPr>
          <w:rFonts w:hint="eastAsia" w:ascii="仿宋_GB2312" w:hAnsi="仿宋_GB2312" w:eastAsia="仿宋_GB2312" w:cs="仿宋_GB2312"/>
          <w:color w:val="auto"/>
          <w:kern w:val="0"/>
          <w:sz w:val="32"/>
          <w:szCs w:val="32"/>
          <w:highlight w:val="none"/>
        </w:rPr>
        <w:t>单位价值100万元以上大型设备。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整体预算绩效目标1个，涉及金额1696.49万元；当年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涉及预算金额1082万元；当年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中共呼图壁县委员会政法委员会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王锋</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4508610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着力防控风险，维护社会大局和谐稳定；深化平安建设，保障人民群众安居乐业；坚持问题导向，不断提升人民群众安全感和满意度；保障人员工资福利待遇，单位正常办公支出及联合办公楼正常运转。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7"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3"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1696.49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政治轮训</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&gt;=1期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昌吉州2024年度重点工作考核细则</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开展</w:t>
            </w:r>
            <w:r>
              <w:rPr>
                <w:rFonts w:hint="eastAsia" w:ascii="宋体" w:hAnsi="宋体" w:cs="宋体"/>
                <w:i w:val="0"/>
                <w:color w:val="000000"/>
                <w:kern w:val="0"/>
                <w:sz w:val="20"/>
                <w:szCs w:val="20"/>
                <w:u w:val="none"/>
                <w:lang w:val="en-US" w:eastAsia="zh-CN" w:bidi="ar"/>
              </w:rPr>
              <w:t>专项</w:t>
            </w:r>
            <w:r>
              <w:rPr>
                <w:rFonts w:hint="eastAsia" w:ascii="宋体" w:hAnsi="宋体" w:eastAsia="宋体" w:cs="宋体"/>
                <w:i w:val="0"/>
                <w:color w:val="000000"/>
                <w:kern w:val="0"/>
                <w:sz w:val="20"/>
                <w:szCs w:val="20"/>
                <w:u w:val="none"/>
                <w:lang w:val="en-US" w:eastAsia="zh-CN" w:bidi="ar"/>
              </w:rPr>
              <w:t>教育宣传活动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昌吉州2024年度重点工作考核细则</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开展铁路安全进校园活动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昌吉州2024年度重点工作考核细则</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开展平安建设和网格条例培训</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昌吉州2024年度重点工作考核细则</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034"/>
        <w:gridCol w:w="750"/>
        <w:gridCol w:w="919"/>
        <w:gridCol w:w="146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u w:val="none"/>
              </w:rPr>
              <w:t>中共呼图壁县委员会政法委员会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02"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2024综合办公楼运转经费项目（非定额）</w:t>
            </w:r>
          </w:p>
        </w:tc>
        <w:tc>
          <w:tcPr>
            <w:tcW w:w="16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7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王锋、何健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70</w:t>
            </w:r>
          </w:p>
        </w:tc>
        <w:tc>
          <w:tcPr>
            <w:tcW w:w="103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70</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7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18"/>
                <w:szCs w:val="18"/>
                <w:lang w:val="en-US" w:eastAsia="zh-CN"/>
              </w:rPr>
              <w:t>保障</w:t>
            </w:r>
            <w:r>
              <w:rPr>
                <w:rFonts w:hint="eastAsia" w:ascii="宋体" w:hAnsi="宋体" w:eastAsia="宋体" w:cs="宋体"/>
                <w:kern w:val="0"/>
                <w:sz w:val="18"/>
                <w:szCs w:val="18"/>
              </w:rPr>
              <w:t>综合办公楼水电费、日常维修维护、办公、车辆及职工食堂的日常开销。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auto"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保障</w:t>
            </w:r>
            <w:r>
              <w:rPr>
                <w:rFonts w:hint="eastAsia" w:ascii="宋体" w:hAnsi="宋体" w:eastAsia="宋体" w:cs="宋体"/>
                <w:kern w:val="0"/>
                <w:sz w:val="20"/>
                <w:szCs w:val="20"/>
                <w:lang w:val="en-US" w:eastAsia="zh-CN"/>
              </w:rPr>
              <w:t>办公楼</w:t>
            </w:r>
            <w:r>
              <w:rPr>
                <w:rFonts w:hint="eastAsia" w:ascii="宋体" w:hAnsi="宋体" w:eastAsia="宋体" w:cs="宋体"/>
                <w:kern w:val="0"/>
                <w:sz w:val="20"/>
                <w:szCs w:val="20"/>
              </w:rPr>
              <w:t>个数</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1</w:t>
            </w:r>
            <w:r>
              <w:rPr>
                <w:rFonts w:hint="eastAsia" w:ascii="宋体" w:hAnsi="宋体" w:eastAsia="宋体" w:cs="宋体"/>
                <w:kern w:val="0"/>
                <w:sz w:val="20"/>
                <w:szCs w:val="20"/>
              </w:rPr>
              <w:t>个</w:t>
            </w:r>
          </w:p>
        </w:tc>
        <w:tc>
          <w:tcPr>
            <w:tcW w:w="1034"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464"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lang w:val="en-US" w:eastAsia="zh-CN"/>
              </w:rPr>
              <w:t>运转</w:t>
            </w:r>
            <w:r>
              <w:rPr>
                <w:rFonts w:hint="eastAsia" w:ascii="宋体" w:hAnsi="宋体" w:eastAsia="宋体" w:cs="宋体"/>
                <w:kern w:val="0"/>
                <w:sz w:val="20"/>
                <w:szCs w:val="20"/>
              </w:rPr>
              <w:t>通畅保障率</w:t>
            </w:r>
          </w:p>
        </w:tc>
        <w:tc>
          <w:tcPr>
            <w:tcW w:w="86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=100%</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4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项目完成率</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=100%</w:t>
            </w:r>
          </w:p>
        </w:tc>
        <w:tc>
          <w:tcPr>
            <w:tcW w:w="1034"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464"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经费拨付及时率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=100%</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auto"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lang w:val="en-US" w:eastAsia="zh-CN"/>
              </w:rPr>
              <w:t>运转</w:t>
            </w:r>
            <w:r>
              <w:rPr>
                <w:rFonts w:hint="eastAsia" w:ascii="宋体" w:hAnsi="宋体" w:eastAsia="宋体" w:cs="宋体"/>
                <w:kern w:val="0"/>
                <w:sz w:val="20"/>
                <w:szCs w:val="20"/>
              </w:rPr>
              <w:t>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&gt;=80%</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lang w:val="en-US" w:eastAsia="zh-CN"/>
              </w:rPr>
              <w:t>20</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提高群众对</w:t>
            </w:r>
            <w:r>
              <w:rPr>
                <w:rFonts w:hint="eastAsia" w:ascii="宋体" w:hAnsi="宋体" w:eastAsia="宋体" w:cs="宋体"/>
                <w:kern w:val="0"/>
                <w:sz w:val="20"/>
                <w:szCs w:val="20"/>
                <w:lang w:val="en-US" w:eastAsia="zh-CN"/>
              </w:rPr>
              <w:t>政法委工作</w:t>
            </w:r>
            <w:r>
              <w:rPr>
                <w:rFonts w:hint="eastAsia" w:ascii="宋体" w:hAnsi="宋体" w:eastAsia="宋体" w:cs="宋体"/>
                <w:kern w:val="0"/>
                <w:sz w:val="20"/>
                <w:szCs w:val="20"/>
              </w:rPr>
              <w:t>认可度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有效提高</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20</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lang w:val="en-US" w:eastAsia="zh-CN"/>
              </w:rPr>
              <w:t>职工</w:t>
            </w:r>
            <w:r>
              <w:rPr>
                <w:rFonts w:hint="eastAsia" w:ascii="宋体" w:hAnsi="宋体" w:eastAsia="宋体" w:cs="宋体"/>
                <w:kern w:val="0"/>
                <w:sz w:val="20"/>
                <w:szCs w:val="20"/>
              </w:rPr>
              <w:t>满意率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&gt;=95%</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034"/>
        <w:gridCol w:w="750"/>
        <w:gridCol w:w="919"/>
        <w:gridCol w:w="1201"/>
        <w:gridCol w:w="11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u w:val="none"/>
              </w:rPr>
              <w:t>中共呼图壁县委员会政法委员会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0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18"/>
                <w:szCs w:val="18"/>
              </w:rPr>
              <w:t>电信联通移动全县接入互联网通讯费</w:t>
            </w:r>
          </w:p>
        </w:tc>
        <w:tc>
          <w:tcPr>
            <w:tcW w:w="16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7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王锋、秦勇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960</w:t>
            </w:r>
          </w:p>
        </w:tc>
        <w:tc>
          <w:tcPr>
            <w:tcW w:w="103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960</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7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18"/>
                <w:szCs w:val="18"/>
              </w:rPr>
              <w:t>保障全县视联网、平安城市等网络畅通、设备运行正常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auto"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保障</w:t>
            </w:r>
            <w:r>
              <w:rPr>
                <w:rFonts w:hint="eastAsia" w:ascii="宋体" w:hAnsi="宋体" w:eastAsia="宋体" w:cs="宋体"/>
                <w:kern w:val="0"/>
                <w:sz w:val="20"/>
                <w:szCs w:val="20"/>
                <w:lang w:val="en-US" w:eastAsia="zh-CN"/>
              </w:rPr>
              <w:t>运营商</w:t>
            </w:r>
            <w:r>
              <w:rPr>
                <w:rFonts w:hint="eastAsia" w:ascii="宋体" w:hAnsi="宋体" w:eastAsia="宋体" w:cs="宋体"/>
                <w:kern w:val="0"/>
                <w:sz w:val="20"/>
                <w:szCs w:val="20"/>
              </w:rPr>
              <w:t>个数</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w:t>
            </w:r>
            <w:r>
              <w:rPr>
                <w:rFonts w:hint="eastAsia" w:ascii="宋体" w:hAnsi="宋体" w:eastAsia="宋体" w:cs="宋体"/>
                <w:kern w:val="0"/>
                <w:sz w:val="20"/>
                <w:szCs w:val="20"/>
                <w:lang w:val="en-US" w:eastAsia="zh-CN"/>
              </w:rPr>
              <w:t>3</w:t>
            </w:r>
            <w:r>
              <w:rPr>
                <w:rFonts w:hint="eastAsia" w:ascii="宋体" w:hAnsi="宋体" w:eastAsia="宋体" w:cs="宋体"/>
                <w:kern w:val="0"/>
                <w:sz w:val="20"/>
                <w:szCs w:val="20"/>
              </w:rPr>
              <w:t>个</w:t>
            </w:r>
          </w:p>
        </w:tc>
        <w:tc>
          <w:tcPr>
            <w:tcW w:w="1034"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201"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1177"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网络通畅保障率</w:t>
            </w:r>
          </w:p>
        </w:tc>
        <w:tc>
          <w:tcPr>
            <w:tcW w:w="861"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=100%</w:t>
            </w:r>
          </w:p>
        </w:tc>
        <w:tc>
          <w:tcPr>
            <w:tcW w:w="1034"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201"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1177" w:type="dxa"/>
            <w:tcBorders>
              <w:top w:val="single" w:color="auto" w:sz="4" w:space="0"/>
              <w:left w:val="single" w:color="000000" w:sz="4" w:space="0"/>
              <w:bottom w:val="single" w:color="auto" w:sz="4" w:space="0"/>
              <w:right w:val="single" w:color="auto"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项目完成率</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=100%</w:t>
            </w:r>
          </w:p>
        </w:tc>
        <w:tc>
          <w:tcPr>
            <w:tcW w:w="1034"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201"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1177"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经费拨付及时率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=100%</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通讯费成本控制率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&gt;=80%</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lang w:val="en-US" w:eastAsia="zh-CN"/>
              </w:rPr>
              <w:t>20</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提高群众对网络建设认可度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有效提高</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20</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按评判等级赋分</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群众满意率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&gt;=95%</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满意度赋分</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034"/>
        <w:gridCol w:w="750"/>
        <w:gridCol w:w="919"/>
        <w:gridCol w:w="146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u w:val="none"/>
              </w:rPr>
              <w:t>中共呼图壁县委员会政法委员会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0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18"/>
                <w:szCs w:val="18"/>
                <w:lang w:val="en-US" w:eastAsia="zh-CN"/>
              </w:rPr>
              <w:t>城镇社区网格工作经费</w:t>
            </w:r>
          </w:p>
        </w:tc>
        <w:tc>
          <w:tcPr>
            <w:tcW w:w="16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7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张涛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52</w:t>
            </w:r>
          </w:p>
        </w:tc>
        <w:tc>
          <w:tcPr>
            <w:tcW w:w="103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52</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7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18"/>
                <w:szCs w:val="18"/>
              </w:rPr>
              <w:t>保障城镇社区网格工作开展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auto"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保障</w:t>
            </w:r>
            <w:r>
              <w:rPr>
                <w:rFonts w:hint="eastAsia" w:ascii="宋体" w:hAnsi="宋体" w:eastAsia="宋体" w:cs="宋体"/>
                <w:kern w:val="0"/>
                <w:sz w:val="20"/>
                <w:szCs w:val="20"/>
                <w:lang w:val="en-US" w:eastAsia="zh-CN"/>
              </w:rPr>
              <w:t>城镇社区网格</w:t>
            </w:r>
            <w:r>
              <w:rPr>
                <w:rFonts w:hint="eastAsia" w:ascii="宋体" w:hAnsi="宋体" w:eastAsia="宋体" w:cs="宋体"/>
                <w:kern w:val="0"/>
                <w:sz w:val="20"/>
                <w:szCs w:val="20"/>
              </w:rPr>
              <w:t>个数</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Arial" w:hAnsi="Arial" w:eastAsia="宋体" w:cs="Arial"/>
                <w:kern w:val="0"/>
                <w:sz w:val="20"/>
                <w:szCs w:val="20"/>
                <w:lang w:val="en-US" w:eastAsia="zh-CN"/>
              </w:rPr>
              <w:t>=</w:t>
            </w:r>
            <w:r>
              <w:rPr>
                <w:rFonts w:hint="eastAsia" w:ascii="宋体" w:hAnsi="宋体" w:eastAsia="宋体" w:cs="宋体"/>
                <w:kern w:val="0"/>
                <w:sz w:val="20"/>
                <w:szCs w:val="20"/>
              </w:rPr>
              <w:t>5</w:t>
            </w:r>
            <w:r>
              <w:rPr>
                <w:rFonts w:hint="eastAsia" w:ascii="宋体" w:hAnsi="宋体" w:eastAsia="宋体" w:cs="宋体"/>
                <w:kern w:val="0"/>
                <w:sz w:val="20"/>
                <w:szCs w:val="20"/>
                <w:lang w:val="en-US" w:eastAsia="zh-CN"/>
              </w:rPr>
              <w:t>2</w:t>
            </w:r>
            <w:r>
              <w:rPr>
                <w:rFonts w:hint="eastAsia" w:ascii="宋体" w:hAnsi="宋体" w:eastAsia="宋体" w:cs="宋体"/>
                <w:kern w:val="0"/>
                <w:sz w:val="20"/>
                <w:szCs w:val="20"/>
              </w:rPr>
              <w:t>个</w:t>
            </w:r>
          </w:p>
        </w:tc>
        <w:tc>
          <w:tcPr>
            <w:tcW w:w="1034"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464"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网</w:t>
            </w:r>
            <w:r>
              <w:rPr>
                <w:rFonts w:hint="eastAsia" w:ascii="宋体" w:hAnsi="宋体" w:eastAsia="宋体" w:cs="宋体"/>
                <w:kern w:val="0"/>
                <w:sz w:val="20"/>
                <w:szCs w:val="20"/>
                <w:lang w:val="en-US" w:eastAsia="zh-CN"/>
              </w:rPr>
              <w:t>格工作</w:t>
            </w:r>
            <w:r>
              <w:rPr>
                <w:rFonts w:hint="eastAsia" w:ascii="宋体" w:hAnsi="宋体" w:eastAsia="宋体" w:cs="宋体"/>
                <w:kern w:val="0"/>
                <w:sz w:val="20"/>
                <w:szCs w:val="20"/>
              </w:rPr>
              <w:t>保障率</w:t>
            </w:r>
          </w:p>
        </w:tc>
        <w:tc>
          <w:tcPr>
            <w:tcW w:w="861"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=100%</w:t>
            </w:r>
          </w:p>
        </w:tc>
        <w:tc>
          <w:tcPr>
            <w:tcW w:w="1034"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464"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914" w:type="dxa"/>
            <w:tcBorders>
              <w:top w:val="single" w:color="auto" w:sz="4" w:space="0"/>
              <w:left w:val="single" w:color="000000" w:sz="4" w:space="0"/>
              <w:bottom w:val="single" w:color="auto" w:sz="4" w:space="0"/>
              <w:right w:val="single" w:color="auto"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项目完成率</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=100%</w:t>
            </w:r>
          </w:p>
        </w:tc>
        <w:tc>
          <w:tcPr>
            <w:tcW w:w="1034"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464"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经费拨付及时率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&gt;=</w:t>
            </w:r>
            <w:r>
              <w:rPr>
                <w:rFonts w:hint="eastAsia" w:ascii="宋体" w:hAnsi="宋体" w:eastAsia="宋体" w:cs="宋体"/>
                <w:kern w:val="0"/>
                <w:sz w:val="20"/>
                <w:szCs w:val="20"/>
                <w:lang w:val="en-US" w:eastAsia="zh-CN"/>
              </w:rPr>
              <w:t>6</w:t>
            </w:r>
            <w:r>
              <w:rPr>
                <w:rFonts w:hint="eastAsia" w:ascii="宋体" w:hAnsi="宋体" w:eastAsia="宋体" w:cs="宋体"/>
                <w:kern w:val="0"/>
                <w:sz w:val="20"/>
                <w:szCs w:val="20"/>
              </w:rPr>
              <w:t>0%</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lang w:val="en-US" w:eastAsia="zh-CN"/>
              </w:rPr>
              <w:t>网格工作</w:t>
            </w:r>
            <w:r>
              <w:rPr>
                <w:rFonts w:hint="eastAsia" w:ascii="宋体" w:hAnsi="宋体" w:eastAsia="宋体" w:cs="宋体"/>
                <w:kern w:val="0"/>
                <w:sz w:val="20"/>
                <w:szCs w:val="20"/>
              </w:rPr>
              <w:t>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&gt;=80%</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宋体" w:hAnsi="宋体" w:eastAsia="宋体" w:cs="宋体"/>
                <w:i w:val="0"/>
                <w:iCs w:val="0"/>
                <w:color w:val="000000"/>
                <w:sz w:val="18"/>
                <w:szCs w:val="18"/>
                <w:highlight w:val="none"/>
                <w:u w:val="none"/>
                <w:lang w:val="en-US" w:eastAsia="zh-CN"/>
              </w:rPr>
            </w:pPr>
            <w:r>
              <w:rPr>
                <w:rFonts w:hint="eastAsia" w:ascii="宋体" w:hAnsi="宋体" w:cs="宋体"/>
                <w:kern w:val="0"/>
                <w:sz w:val="20"/>
                <w:szCs w:val="20"/>
                <w:lang w:val="en-US" w:eastAsia="zh-CN"/>
              </w:rPr>
              <w:t>20</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按照正常比例赋分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提高群众对网</w:t>
            </w:r>
            <w:r>
              <w:rPr>
                <w:rFonts w:hint="eastAsia" w:ascii="宋体" w:hAnsi="宋体" w:eastAsia="宋体" w:cs="宋体"/>
                <w:kern w:val="0"/>
                <w:sz w:val="20"/>
                <w:szCs w:val="20"/>
                <w:lang w:val="en-US" w:eastAsia="zh-CN"/>
              </w:rPr>
              <w:t>格工作</w:t>
            </w:r>
            <w:r>
              <w:rPr>
                <w:rFonts w:hint="eastAsia" w:ascii="宋体" w:hAnsi="宋体" w:eastAsia="宋体" w:cs="宋体"/>
                <w:kern w:val="0"/>
                <w:sz w:val="20"/>
                <w:szCs w:val="20"/>
              </w:rPr>
              <w:t>认可度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有效提高</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20</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群众满意率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&gt;=9</w:t>
            </w:r>
            <w:r>
              <w:rPr>
                <w:rFonts w:hint="eastAsia" w:ascii="宋体" w:hAnsi="宋体" w:eastAsia="宋体" w:cs="宋体"/>
                <w:kern w:val="0"/>
                <w:sz w:val="20"/>
                <w:szCs w:val="20"/>
                <w:lang w:val="en-US" w:eastAsia="zh-CN"/>
              </w:rPr>
              <w:t>0</w:t>
            </w:r>
            <w:r>
              <w:rPr>
                <w:rFonts w:hint="eastAsia" w:ascii="宋体" w:hAnsi="宋体" w:eastAsia="宋体" w:cs="宋体"/>
                <w:kern w:val="0"/>
                <w:sz w:val="20"/>
                <w:szCs w:val="20"/>
              </w:rPr>
              <w:t>%</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计划标准</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　</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10</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kern w:val="0"/>
                <w:sz w:val="20"/>
                <w:szCs w:val="20"/>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中共呼图壁县委员会政法委员会</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10587512"/>
    <w:rsid w:val="00EE2224"/>
    <w:rsid w:val="04267B2D"/>
    <w:rsid w:val="05397FD9"/>
    <w:rsid w:val="070E6657"/>
    <w:rsid w:val="08450B28"/>
    <w:rsid w:val="097875CD"/>
    <w:rsid w:val="0AE816F0"/>
    <w:rsid w:val="0B247F12"/>
    <w:rsid w:val="0D6E5FD0"/>
    <w:rsid w:val="0E9208E7"/>
    <w:rsid w:val="10587512"/>
    <w:rsid w:val="10916BDA"/>
    <w:rsid w:val="1697741D"/>
    <w:rsid w:val="1732414C"/>
    <w:rsid w:val="1BEB54C3"/>
    <w:rsid w:val="1C3C6084"/>
    <w:rsid w:val="1CEB6DC6"/>
    <w:rsid w:val="1D3E1AFE"/>
    <w:rsid w:val="1EB61656"/>
    <w:rsid w:val="20DD55C0"/>
    <w:rsid w:val="22DB78DD"/>
    <w:rsid w:val="22E94D61"/>
    <w:rsid w:val="244D65B8"/>
    <w:rsid w:val="2492221D"/>
    <w:rsid w:val="26B4291F"/>
    <w:rsid w:val="26E769FA"/>
    <w:rsid w:val="293B2E83"/>
    <w:rsid w:val="2A012DF7"/>
    <w:rsid w:val="2AFC4894"/>
    <w:rsid w:val="2D480265"/>
    <w:rsid w:val="2D977453"/>
    <w:rsid w:val="2EF22236"/>
    <w:rsid w:val="319C4D6B"/>
    <w:rsid w:val="33FF6719"/>
    <w:rsid w:val="36A24AB5"/>
    <w:rsid w:val="38630D8D"/>
    <w:rsid w:val="38A2014E"/>
    <w:rsid w:val="3AAB62C6"/>
    <w:rsid w:val="3FDF4D23"/>
    <w:rsid w:val="43C26223"/>
    <w:rsid w:val="43D8307E"/>
    <w:rsid w:val="46244741"/>
    <w:rsid w:val="46C561D3"/>
    <w:rsid w:val="46CE3131"/>
    <w:rsid w:val="48E90D34"/>
    <w:rsid w:val="494F7907"/>
    <w:rsid w:val="49594ACC"/>
    <w:rsid w:val="4C0055E5"/>
    <w:rsid w:val="4C3677AE"/>
    <w:rsid w:val="4C706B3A"/>
    <w:rsid w:val="4FBE1147"/>
    <w:rsid w:val="51C15CED"/>
    <w:rsid w:val="52285DEB"/>
    <w:rsid w:val="52AD62F0"/>
    <w:rsid w:val="546308FE"/>
    <w:rsid w:val="5C3A6856"/>
    <w:rsid w:val="5F2346ED"/>
    <w:rsid w:val="61086613"/>
    <w:rsid w:val="6408782B"/>
    <w:rsid w:val="65322CBF"/>
    <w:rsid w:val="68CC52CB"/>
    <w:rsid w:val="68DE4FFE"/>
    <w:rsid w:val="694B58D7"/>
    <w:rsid w:val="69CE4E15"/>
    <w:rsid w:val="6B7F3246"/>
    <w:rsid w:val="6CE3015C"/>
    <w:rsid w:val="6D7651D8"/>
    <w:rsid w:val="6EF07839"/>
    <w:rsid w:val="6F63000B"/>
    <w:rsid w:val="72B56DCF"/>
    <w:rsid w:val="75B570E6"/>
    <w:rsid w:val="780A1873"/>
    <w:rsid w:val="78263218"/>
    <w:rsid w:val="782B3283"/>
    <w:rsid w:val="784F5695"/>
    <w:rsid w:val="787D11B8"/>
    <w:rsid w:val="792C5912"/>
    <w:rsid w:val="7A267C38"/>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2024-02-29T09:54:00Z</cp:lastPrinted>
  <dcterms:modified xsi:type="dcterms:W3CDTF">2024-07-26T05:32:11Z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