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olor w:val="auto"/>
          <w:sz w:val="32"/>
          <w:szCs w:val="32"/>
          <w:highlight w:val="none"/>
        </w:rPr>
      </w:pPr>
    </w:p>
    <w:p>
      <w:pPr>
        <w:spacing w:line="560" w:lineRule="exact"/>
        <w:rPr>
          <w:rFonts w:hint="eastAsia" w:ascii="黑体" w:hAnsi="黑体" w:eastAsia="黑体"/>
          <w:color w:val="auto"/>
          <w:sz w:val="32"/>
          <w:szCs w:val="32"/>
          <w:highlight w:val="none"/>
        </w:rPr>
      </w:pPr>
    </w:p>
    <w:p>
      <w:pPr>
        <w:spacing w:line="560" w:lineRule="exact"/>
        <w:rPr>
          <w:rFonts w:hint="eastAsia" w:ascii="黑体" w:hAnsi="黑体" w:eastAsia="黑体"/>
          <w:color w:val="auto"/>
          <w:sz w:val="32"/>
          <w:szCs w:val="32"/>
          <w:highlight w:val="none"/>
        </w:rPr>
      </w:pPr>
    </w:p>
    <w:p>
      <w:pPr>
        <w:spacing w:line="560" w:lineRule="exact"/>
        <w:rPr>
          <w:rFonts w:hint="eastAsia" w:ascii="黑体" w:hAnsi="黑体" w:eastAsia="黑体"/>
          <w:color w:val="auto"/>
          <w:sz w:val="32"/>
          <w:szCs w:val="32"/>
          <w:highlight w:val="none"/>
        </w:rPr>
      </w:pPr>
    </w:p>
    <w:p>
      <w:pPr>
        <w:spacing w:line="560" w:lineRule="exact"/>
        <w:rPr>
          <w:rFonts w:hint="eastAsia" w:ascii="黑体" w:hAnsi="黑体" w:eastAsia="黑体"/>
          <w:color w:val="auto"/>
          <w:sz w:val="32"/>
          <w:szCs w:val="32"/>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line="440" w:lineRule="exact"/>
        <w:outlineLvl w:val="1"/>
        <w:rPr>
          <w:rFonts w:hint="eastAsia" w:ascii="黑体" w:hAnsi="黑体" w:eastAsia="黑体"/>
          <w:kern w:val="0"/>
          <w:sz w:val="36"/>
          <w:szCs w:val="32"/>
          <w:highlight w:val="none"/>
        </w:rPr>
      </w:pPr>
      <w:r>
        <w:rPr>
          <w:rFonts w:hint="eastAsia" w:ascii="方正小标宋_GBK" w:hAnsi="宋体" w:eastAsia="方正小标宋_GBK"/>
          <w:kern w:val="0"/>
          <w:sz w:val="44"/>
          <w:szCs w:val="44"/>
          <w:highlight w:val="none"/>
        </w:rPr>
        <w:t>呼图壁县呼图壁镇人民政府202</w:t>
      </w:r>
      <w:r>
        <w:rPr>
          <w:rFonts w:hint="eastAsia" w:ascii="方正小标宋_GBK" w:hAnsi="宋体" w:eastAsia="方正小标宋_GBK"/>
          <w:kern w:val="0"/>
          <w:sz w:val="44"/>
          <w:szCs w:val="44"/>
          <w:highlight w:val="none"/>
          <w:lang w:val="en-US" w:eastAsia="zh-CN"/>
        </w:rPr>
        <w:t>4</w:t>
      </w:r>
      <w:r>
        <w:rPr>
          <w:rFonts w:hint="eastAsia" w:ascii="方正小标宋_GBK" w:hAnsi="宋体" w:eastAsia="方正小标宋_GBK"/>
          <w:kern w:val="0"/>
          <w:sz w:val="44"/>
          <w:szCs w:val="44"/>
          <w:highlight w:val="none"/>
        </w:rPr>
        <w:t>年预算公开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2024年呼图壁县呼图壁镇人民政府</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2024年呼图壁县呼图壁镇人民政府</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2024年呼图壁县呼图壁镇人民政府</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呼图壁县呼图壁镇人民政府2024年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呼图壁县呼图壁镇人民政府2024年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呼图壁县呼图壁镇人民政府2024年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呼图壁县呼图壁镇人民政府2024年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呼图壁县呼图壁镇人民政府2024年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呼图壁县呼图壁镇人民政府2024年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呼图壁县呼图壁镇人民政府2024年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呼图壁县呼图壁镇人民政府2024年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呼图壁县呼图壁镇人民政府2024年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呼图壁县呼图壁镇人民政府2024年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呼图壁县呼图壁镇人民政府2024年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2024年呼图壁县呼图壁镇人民政府</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呼图壁县呼图壁镇人民政府是执行本级人民代表大会的决意和上级国家行政机关的决定和命令，发布决定和命令。执行本行政区域内的经济和社会发展计划，预算，管理本级行政区域内的经济，教育，科学，文化，卫生，体育事业和财政，民政，公安，司法行政，计划生育等行政工作。办理上级人民政府交办的其他事项。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呼图壁县呼图壁镇人民政府无下属预算单位，下设五大办公室：党建办、党政办、社会事务办、综治办、经济办。</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呼图壁县呼图壁镇人民政府编制数100，实有人数</w:t>
      </w:r>
      <w:r>
        <w:rPr>
          <w:rFonts w:hint="eastAsia" w:ascii="仿宋_GB2312" w:hAnsi="黑体" w:eastAsia="仿宋_GB2312" w:cs="宋体"/>
          <w:bCs/>
          <w:color w:val="auto"/>
          <w:kern w:val="0"/>
          <w:sz w:val="32"/>
          <w:szCs w:val="32"/>
          <w:highlight w:val="none"/>
          <w:lang w:val="en-US" w:eastAsia="zh-CN"/>
        </w:rPr>
        <w:t>124</w:t>
      </w:r>
      <w:r>
        <w:rPr>
          <w:rFonts w:hint="eastAsia" w:ascii="仿宋_GB2312" w:hAnsi="黑体" w:eastAsia="仿宋_GB2312" w:cs="宋体"/>
          <w:bCs/>
          <w:color w:val="auto"/>
          <w:kern w:val="0"/>
          <w:sz w:val="32"/>
          <w:szCs w:val="32"/>
          <w:highlight w:val="none"/>
        </w:rPr>
        <w:t xml:space="preserve">    人，其中：在职</w:t>
      </w:r>
      <w:r>
        <w:rPr>
          <w:rFonts w:hint="eastAsia" w:ascii="仿宋_GB2312" w:hAnsi="黑体" w:eastAsia="仿宋_GB2312" w:cs="宋体"/>
          <w:bCs/>
          <w:color w:val="auto"/>
          <w:kern w:val="0"/>
          <w:sz w:val="32"/>
          <w:szCs w:val="32"/>
          <w:highlight w:val="none"/>
          <w:lang w:val="en-US" w:eastAsia="zh-CN"/>
        </w:rPr>
        <w:t>97</w:t>
      </w:r>
      <w:r>
        <w:rPr>
          <w:rFonts w:hint="eastAsia" w:ascii="仿宋_GB2312" w:hAnsi="黑体" w:eastAsia="仿宋_GB2312" w:cs="宋体"/>
          <w:bCs/>
          <w:color w:val="auto"/>
          <w:kern w:val="0"/>
          <w:sz w:val="32"/>
          <w:szCs w:val="32"/>
          <w:highlight w:val="none"/>
        </w:rPr>
        <w:t>人，增加</w:t>
      </w:r>
      <w:r>
        <w:rPr>
          <w:rFonts w:hint="eastAsia" w:ascii="仿宋_GB2312" w:hAnsi="黑体" w:eastAsia="仿宋_GB2312" w:cs="宋体"/>
          <w:bCs/>
          <w:color w:val="auto"/>
          <w:kern w:val="0"/>
          <w:sz w:val="32"/>
          <w:szCs w:val="32"/>
          <w:highlight w:val="none"/>
          <w:lang w:val="en-US" w:eastAsia="zh-CN"/>
        </w:rPr>
        <w:t>7</w:t>
      </w:r>
      <w:r>
        <w:rPr>
          <w:rFonts w:hint="eastAsia" w:ascii="仿宋_GB2312" w:hAnsi="黑体" w:eastAsia="仿宋_GB2312" w:cs="宋体"/>
          <w:bCs/>
          <w:color w:val="auto"/>
          <w:kern w:val="0"/>
          <w:sz w:val="32"/>
          <w:szCs w:val="32"/>
          <w:highlight w:val="none"/>
        </w:rPr>
        <w:t>人；退休27人</w:t>
      </w:r>
      <w:r>
        <w:rPr>
          <w:rFonts w:hint="eastAsia" w:ascii="仿宋_GB2312" w:hAnsi="黑体" w:eastAsia="仿宋_GB2312" w:cs="宋体"/>
          <w:bCs/>
          <w:color w:val="auto"/>
          <w:kern w:val="0"/>
          <w:sz w:val="32"/>
          <w:szCs w:val="32"/>
          <w:highlight w:val="none"/>
          <w:lang w:eastAsia="zh-CN"/>
        </w:rPr>
        <w:t>与上年持平</w:t>
      </w:r>
      <w:r>
        <w:rPr>
          <w:rFonts w:hint="eastAsia" w:ascii="仿宋_GB2312" w:hAnsi="黑体" w:eastAsia="仿宋_GB2312" w:cs="宋体"/>
          <w:bCs/>
          <w:color w:val="auto"/>
          <w:kern w:val="0"/>
          <w:sz w:val="32"/>
          <w:szCs w:val="32"/>
          <w:highlight w:val="none"/>
        </w:rPr>
        <w:t>；离休</w:t>
      </w:r>
      <w:r>
        <w:rPr>
          <w:rFonts w:hint="eastAsia" w:ascii="仿宋_GB2312" w:hAnsi="黑体" w:eastAsia="仿宋_GB2312" w:cs="宋体"/>
          <w:bCs/>
          <w:color w:val="auto"/>
          <w:kern w:val="0"/>
          <w:sz w:val="32"/>
          <w:szCs w:val="32"/>
          <w:highlight w:val="none"/>
          <w:lang w:val="en-US" w:eastAsia="zh-CN"/>
        </w:rPr>
        <w:t>0</w:t>
      </w:r>
      <w:r>
        <w:rPr>
          <w:rFonts w:hint="eastAsia" w:ascii="仿宋_GB2312" w:hAnsi="黑体" w:eastAsia="仿宋_GB2312" w:cs="宋体"/>
          <w:bCs/>
          <w:color w:val="auto"/>
          <w:kern w:val="0"/>
          <w:sz w:val="32"/>
          <w:szCs w:val="32"/>
          <w:highlight w:val="none"/>
        </w:rPr>
        <w:t>人，</w:t>
      </w:r>
      <w:r>
        <w:rPr>
          <w:rFonts w:hint="eastAsia" w:ascii="仿宋_GB2312" w:hAnsi="黑体" w:eastAsia="仿宋_GB2312" w:cs="宋体"/>
          <w:bCs/>
          <w:color w:val="auto"/>
          <w:kern w:val="0"/>
          <w:sz w:val="32"/>
          <w:szCs w:val="32"/>
          <w:highlight w:val="none"/>
          <w:lang w:eastAsia="zh-CN"/>
        </w:rPr>
        <w:t>减少</w:t>
      </w:r>
      <w:r>
        <w:rPr>
          <w:rFonts w:hint="eastAsia" w:ascii="仿宋_GB2312" w:hAnsi="黑体" w:eastAsia="仿宋_GB2312" w:cs="宋体"/>
          <w:bCs/>
          <w:color w:val="auto"/>
          <w:kern w:val="0"/>
          <w:sz w:val="32"/>
          <w:szCs w:val="32"/>
          <w:highlight w:val="none"/>
          <w:lang w:val="en-US" w:eastAsia="zh-CN"/>
        </w:rPr>
        <w:t>1</w:t>
      </w:r>
      <w:r>
        <w:rPr>
          <w:rFonts w:hint="eastAsia" w:ascii="仿宋_GB2312" w:hAnsi="黑体" w:eastAsia="仿宋_GB2312" w:cs="宋体"/>
          <w:bCs/>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呼图壁县呼图壁镇人民政府</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呼图壁县呼图壁镇人民政府</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编制单位：呼图壁县呼图壁镇人民政府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7353.4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635</w:t>
            </w:r>
            <w:r>
              <w:rPr>
                <w:rFonts w:hint="eastAsia" w:ascii="仿宋_GB2312" w:hAnsi="宋体" w:eastAsia="仿宋_GB2312" w:cs="宋体"/>
                <w:color w:val="auto"/>
                <w:kern w:val="0"/>
                <w:sz w:val="18"/>
                <w:szCs w:val="18"/>
                <w:highlight w:val="none"/>
                <w:lang w:val="en-US" w:eastAsia="zh-CN"/>
              </w:rPr>
              <w:t>0</w:t>
            </w:r>
            <w:r>
              <w:rPr>
                <w:rFonts w:hint="eastAsia" w:ascii="仿宋_GB2312" w:hAnsi="宋体" w:eastAsia="仿宋_GB2312" w:cs="宋体"/>
                <w:color w:val="auto"/>
                <w:kern w:val="0"/>
                <w:sz w:val="18"/>
                <w:szCs w:val="18"/>
                <w:highlight w:val="none"/>
              </w:rPr>
              <w:t>.45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4362.87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4362.87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40.53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480.14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40.53</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234.06</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2950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2950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1.59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1.59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246.22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1.09</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41.63</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0.50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val="0"/>
                <w:bCs w:val="0"/>
                <w:color w:val="auto"/>
                <w:kern w:val="0"/>
                <w:sz w:val="20"/>
                <w:szCs w:val="20"/>
                <w:highlight w:val="none"/>
              </w:rPr>
              <w:t>7355.00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7355.00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黑体" w:hAnsi="黑体" w:eastAsia="黑体"/>
          <w:color w:val="auto"/>
          <w:kern w:val="0"/>
          <w:sz w:val="32"/>
          <w:szCs w:val="32"/>
          <w:highlight w:val="none"/>
          <w:lang w:eastAsia="zh-CN"/>
        </w:rPr>
        <w:t>呼图壁县呼图壁镇人民政府</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编制单位：呼图壁县呼图壁镇人民政府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525" w:type="dxa"/>
        <w:tblInd w:w="-450" w:type="dxa"/>
        <w:tblLayout w:type="fixed"/>
        <w:tblCellMar>
          <w:top w:w="0" w:type="dxa"/>
          <w:left w:w="108" w:type="dxa"/>
          <w:bottom w:w="0" w:type="dxa"/>
          <w:right w:w="108" w:type="dxa"/>
        </w:tblCellMar>
      </w:tblPr>
      <w:tblGrid>
        <w:gridCol w:w="516"/>
        <w:gridCol w:w="478"/>
        <w:gridCol w:w="450"/>
        <w:gridCol w:w="627"/>
        <w:gridCol w:w="980"/>
        <w:gridCol w:w="962"/>
        <w:gridCol w:w="962"/>
        <w:gridCol w:w="350"/>
        <w:gridCol w:w="355"/>
        <w:gridCol w:w="354"/>
        <w:gridCol w:w="764"/>
        <w:gridCol w:w="777"/>
        <w:gridCol w:w="395"/>
        <w:gridCol w:w="835"/>
        <w:gridCol w:w="348"/>
        <w:gridCol w:w="372"/>
      </w:tblGrid>
      <w:tr>
        <w:tblPrEx>
          <w:tblLayout w:type="fixed"/>
          <w:tblCellMar>
            <w:top w:w="0" w:type="dxa"/>
            <w:left w:w="108" w:type="dxa"/>
            <w:bottom w:w="0" w:type="dxa"/>
            <w:right w:w="108" w:type="dxa"/>
          </w:tblCellMar>
        </w:tblPrEx>
        <w:trPr>
          <w:trHeight w:val="697" w:hRule="atLeast"/>
        </w:trPr>
        <w:tc>
          <w:tcPr>
            <w:tcW w:w="1444"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62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24"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4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7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4891" w:hRule="atLeast"/>
        </w:trPr>
        <w:tc>
          <w:tcPr>
            <w:tcW w:w="51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78"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62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6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6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3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35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6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3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4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7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201　</w:t>
            </w:r>
          </w:p>
        </w:tc>
        <w:tc>
          <w:tcPr>
            <w:tcW w:w="478"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一般公共服务支出</w:t>
            </w:r>
          </w:p>
        </w:tc>
        <w:tc>
          <w:tcPr>
            <w:tcW w:w="98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635</w:t>
            </w:r>
            <w:r>
              <w:rPr>
                <w:rFonts w:hint="eastAsia" w:ascii="仿宋_GB2312" w:eastAsia="仿宋_GB2312"/>
                <w:color w:val="auto"/>
                <w:sz w:val="20"/>
                <w:szCs w:val="20"/>
                <w:highlight w:val="none"/>
                <w:lang w:val="en-US" w:eastAsia="zh-CN"/>
              </w:rPr>
              <w:t>0</w:t>
            </w:r>
            <w:r>
              <w:rPr>
                <w:rFonts w:hint="eastAsia" w:ascii="仿宋_GB2312" w:eastAsia="仿宋_GB2312"/>
                <w:color w:val="auto"/>
                <w:sz w:val="20"/>
                <w:szCs w:val="20"/>
                <w:highlight w:val="none"/>
              </w:rPr>
              <w:t>.45</w:t>
            </w:r>
          </w:p>
        </w:tc>
        <w:tc>
          <w:tcPr>
            <w:tcW w:w="962"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val="0"/>
              <w:overflowPunct/>
              <w:topLinePunct w:val="0"/>
              <w:autoSpaceDE/>
              <w:autoSpaceDN/>
              <w:bidi w:val="0"/>
              <w:adjustRightInd/>
              <w:snapToGrid/>
              <w:jc w:val="center"/>
              <w:textAlignment w:val="auto"/>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394</w:t>
            </w:r>
            <w:r>
              <w:rPr>
                <w:rFonts w:hint="eastAsia" w:ascii="仿宋_GB2312" w:eastAsia="仿宋_GB2312"/>
                <w:color w:val="auto"/>
                <w:sz w:val="20"/>
                <w:szCs w:val="20"/>
                <w:highlight w:val="none"/>
                <w:lang w:val="en-US" w:eastAsia="zh-CN"/>
              </w:rPr>
              <w:t>7</w:t>
            </w:r>
            <w:r>
              <w:rPr>
                <w:rFonts w:hint="eastAsia" w:ascii="仿宋_GB2312" w:eastAsia="仿宋_GB2312"/>
                <w:color w:val="auto"/>
                <w:sz w:val="20"/>
                <w:szCs w:val="20"/>
                <w:highlight w:val="none"/>
              </w:rPr>
              <w:t>.45</w:t>
            </w:r>
          </w:p>
        </w:tc>
        <w:tc>
          <w:tcPr>
            <w:tcW w:w="962"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val="0"/>
              <w:overflowPunct/>
              <w:topLinePunct w:val="0"/>
              <w:autoSpaceDE/>
              <w:autoSpaceDN/>
              <w:bidi w:val="0"/>
              <w:adjustRightInd/>
              <w:snapToGrid/>
              <w:jc w:val="center"/>
              <w:textAlignment w:val="auto"/>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394</w:t>
            </w:r>
            <w:r>
              <w:rPr>
                <w:rFonts w:hint="eastAsia" w:ascii="仿宋_GB2312" w:eastAsia="仿宋_GB2312"/>
                <w:color w:val="auto"/>
                <w:sz w:val="20"/>
                <w:szCs w:val="20"/>
                <w:highlight w:val="none"/>
                <w:lang w:val="en-US" w:eastAsia="zh-CN"/>
              </w:rPr>
              <w:t>7</w:t>
            </w:r>
            <w:r>
              <w:rPr>
                <w:rFonts w:hint="eastAsia" w:ascii="仿宋_GB2312" w:eastAsia="仿宋_GB2312"/>
                <w:color w:val="auto"/>
                <w:sz w:val="20"/>
                <w:szCs w:val="20"/>
                <w:highlight w:val="none"/>
              </w:rPr>
              <w:t>.45</w:t>
            </w:r>
          </w:p>
        </w:tc>
        <w:tc>
          <w:tcPr>
            <w:tcW w:w="35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val="0"/>
              <w:overflowPunct/>
              <w:topLinePunct w:val="0"/>
              <w:autoSpaceDE/>
              <w:autoSpaceDN/>
              <w:bidi w:val="0"/>
              <w:adjustRightInd/>
              <w:snapToGrid/>
              <w:jc w:val="center"/>
              <w:textAlignment w:val="auto"/>
              <w:rPr>
                <w:rFonts w:ascii="仿宋_GB2312" w:hAnsi="宋体" w:eastAsia="仿宋_GB2312" w:cs="宋体"/>
                <w:color w:val="auto"/>
                <w:kern w:val="2"/>
                <w:sz w:val="20"/>
                <w:szCs w:val="20"/>
                <w:highlight w:val="none"/>
                <w:lang w:val="en-US" w:eastAsia="zh-CN" w:bidi="ar-SA"/>
              </w:rPr>
            </w:pPr>
          </w:p>
        </w:tc>
        <w:tc>
          <w:tcPr>
            <w:tcW w:w="35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val="0"/>
              <w:overflowPunct/>
              <w:topLinePunct w:val="0"/>
              <w:autoSpaceDE/>
              <w:autoSpaceDN/>
              <w:bidi w:val="0"/>
              <w:adjustRightInd/>
              <w:snapToGrid/>
              <w:jc w:val="center"/>
              <w:textAlignment w:val="auto"/>
              <w:rPr>
                <w:rFonts w:ascii="仿宋_GB2312" w:hAnsi="宋体" w:eastAsia="仿宋_GB2312" w:cs="宋体"/>
                <w:color w:val="auto"/>
                <w:kern w:val="2"/>
                <w:sz w:val="20"/>
                <w:szCs w:val="20"/>
                <w:highlight w:val="none"/>
                <w:lang w:val="en-US" w:eastAsia="zh-CN" w:bidi="ar-SA"/>
              </w:rPr>
            </w:pPr>
          </w:p>
        </w:tc>
        <w:tc>
          <w:tcPr>
            <w:tcW w:w="354"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val="0"/>
              <w:overflowPunct/>
              <w:topLinePunct w:val="0"/>
              <w:autoSpaceDE/>
              <w:autoSpaceDN/>
              <w:bidi w:val="0"/>
              <w:adjustRightInd/>
              <w:snapToGrid/>
              <w:jc w:val="center"/>
              <w:textAlignment w:val="auto"/>
              <w:rPr>
                <w:rFonts w:ascii="仿宋_GB2312" w:hAnsi="宋体" w:eastAsia="仿宋_GB2312" w:cs="宋体"/>
                <w:color w:val="auto"/>
                <w:kern w:val="2"/>
                <w:sz w:val="20"/>
                <w:szCs w:val="20"/>
                <w:highlight w:val="none"/>
                <w:lang w:val="en-US" w:eastAsia="zh-CN" w:bidi="ar-SA"/>
              </w:rPr>
            </w:pPr>
          </w:p>
        </w:tc>
        <w:tc>
          <w:tcPr>
            <w:tcW w:w="764"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val="0"/>
              <w:overflowPunct/>
              <w:topLinePunct w:val="0"/>
              <w:autoSpaceDE/>
              <w:autoSpaceDN/>
              <w:bidi w:val="0"/>
              <w:adjustRightInd/>
              <w:snapToGrid/>
              <w:jc w:val="center"/>
              <w:textAlignment w:val="auto"/>
              <w:rPr>
                <w:rFonts w:ascii="仿宋_GB2312" w:hAnsi="宋体" w:eastAsia="仿宋_GB2312" w:cs="宋体"/>
                <w:color w:val="auto"/>
                <w:kern w:val="2"/>
                <w:sz w:val="20"/>
                <w:szCs w:val="20"/>
                <w:highlight w:val="none"/>
                <w:lang w:val="en-US" w:eastAsia="zh-CN" w:bidi="ar-SA"/>
              </w:rPr>
            </w:pPr>
          </w:p>
        </w:tc>
        <w:tc>
          <w:tcPr>
            <w:tcW w:w="77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val="0"/>
              <w:overflowPunct/>
              <w:topLinePunct w:val="0"/>
              <w:autoSpaceDE/>
              <w:autoSpaceDN/>
              <w:bidi w:val="0"/>
              <w:adjustRightInd/>
              <w:snapToGrid/>
              <w:jc w:val="center"/>
              <w:textAlignment w:val="auto"/>
              <w:rPr>
                <w:rFonts w:ascii="仿宋_GB2312" w:hAnsi="宋体" w:eastAsia="仿宋_GB2312" w:cs="宋体"/>
                <w:color w:val="auto"/>
                <w:kern w:val="2"/>
                <w:sz w:val="20"/>
                <w:szCs w:val="20"/>
                <w:highlight w:val="none"/>
                <w:lang w:val="en-US" w:eastAsia="zh-CN" w:bidi="ar-SA"/>
              </w:rPr>
            </w:pPr>
          </w:p>
        </w:tc>
        <w:tc>
          <w:tcPr>
            <w:tcW w:w="39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Times New Roman" w:eastAsia="仿宋_GB2312" w:cs="Times New Roman"/>
                <w:color w:val="auto"/>
                <w:kern w:val="2"/>
                <w:sz w:val="20"/>
                <w:szCs w:val="20"/>
                <w:highlight w:val="none"/>
                <w:lang w:val="en-US" w:eastAsia="zh-CN" w:bidi="ar-SA"/>
              </w:rPr>
            </w:pPr>
          </w:p>
        </w:tc>
        <w:tc>
          <w:tcPr>
            <w:tcW w:w="83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kern w:val="2"/>
                <w:sz w:val="20"/>
                <w:szCs w:val="20"/>
                <w:highlight w:val="none"/>
                <w:lang w:val="en-US" w:eastAsia="zh-CN" w:bidi="ar-SA"/>
              </w:rPr>
              <w:t>2403.00</w:t>
            </w:r>
          </w:p>
        </w:tc>
        <w:tc>
          <w:tcPr>
            <w:tcW w:w="348"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val="0"/>
              <w:overflowPunct/>
              <w:topLinePunct w:val="0"/>
              <w:autoSpaceDE/>
              <w:autoSpaceDN/>
              <w:bidi w:val="0"/>
              <w:adjustRightInd/>
              <w:snapToGrid/>
              <w:jc w:val="right"/>
              <w:textAlignment w:val="auto"/>
              <w:rPr>
                <w:rFonts w:hint="eastAsia" w:ascii="仿宋_GB2312" w:hAnsi="Times New Roman" w:eastAsia="仿宋_GB2312" w:cs="Times New Roman"/>
                <w:color w:val="auto"/>
                <w:kern w:val="2"/>
                <w:sz w:val="20"/>
                <w:szCs w:val="20"/>
                <w:highlight w:val="none"/>
                <w:lang w:val="en-US" w:eastAsia="zh-CN" w:bidi="ar-SA"/>
              </w:rPr>
            </w:pPr>
          </w:p>
        </w:tc>
        <w:tc>
          <w:tcPr>
            <w:tcW w:w="372"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val="0"/>
              <w:kinsoku/>
              <w:wordWrap w:val="0"/>
              <w:overflowPunct/>
              <w:topLinePunct w:val="0"/>
              <w:autoSpaceDE/>
              <w:autoSpaceDN/>
              <w:bidi w:val="0"/>
              <w:adjustRightInd/>
              <w:snapToGrid/>
              <w:jc w:val="right"/>
              <w:textAlignment w:val="auto"/>
              <w:rPr>
                <w:rFonts w:hint="eastAsia" w:ascii="仿宋_GB2312" w:hAnsi="Times New Roman" w:eastAsia="仿宋_GB2312" w:cs="Times New Roman"/>
                <w:color w:val="auto"/>
                <w:kern w:val="2"/>
                <w:sz w:val="20"/>
                <w:szCs w:val="20"/>
                <w:highlight w:val="none"/>
                <w:lang w:val="en-US" w:eastAsia="zh-CN" w:bidi="ar-SA"/>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201　</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01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人大事务　</w:t>
            </w:r>
          </w:p>
        </w:tc>
        <w:tc>
          <w:tcPr>
            <w:tcW w:w="980" w:type="dxa"/>
            <w:tcBorders>
              <w:top w:val="nil"/>
              <w:left w:val="nil"/>
              <w:bottom w:val="single" w:color="auto" w:sz="4" w:space="0"/>
              <w:right w:val="single" w:color="auto" w:sz="4" w:space="0"/>
            </w:tcBorders>
            <w:noWrap w:val="0"/>
            <w:vAlign w:val="center"/>
          </w:tcPr>
          <w:p>
            <w:pPr>
              <w:tabs>
                <w:tab w:val="left" w:pos="437"/>
                <w:tab w:val="right" w:pos="1084"/>
              </w:tabs>
              <w:jc w:val="lef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eastAsia="zh-CN"/>
              </w:rPr>
              <w:t>98.50</w:t>
            </w: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rPr>
              <w:t>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28.50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28.50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70.00</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201　</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01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一般行政管理事务　</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70.00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70.00</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201　</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01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其他人大事务支出　</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28.50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28.50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28.50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361"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201　</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w:t>
            </w:r>
            <w:r>
              <w:rPr>
                <w:rFonts w:hint="eastAsia" w:ascii="仿宋_GB2312" w:eastAsia="仿宋_GB2312"/>
                <w:color w:val="auto"/>
                <w:sz w:val="20"/>
                <w:szCs w:val="20"/>
                <w:highlight w:val="none"/>
                <w:lang w:val="en-US" w:eastAsia="zh-CN"/>
              </w:rPr>
              <w:t>3</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政府办公厅（室）及相关机构事务</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625</w:t>
            </w:r>
            <w:r>
              <w:rPr>
                <w:rFonts w:hint="eastAsia" w:ascii="仿宋_GB2312" w:eastAsia="仿宋_GB2312"/>
                <w:color w:val="auto"/>
                <w:sz w:val="20"/>
                <w:szCs w:val="20"/>
                <w:highlight w:val="none"/>
                <w:lang w:val="en-US" w:eastAsia="zh-CN"/>
              </w:rPr>
              <w:t>1</w:t>
            </w:r>
            <w:r>
              <w:rPr>
                <w:rFonts w:hint="eastAsia" w:ascii="仿宋_GB2312" w:eastAsia="仿宋_GB2312"/>
                <w:color w:val="auto"/>
                <w:sz w:val="20"/>
                <w:szCs w:val="20"/>
                <w:highlight w:val="none"/>
              </w:rPr>
              <w:t>.95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39</w:t>
            </w:r>
            <w:r>
              <w:rPr>
                <w:rFonts w:hint="eastAsia" w:ascii="仿宋_GB2312" w:eastAsia="仿宋_GB2312"/>
                <w:color w:val="auto"/>
                <w:sz w:val="20"/>
                <w:szCs w:val="20"/>
                <w:highlight w:val="none"/>
                <w:lang w:val="en-US" w:eastAsia="zh-CN"/>
              </w:rPr>
              <w:t>18</w:t>
            </w:r>
            <w:r>
              <w:rPr>
                <w:rFonts w:hint="eastAsia" w:ascii="仿宋_GB2312" w:eastAsia="仿宋_GB2312"/>
                <w:color w:val="auto"/>
                <w:sz w:val="20"/>
                <w:szCs w:val="20"/>
                <w:highlight w:val="none"/>
              </w:rPr>
              <w:t>.95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39</w:t>
            </w:r>
            <w:r>
              <w:rPr>
                <w:rFonts w:hint="eastAsia" w:ascii="仿宋_GB2312" w:eastAsia="仿宋_GB2312"/>
                <w:color w:val="auto"/>
                <w:sz w:val="20"/>
                <w:szCs w:val="20"/>
                <w:highlight w:val="none"/>
                <w:lang w:val="en-US" w:eastAsia="zh-CN"/>
              </w:rPr>
              <w:t>18</w:t>
            </w:r>
            <w:r>
              <w:rPr>
                <w:rFonts w:hint="eastAsia" w:ascii="仿宋_GB2312" w:eastAsia="仿宋_GB2312"/>
                <w:color w:val="auto"/>
                <w:sz w:val="20"/>
                <w:szCs w:val="20"/>
                <w:highlight w:val="none"/>
              </w:rPr>
              <w:t>.95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2333</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201　</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w:t>
            </w:r>
            <w:r>
              <w:rPr>
                <w:rFonts w:hint="eastAsia" w:ascii="仿宋_GB2312" w:eastAsia="仿宋_GB2312"/>
                <w:color w:val="auto"/>
                <w:sz w:val="20"/>
                <w:szCs w:val="20"/>
                <w:highlight w:val="none"/>
                <w:lang w:val="en-US" w:eastAsia="zh-CN"/>
              </w:rPr>
              <w:t>3</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行政运行</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526</w:t>
            </w:r>
            <w:r>
              <w:rPr>
                <w:rFonts w:hint="eastAsia" w:ascii="仿宋_GB2312" w:eastAsia="仿宋_GB2312"/>
                <w:color w:val="auto"/>
                <w:sz w:val="20"/>
                <w:szCs w:val="20"/>
                <w:highlight w:val="none"/>
                <w:lang w:val="en-US" w:eastAsia="zh-CN"/>
              </w:rPr>
              <w:t>5</w:t>
            </w:r>
            <w:r>
              <w:rPr>
                <w:rFonts w:hint="eastAsia" w:ascii="仿宋_GB2312" w:eastAsia="仿宋_GB2312"/>
                <w:color w:val="auto"/>
                <w:sz w:val="20"/>
                <w:szCs w:val="20"/>
                <w:highlight w:val="none"/>
              </w:rPr>
              <w:t>.35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311</w:t>
            </w:r>
            <w:r>
              <w:rPr>
                <w:rFonts w:hint="eastAsia" w:ascii="仿宋_GB2312" w:eastAsia="仿宋_GB2312"/>
                <w:color w:val="auto"/>
                <w:sz w:val="20"/>
                <w:szCs w:val="20"/>
                <w:highlight w:val="none"/>
                <w:lang w:val="en-US" w:eastAsia="zh-CN"/>
              </w:rPr>
              <w:t>5</w:t>
            </w:r>
            <w:r>
              <w:rPr>
                <w:rFonts w:hint="eastAsia" w:ascii="仿宋_GB2312" w:eastAsia="仿宋_GB2312"/>
                <w:color w:val="auto"/>
                <w:sz w:val="20"/>
                <w:szCs w:val="20"/>
                <w:highlight w:val="none"/>
              </w:rPr>
              <w:t>.35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311</w:t>
            </w:r>
            <w:r>
              <w:rPr>
                <w:rFonts w:hint="eastAsia" w:ascii="仿宋_GB2312" w:eastAsia="仿宋_GB2312"/>
                <w:color w:val="auto"/>
                <w:sz w:val="20"/>
                <w:szCs w:val="20"/>
                <w:highlight w:val="none"/>
                <w:lang w:val="en-US" w:eastAsia="zh-CN"/>
              </w:rPr>
              <w:t>5</w:t>
            </w:r>
            <w:r>
              <w:rPr>
                <w:rFonts w:hint="eastAsia" w:ascii="仿宋_GB2312" w:eastAsia="仿宋_GB2312"/>
                <w:color w:val="auto"/>
                <w:sz w:val="20"/>
                <w:szCs w:val="20"/>
                <w:highlight w:val="none"/>
              </w:rPr>
              <w:t>.35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2150</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201　</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w:t>
            </w:r>
            <w:r>
              <w:rPr>
                <w:rFonts w:hint="eastAsia" w:ascii="仿宋_GB2312" w:eastAsia="仿宋_GB2312"/>
                <w:color w:val="auto"/>
                <w:sz w:val="20"/>
                <w:szCs w:val="20"/>
                <w:highlight w:val="none"/>
                <w:lang w:val="en-US" w:eastAsia="zh-CN"/>
              </w:rPr>
              <w:t>3</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一般行政管理事务　</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183.00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183</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201　</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w:t>
            </w:r>
            <w:r>
              <w:rPr>
                <w:rFonts w:hint="eastAsia" w:ascii="仿宋_GB2312" w:eastAsia="仿宋_GB2312"/>
                <w:color w:val="auto"/>
                <w:sz w:val="20"/>
                <w:szCs w:val="20"/>
                <w:highlight w:val="none"/>
                <w:lang w:val="en-US" w:eastAsia="zh-CN"/>
              </w:rPr>
              <w:t>3</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50</w:t>
            </w: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事业运行</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803.61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803.61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803.61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204</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公共安全支出</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204</w:t>
            </w:r>
          </w:p>
        </w:tc>
        <w:tc>
          <w:tcPr>
            <w:tcW w:w="478"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01</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武装警察部队</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204</w:t>
            </w:r>
          </w:p>
        </w:tc>
        <w:tc>
          <w:tcPr>
            <w:tcW w:w="478"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01</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99</w:t>
            </w: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其他武装警察部队支出</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208</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62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社会保障和就业支出</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480.14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190.14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190.14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290</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2"/>
                <w:sz w:val="20"/>
                <w:szCs w:val="20"/>
                <w:highlight w:val="none"/>
                <w:lang w:val="en-US" w:eastAsia="zh-CN" w:bidi="ar-SA"/>
              </w:rPr>
              <w:t>208</w:t>
            </w:r>
            <w:r>
              <w:rPr>
                <w:rFonts w:hint="eastAsia" w:ascii="仿宋_GB2312" w:eastAsia="仿宋_GB2312"/>
                <w:color w:val="auto"/>
                <w:sz w:val="20"/>
                <w:szCs w:val="20"/>
                <w:highlight w:val="none"/>
              </w:rPr>
              <w:t>　</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行政事业单位养老支出</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480.14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190.14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190.14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290</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208</w:t>
            </w:r>
            <w:r>
              <w:rPr>
                <w:rFonts w:hint="eastAsia" w:ascii="仿宋_GB2312" w:eastAsia="仿宋_GB2312"/>
                <w:color w:val="auto"/>
                <w:sz w:val="20"/>
                <w:szCs w:val="20"/>
                <w:highlight w:val="none"/>
              </w:rPr>
              <w:t>　</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行政单位离退休</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33.99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33.99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33.99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208</w:t>
            </w:r>
            <w:r>
              <w:rPr>
                <w:rFonts w:hint="eastAsia" w:ascii="仿宋_GB2312" w:eastAsia="仿宋_GB2312"/>
                <w:color w:val="auto"/>
                <w:sz w:val="20"/>
                <w:szCs w:val="20"/>
                <w:highlight w:val="none"/>
              </w:rPr>
              <w:t>　</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事业单位离退休</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4.81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4.81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4.81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208</w:t>
            </w:r>
            <w:r>
              <w:rPr>
                <w:rFonts w:hint="eastAsia" w:ascii="仿宋_GB2312" w:eastAsia="仿宋_GB2312"/>
                <w:color w:val="auto"/>
                <w:sz w:val="20"/>
                <w:szCs w:val="20"/>
                <w:highlight w:val="none"/>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机关事业单位基本养老保险缴费支出</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371.34</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151.34</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151.34</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220</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208</w:t>
            </w:r>
            <w:r>
              <w:rPr>
                <w:rFonts w:hint="eastAsia" w:ascii="仿宋_GB2312" w:eastAsia="仿宋_GB2312"/>
                <w:color w:val="auto"/>
                <w:sz w:val="20"/>
                <w:szCs w:val="20"/>
                <w:highlight w:val="none"/>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06</w:t>
            </w: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机关事业单位职业年金缴费支出</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70.00</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70</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卫生健康支出</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234.06</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97.06</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97.06</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137</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1173"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210</w:t>
            </w:r>
          </w:p>
        </w:tc>
        <w:tc>
          <w:tcPr>
            <w:tcW w:w="47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行政事业单位医疗</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234.06</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97.06</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97.06</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137</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行政单位医疗</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130.43</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20.43</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20.43</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110</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事业单位医疗</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55.24</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55.24</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55.24</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公务员医疗补助</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47.81</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20.81</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20.81</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27</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p>
        </w:tc>
        <w:tc>
          <w:tcPr>
            <w:tcW w:w="62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其他行政事业单位医疗支出　</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0.58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0.58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0.58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221</w:t>
            </w:r>
          </w:p>
        </w:tc>
        <w:tc>
          <w:tcPr>
            <w:tcW w:w="47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住房保障支出</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246.22</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126.22</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126.22</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120</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221</w:t>
            </w:r>
          </w:p>
        </w:tc>
        <w:tc>
          <w:tcPr>
            <w:tcW w:w="47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住房改革支出</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246.22</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126.22</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126.22</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120</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221</w:t>
            </w:r>
          </w:p>
        </w:tc>
        <w:tc>
          <w:tcPr>
            <w:tcW w:w="47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246.22</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126.22</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126.22</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120</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223</w:t>
            </w:r>
          </w:p>
        </w:tc>
        <w:tc>
          <w:tcPr>
            <w:tcW w:w="47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国有资本经营预算支出</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41.63</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40.53</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40.53</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1.09</w:t>
            </w: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223</w:t>
            </w:r>
          </w:p>
        </w:tc>
        <w:tc>
          <w:tcPr>
            <w:tcW w:w="47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解决历史遗留问题及改革成本支出</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41.63</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40.53</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40.53</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1.09</w:t>
            </w: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223</w:t>
            </w:r>
          </w:p>
        </w:tc>
        <w:tc>
          <w:tcPr>
            <w:tcW w:w="47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45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国有企业退休人员社会化管理补助支出</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41.63</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40.53</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40.53</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1.09</w:t>
            </w: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229</w:t>
            </w:r>
          </w:p>
        </w:tc>
        <w:tc>
          <w:tcPr>
            <w:tcW w:w="47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其他支出</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0.50</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0.50</w:t>
            </w: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229</w:t>
            </w:r>
          </w:p>
        </w:tc>
        <w:tc>
          <w:tcPr>
            <w:tcW w:w="47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60</w:t>
            </w:r>
          </w:p>
        </w:tc>
        <w:tc>
          <w:tcPr>
            <w:tcW w:w="45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2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彩票公益金安排的支出</w:t>
            </w:r>
          </w:p>
        </w:tc>
        <w:tc>
          <w:tcPr>
            <w:tcW w:w="9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0.50</w:t>
            </w: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6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5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6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0.50</w:t>
            </w: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229</w:t>
            </w:r>
          </w:p>
        </w:tc>
        <w:tc>
          <w:tcPr>
            <w:tcW w:w="478"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60</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用于体育事业的彩票公益金支出</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0.50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0.50</w:t>
            </w: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738"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7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9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7355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4403.41　</w:t>
            </w:r>
          </w:p>
        </w:tc>
        <w:tc>
          <w:tcPr>
            <w:tcW w:w="9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4362.87　</w:t>
            </w:r>
          </w:p>
        </w:tc>
        <w:tc>
          <w:tcPr>
            <w:tcW w:w="3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5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40.53　</w:t>
            </w:r>
          </w:p>
        </w:tc>
        <w:tc>
          <w:tcPr>
            <w:tcW w:w="3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2950</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1.59</w:t>
            </w:r>
          </w:p>
        </w:tc>
        <w:tc>
          <w:tcPr>
            <w:tcW w:w="3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黑体" w:hAnsi="黑体" w:eastAsia="黑体"/>
          <w:color w:val="auto"/>
          <w:kern w:val="0"/>
          <w:sz w:val="32"/>
          <w:szCs w:val="32"/>
          <w:highlight w:val="none"/>
          <w:lang w:eastAsia="zh-CN"/>
        </w:rPr>
        <w:t>呼图壁县呼图壁镇人民政府</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编制单位：呼图壁县呼图壁镇人民政府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fixed"/>
        <w:tblCellMar>
          <w:top w:w="0" w:type="dxa"/>
          <w:left w:w="108" w:type="dxa"/>
          <w:bottom w:w="0" w:type="dxa"/>
          <w:right w:w="108" w:type="dxa"/>
        </w:tblCellMar>
      </w:tblPr>
      <w:tblGrid>
        <w:gridCol w:w="549"/>
        <w:gridCol w:w="438"/>
        <w:gridCol w:w="438"/>
        <w:gridCol w:w="3034"/>
        <w:gridCol w:w="1293"/>
        <w:gridCol w:w="1811"/>
        <w:gridCol w:w="1857"/>
      </w:tblGrid>
      <w:tr>
        <w:tblPrEx>
          <w:tblLayout w:type="fixed"/>
          <w:tblCellMar>
            <w:top w:w="0" w:type="dxa"/>
            <w:left w:w="108" w:type="dxa"/>
            <w:bottom w:w="0" w:type="dxa"/>
            <w:right w:w="108" w:type="dxa"/>
          </w:tblCellMar>
        </w:tblPrEx>
        <w:trPr>
          <w:trHeight w:val="328" w:hRule="atLeast"/>
        </w:trPr>
        <w:tc>
          <w:tcPr>
            <w:tcW w:w="445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96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42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03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2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1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5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03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2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1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5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一般公共服务支出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635</w:t>
            </w:r>
            <w:r>
              <w:rPr>
                <w:rFonts w:hint="eastAsia" w:ascii="宋体" w:hAnsi="宋体" w:cs="宋体"/>
                <w:b/>
                <w:bCs/>
                <w:color w:val="auto"/>
                <w:kern w:val="0"/>
                <w:sz w:val="22"/>
                <w:szCs w:val="22"/>
                <w:highlight w:val="none"/>
                <w:lang w:val="en-US" w:eastAsia="zh-CN"/>
              </w:rPr>
              <w:t>0</w:t>
            </w:r>
            <w:r>
              <w:rPr>
                <w:rFonts w:hint="eastAsia" w:ascii="宋体" w:hAnsi="宋体" w:cs="宋体"/>
                <w:b/>
                <w:bCs/>
                <w:color w:val="auto"/>
                <w:kern w:val="0"/>
                <w:sz w:val="22"/>
                <w:szCs w:val="22"/>
                <w:highlight w:val="none"/>
              </w:rPr>
              <w:t>.45</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473</w:t>
            </w:r>
            <w:r>
              <w:rPr>
                <w:rFonts w:hint="eastAsia" w:ascii="宋体" w:hAnsi="宋体" w:cs="宋体"/>
                <w:b/>
                <w:bCs/>
                <w:color w:val="auto"/>
                <w:kern w:val="0"/>
                <w:sz w:val="22"/>
                <w:szCs w:val="22"/>
                <w:highlight w:val="none"/>
                <w:lang w:val="en-US" w:eastAsia="zh-CN"/>
              </w:rPr>
              <w:t>4</w:t>
            </w:r>
            <w:r>
              <w:rPr>
                <w:rFonts w:hint="eastAsia" w:ascii="宋体" w:hAnsi="宋体" w:cs="宋体"/>
                <w:b/>
                <w:bCs/>
                <w:color w:val="auto"/>
                <w:kern w:val="0"/>
                <w:sz w:val="22"/>
                <w:szCs w:val="22"/>
                <w:highlight w:val="none"/>
              </w:rPr>
              <w:t>.55　</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1615.90　</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人大事务　</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98.50</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70.00</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28.50　</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一般行政管理事务　</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70.00</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70.00　</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99</w:t>
            </w:r>
            <w:r>
              <w:rPr>
                <w:rFonts w:hint="eastAsia" w:ascii="宋体" w:hAnsi="宋体" w:cs="宋体"/>
                <w:b/>
                <w:bCs/>
                <w:color w:val="auto"/>
                <w:kern w:val="0"/>
                <w:sz w:val="16"/>
                <w:szCs w:val="16"/>
                <w:highlight w:val="none"/>
              </w:rPr>
              <w:t>　</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其他人大事务支出　</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28.50</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28.50　</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政府办公厅（室）及相关机构事务　</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625</w:t>
            </w:r>
            <w:r>
              <w:rPr>
                <w:rFonts w:hint="eastAsia" w:ascii="宋体" w:hAnsi="宋体" w:cs="宋体"/>
                <w:b/>
                <w:bCs/>
                <w:color w:val="auto"/>
                <w:kern w:val="0"/>
                <w:sz w:val="22"/>
                <w:szCs w:val="22"/>
                <w:highlight w:val="none"/>
                <w:lang w:val="en-US" w:eastAsia="zh-CN"/>
              </w:rPr>
              <w:t>1</w:t>
            </w:r>
            <w:r>
              <w:rPr>
                <w:rFonts w:hint="eastAsia" w:ascii="宋体" w:hAnsi="宋体" w:cs="宋体"/>
                <w:b/>
                <w:bCs/>
                <w:color w:val="auto"/>
                <w:kern w:val="0"/>
                <w:sz w:val="22"/>
                <w:szCs w:val="22"/>
                <w:highlight w:val="none"/>
              </w:rPr>
              <w:t>.95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466</w:t>
            </w:r>
            <w:r>
              <w:rPr>
                <w:rFonts w:hint="eastAsia" w:ascii="宋体" w:hAnsi="宋体" w:cs="宋体"/>
                <w:b/>
                <w:bCs/>
                <w:color w:val="auto"/>
                <w:kern w:val="0"/>
                <w:sz w:val="22"/>
                <w:szCs w:val="22"/>
                <w:highlight w:val="none"/>
                <w:lang w:val="en-US" w:eastAsia="zh-CN"/>
              </w:rPr>
              <w:t>4</w:t>
            </w:r>
            <w:r>
              <w:rPr>
                <w:rFonts w:hint="eastAsia" w:ascii="宋体" w:hAnsi="宋体" w:cs="宋体"/>
                <w:b/>
                <w:bCs/>
                <w:color w:val="auto"/>
                <w:kern w:val="0"/>
                <w:sz w:val="22"/>
                <w:szCs w:val="22"/>
                <w:highlight w:val="none"/>
              </w:rPr>
              <w:t>.55</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1587.40　</w:t>
            </w:r>
          </w:p>
        </w:tc>
      </w:tr>
      <w:tr>
        <w:tblPrEx>
          <w:tblLayout w:type="fixed"/>
          <w:tblCellMar>
            <w:top w:w="0" w:type="dxa"/>
            <w:left w:w="108" w:type="dxa"/>
            <w:bottom w:w="0" w:type="dxa"/>
            <w:right w:w="108" w:type="dxa"/>
          </w:tblCellMar>
        </w:tblPrEx>
        <w:trPr>
          <w:trHeight w:val="490"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行政运行　</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526</w:t>
            </w:r>
            <w:r>
              <w:rPr>
                <w:rFonts w:hint="eastAsia" w:ascii="宋体" w:hAnsi="宋体" w:cs="宋体"/>
                <w:b/>
                <w:bCs/>
                <w:color w:val="auto"/>
                <w:kern w:val="0"/>
                <w:sz w:val="22"/>
                <w:szCs w:val="22"/>
                <w:highlight w:val="none"/>
                <w:lang w:val="en-US" w:eastAsia="zh-CN"/>
              </w:rPr>
              <w:t>5</w:t>
            </w:r>
            <w:r>
              <w:rPr>
                <w:rFonts w:hint="eastAsia" w:ascii="宋体" w:hAnsi="宋体" w:cs="宋体"/>
                <w:b/>
                <w:bCs/>
                <w:color w:val="auto"/>
                <w:kern w:val="0"/>
                <w:sz w:val="22"/>
                <w:szCs w:val="22"/>
                <w:highlight w:val="none"/>
              </w:rPr>
              <w:t>.35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367</w:t>
            </w:r>
            <w:r>
              <w:rPr>
                <w:rFonts w:hint="eastAsia" w:ascii="宋体" w:hAnsi="宋体" w:cs="宋体"/>
                <w:b/>
                <w:bCs/>
                <w:color w:val="auto"/>
                <w:kern w:val="0"/>
                <w:sz w:val="22"/>
                <w:szCs w:val="22"/>
                <w:highlight w:val="none"/>
                <w:lang w:val="en-US" w:eastAsia="zh-CN"/>
              </w:rPr>
              <w:t>7</w:t>
            </w:r>
            <w:r>
              <w:rPr>
                <w:rFonts w:hint="eastAsia" w:ascii="宋体" w:hAnsi="宋体" w:cs="宋体"/>
                <w:b/>
                <w:bCs/>
                <w:color w:val="auto"/>
                <w:kern w:val="0"/>
                <w:sz w:val="22"/>
                <w:szCs w:val="22"/>
                <w:highlight w:val="none"/>
              </w:rPr>
              <w:t>.95</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1587.40　</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一般行政管理事务　</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183.00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183.00</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50</w:t>
            </w:r>
            <w:r>
              <w:rPr>
                <w:rFonts w:hint="eastAsia" w:ascii="宋体" w:hAnsi="宋体" w:cs="宋体"/>
                <w:b/>
                <w:bCs/>
                <w:color w:val="auto"/>
                <w:kern w:val="0"/>
                <w:sz w:val="16"/>
                <w:szCs w:val="16"/>
                <w:highlight w:val="none"/>
              </w:rPr>
              <w:t>　</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事业运行　</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803.61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803.61</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204</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eastAsia="zh-CN"/>
              </w:rPr>
            </w:pPr>
            <w:r>
              <w:rPr>
                <w:rFonts w:hint="eastAsia" w:ascii="宋体" w:hAnsi="宋体" w:cs="宋体"/>
                <w:b/>
                <w:bCs/>
                <w:color w:val="auto"/>
                <w:kern w:val="0"/>
                <w:sz w:val="22"/>
                <w:szCs w:val="22"/>
                <w:highlight w:val="none"/>
                <w:lang w:eastAsia="zh-CN"/>
              </w:rPr>
              <w:t>公共安全支出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w:t>
            </w:r>
            <w:r>
              <w:rPr>
                <w:rFonts w:hint="eastAsia" w:ascii="宋体" w:hAnsi="宋体" w:cs="宋体"/>
                <w:b/>
                <w:bCs/>
                <w:color w:val="auto"/>
                <w:kern w:val="0"/>
                <w:sz w:val="22"/>
                <w:szCs w:val="22"/>
                <w:highlight w:val="none"/>
              </w:rPr>
              <w:t>.00</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w:t>
            </w:r>
            <w:r>
              <w:rPr>
                <w:rFonts w:hint="eastAsia" w:ascii="宋体" w:hAnsi="宋体" w:cs="宋体"/>
                <w:b/>
                <w:bCs/>
                <w:color w:val="auto"/>
                <w:kern w:val="0"/>
                <w:sz w:val="22"/>
                <w:szCs w:val="22"/>
                <w:highlight w:val="none"/>
              </w:rPr>
              <w:t>.00</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204</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eastAsia="zh-CN"/>
              </w:rPr>
            </w:pPr>
            <w:r>
              <w:rPr>
                <w:rFonts w:hint="eastAsia" w:ascii="宋体" w:hAnsi="宋体" w:cs="宋体"/>
                <w:b/>
                <w:bCs/>
                <w:color w:val="auto"/>
                <w:kern w:val="0"/>
                <w:sz w:val="22"/>
                <w:szCs w:val="22"/>
                <w:highlight w:val="none"/>
                <w:lang w:eastAsia="zh-CN"/>
              </w:rPr>
              <w:t>武装警察部队支出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2</w:t>
            </w:r>
            <w:r>
              <w:rPr>
                <w:rFonts w:hint="eastAsia" w:ascii="宋体" w:hAnsi="宋体" w:cs="宋体"/>
                <w:b/>
                <w:bCs/>
                <w:color w:val="auto"/>
                <w:kern w:val="0"/>
                <w:sz w:val="22"/>
                <w:szCs w:val="22"/>
                <w:highlight w:val="none"/>
              </w:rPr>
              <w:t>.00</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2</w:t>
            </w:r>
            <w:r>
              <w:rPr>
                <w:rFonts w:hint="eastAsia" w:ascii="宋体" w:hAnsi="宋体" w:cs="宋体"/>
                <w:b/>
                <w:bCs/>
                <w:color w:val="auto"/>
                <w:kern w:val="0"/>
                <w:sz w:val="22"/>
                <w:szCs w:val="22"/>
                <w:highlight w:val="none"/>
              </w:rPr>
              <w:t>.00</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204</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其他武装警察部队支出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2</w:t>
            </w:r>
            <w:r>
              <w:rPr>
                <w:rFonts w:hint="eastAsia" w:ascii="宋体" w:hAnsi="宋体" w:cs="宋体"/>
                <w:b/>
                <w:bCs/>
                <w:color w:val="auto"/>
                <w:kern w:val="0"/>
                <w:sz w:val="22"/>
                <w:szCs w:val="22"/>
                <w:highlight w:val="none"/>
              </w:rPr>
              <w:t>.00</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2</w:t>
            </w:r>
            <w:r>
              <w:rPr>
                <w:rFonts w:hint="eastAsia" w:ascii="宋体" w:hAnsi="宋体" w:cs="宋体"/>
                <w:b/>
                <w:bCs/>
                <w:color w:val="auto"/>
                <w:kern w:val="0"/>
                <w:sz w:val="22"/>
                <w:szCs w:val="22"/>
                <w:highlight w:val="none"/>
              </w:rPr>
              <w:t>.00</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社会保障和就业支出　</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480.14</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480.14</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208</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05</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行政事业单位养老支出　</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480.14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480.14　</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行政单位离退休</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33.99</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33.99</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208</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05</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事业单位离退休</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4.81</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4.81</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208</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05</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机关事业单位基本养老保险缴费支出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371.34</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371.34</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05</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06</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机关事业单位职业年金缴费支出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70.00</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70.00</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卫生健康支出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234.06</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234.06</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11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行政事业单位医疗</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234.06</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234.06</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行政单位医疗</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130.43</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130.43</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11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事业单位医疗</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55.24</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55.24</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11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03</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公务员医疗补助</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47.81</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47.81</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11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99</w:t>
            </w:r>
            <w:r>
              <w:rPr>
                <w:rFonts w:hint="eastAsia" w:ascii="宋体" w:hAnsi="宋体" w:cs="宋体"/>
                <w:b/>
                <w:bCs/>
                <w:color w:val="auto"/>
                <w:kern w:val="0"/>
                <w:sz w:val="16"/>
                <w:szCs w:val="16"/>
                <w:highlight w:val="none"/>
              </w:rPr>
              <w:t>　</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其他行政事业单位医疗支出　</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0.58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0.58　</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221</w:t>
            </w:r>
            <w:r>
              <w:rPr>
                <w:rFonts w:hint="eastAsia" w:ascii="宋体" w:hAnsi="宋体" w:cs="宋体"/>
                <w:b/>
                <w:bCs/>
                <w:color w:val="auto"/>
                <w:kern w:val="0"/>
                <w:sz w:val="16"/>
                <w:szCs w:val="16"/>
                <w:highlight w:val="none"/>
              </w:rPr>
              <w:t>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住房保障支出　</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246.22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246.22　</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ascii="宋体" w:hAnsi="宋体" w:cs="宋体"/>
                <w:b/>
                <w:bCs/>
                <w:color w:val="auto"/>
                <w:kern w:val="0"/>
                <w:sz w:val="16"/>
                <w:szCs w:val="16"/>
                <w:highlight w:val="none"/>
                <w:lang w:val="en-US" w:eastAsia="zh-CN"/>
              </w:rPr>
              <w:t>221</w:t>
            </w:r>
          </w:p>
        </w:tc>
        <w:tc>
          <w:tcPr>
            <w:tcW w:w="438"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ascii="宋体" w:hAnsi="宋体" w:cs="宋体"/>
                <w:b/>
                <w:bCs/>
                <w:color w:val="auto"/>
                <w:kern w:val="0"/>
                <w:sz w:val="16"/>
                <w:szCs w:val="16"/>
                <w:highlight w:val="none"/>
                <w:lang w:val="en-US" w:eastAsia="zh-CN"/>
              </w:rPr>
              <w:t>02</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住房改革支出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246.22</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246.22</w:t>
            </w:r>
          </w:p>
        </w:tc>
        <w:tc>
          <w:tcPr>
            <w:tcW w:w="1857"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221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02</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01</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住房公积金</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246.22</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246.22</w:t>
            </w:r>
          </w:p>
        </w:tc>
        <w:tc>
          <w:tcPr>
            <w:tcW w:w="1857" w:type="dxa"/>
            <w:tcBorders>
              <w:top w:val="nil"/>
              <w:left w:val="nil"/>
              <w:bottom w:val="single" w:color="auto" w:sz="4" w:space="0"/>
              <w:right w:val="single" w:color="auto" w:sz="4" w:space="0"/>
            </w:tcBorders>
            <w:noWrap w:val="0"/>
            <w:vAlign w:val="center"/>
          </w:tcPr>
          <w:p>
            <w:pPr>
              <w:rPr>
                <w:color w:val="auto"/>
                <w:sz w:val="22"/>
                <w:szCs w:val="22"/>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223</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国有资本经营预算支出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41.63</w:t>
            </w:r>
          </w:p>
        </w:tc>
        <w:tc>
          <w:tcPr>
            <w:tcW w:w="1811" w:type="dxa"/>
            <w:tcBorders>
              <w:top w:val="nil"/>
              <w:left w:val="nil"/>
              <w:bottom w:val="single" w:color="auto" w:sz="4" w:space="0"/>
              <w:right w:val="single" w:color="auto" w:sz="4" w:space="0"/>
            </w:tcBorders>
            <w:noWrap w:val="0"/>
            <w:vAlign w:val="center"/>
          </w:tcPr>
          <w:p>
            <w:pPr>
              <w:rPr>
                <w:color w:val="auto"/>
                <w:sz w:val="22"/>
                <w:szCs w:val="22"/>
                <w:highlight w:val="none"/>
              </w:rPr>
            </w:pP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41.63</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223</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01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解决历史遗留问题及改革成本支出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41.63</w:t>
            </w:r>
          </w:p>
        </w:tc>
        <w:tc>
          <w:tcPr>
            <w:tcW w:w="1811" w:type="dxa"/>
            <w:tcBorders>
              <w:top w:val="nil"/>
              <w:left w:val="nil"/>
              <w:bottom w:val="single" w:color="auto" w:sz="4" w:space="0"/>
              <w:right w:val="single" w:color="auto" w:sz="4" w:space="0"/>
            </w:tcBorders>
            <w:noWrap w:val="0"/>
            <w:vAlign w:val="center"/>
          </w:tcPr>
          <w:p>
            <w:pPr>
              <w:rPr>
                <w:color w:val="auto"/>
                <w:sz w:val="22"/>
                <w:szCs w:val="22"/>
                <w:highlight w:val="none"/>
              </w:rPr>
            </w:pP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41.63</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223</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01</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05</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国有企业退休人员社会化管理补助支出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41.63</w:t>
            </w:r>
          </w:p>
        </w:tc>
        <w:tc>
          <w:tcPr>
            <w:tcW w:w="1811" w:type="dxa"/>
            <w:tcBorders>
              <w:top w:val="nil"/>
              <w:left w:val="nil"/>
              <w:bottom w:val="single" w:color="auto" w:sz="4" w:space="0"/>
              <w:right w:val="single" w:color="auto" w:sz="4" w:space="0"/>
            </w:tcBorders>
            <w:noWrap w:val="0"/>
            <w:vAlign w:val="center"/>
          </w:tcPr>
          <w:p>
            <w:pPr>
              <w:rPr>
                <w:color w:val="auto"/>
                <w:sz w:val="22"/>
                <w:szCs w:val="22"/>
                <w:highlight w:val="none"/>
              </w:rPr>
            </w:pP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41.63</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229</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其他支出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0.50</w:t>
            </w:r>
          </w:p>
        </w:tc>
        <w:tc>
          <w:tcPr>
            <w:tcW w:w="1811" w:type="dxa"/>
            <w:tcBorders>
              <w:top w:val="nil"/>
              <w:left w:val="nil"/>
              <w:bottom w:val="single" w:color="auto" w:sz="4" w:space="0"/>
              <w:right w:val="single" w:color="auto" w:sz="4" w:space="0"/>
            </w:tcBorders>
            <w:noWrap w:val="0"/>
            <w:vAlign w:val="center"/>
          </w:tcPr>
          <w:p>
            <w:pPr>
              <w:rPr>
                <w:color w:val="auto"/>
                <w:sz w:val="22"/>
                <w:szCs w:val="22"/>
                <w:highlight w:val="none"/>
              </w:rPr>
            </w:pP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0.50</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229</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60</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彩票公益金安排的支出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0.50</w:t>
            </w:r>
          </w:p>
        </w:tc>
        <w:tc>
          <w:tcPr>
            <w:tcW w:w="1811" w:type="dxa"/>
            <w:tcBorders>
              <w:top w:val="nil"/>
              <w:left w:val="nil"/>
              <w:bottom w:val="single" w:color="auto" w:sz="4" w:space="0"/>
              <w:right w:val="single" w:color="auto" w:sz="4" w:space="0"/>
            </w:tcBorders>
            <w:noWrap w:val="0"/>
            <w:vAlign w:val="center"/>
          </w:tcPr>
          <w:p>
            <w:pPr>
              <w:rPr>
                <w:color w:val="auto"/>
                <w:sz w:val="22"/>
                <w:szCs w:val="22"/>
                <w:highlight w:val="none"/>
              </w:rPr>
            </w:pP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0.50</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229</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60</w:t>
            </w:r>
          </w:p>
        </w:tc>
        <w:tc>
          <w:tcPr>
            <w:tcW w:w="43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03</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用于体育事业的彩票公益金支出</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0.50</w:t>
            </w:r>
          </w:p>
        </w:tc>
        <w:tc>
          <w:tcPr>
            <w:tcW w:w="1811" w:type="dxa"/>
            <w:tcBorders>
              <w:top w:val="nil"/>
              <w:left w:val="nil"/>
              <w:bottom w:val="single" w:color="auto" w:sz="4" w:space="0"/>
              <w:right w:val="single" w:color="auto" w:sz="4" w:space="0"/>
            </w:tcBorders>
            <w:noWrap w:val="0"/>
            <w:vAlign w:val="center"/>
          </w:tcPr>
          <w:p>
            <w:pPr>
              <w:rPr>
                <w:color w:val="auto"/>
                <w:sz w:val="22"/>
                <w:szCs w:val="22"/>
                <w:highlight w:val="none"/>
              </w:rPr>
            </w:pP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0.50</w:t>
            </w: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38" w:type="dxa"/>
            <w:tcBorders>
              <w:top w:val="nil"/>
              <w:left w:val="nil"/>
              <w:bottom w:val="single" w:color="auto" w:sz="4" w:space="0"/>
              <w:right w:val="single" w:color="auto" w:sz="4" w:space="0"/>
            </w:tcBorders>
            <w:noWrap w:val="0"/>
            <w:vAlign w:val="center"/>
          </w:tcPr>
          <w:p>
            <w:pPr>
              <w:rPr>
                <w:color w:val="auto"/>
                <w:highlight w:val="none"/>
              </w:rPr>
            </w:pPr>
          </w:p>
        </w:tc>
        <w:tc>
          <w:tcPr>
            <w:tcW w:w="438" w:type="dxa"/>
            <w:tcBorders>
              <w:top w:val="nil"/>
              <w:left w:val="nil"/>
              <w:bottom w:val="single" w:color="auto" w:sz="4" w:space="0"/>
              <w:right w:val="single" w:color="auto" w:sz="4" w:space="0"/>
            </w:tcBorders>
            <w:noWrap w:val="0"/>
            <w:vAlign w:val="center"/>
          </w:tcPr>
          <w:p>
            <w:pPr>
              <w:rPr>
                <w:color w:val="auto"/>
                <w:highlight w:val="none"/>
              </w:rPr>
            </w:pPr>
          </w:p>
        </w:tc>
        <w:tc>
          <w:tcPr>
            <w:tcW w:w="3034" w:type="dxa"/>
            <w:tcBorders>
              <w:top w:val="nil"/>
              <w:left w:val="nil"/>
              <w:bottom w:val="single" w:color="auto" w:sz="4" w:space="0"/>
              <w:right w:val="single" w:color="auto" w:sz="4" w:space="0"/>
            </w:tcBorders>
            <w:noWrap w:val="0"/>
            <w:vAlign w:val="center"/>
          </w:tcPr>
          <w:p>
            <w:pPr>
              <w:rPr>
                <w:color w:val="auto"/>
                <w:highlight w:val="none"/>
              </w:rPr>
            </w:pPr>
          </w:p>
        </w:tc>
        <w:tc>
          <w:tcPr>
            <w:tcW w:w="1293" w:type="dxa"/>
            <w:tcBorders>
              <w:top w:val="nil"/>
              <w:left w:val="nil"/>
              <w:bottom w:val="single" w:color="auto" w:sz="4" w:space="0"/>
              <w:right w:val="single" w:color="auto" w:sz="4" w:space="0"/>
            </w:tcBorders>
            <w:noWrap w:val="0"/>
            <w:vAlign w:val="center"/>
          </w:tcPr>
          <w:p>
            <w:pPr>
              <w:rPr>
                <w:color w:val="auto"/>
                <w:highlight w:val="none"/>
              </w:rPr>
            </w:pPr>
          </w:p>
        </w:tc>
        <w:tc>
          <w:tcPr>
            <w:tcW w:w="1811" w:type="dxa"/>
            <w:tcBorders>
              <w:top w:val="nil"/>
              <w:left w:val="nil"/>
              <w:bottom w:val="single" w:color="auto" w:sz="4" w:space="0"/>
              <w:right w:val="single" w:color="auto" w:sz="4" w:space="0"/>
            </w:tcBorders>
            <w:noWrap w:val="0"/>
            <w:vAlign w:val="center"/>
          </w:tcPr>
          <w:p>
            <w:pPr>
              <w:rPr>
                <w:color w:val="auto"/>
                <w:highlight w:val="none"/>
              </w:rPr>
            </w:pPr>
          </w:p>
        </w:tc>
        <w:tc>
          <w:tcPr>
            <w:tcW w:w="1857"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38" w:type="dxa"/>
            <w:tcBorders>
              <w:top w:val="nil"/>
              <w:left w:val="nil"/>
              <w:bottom w:val="single" w:color="auto" w:sz="4" w:space="0"/>
              <w:right w:val="single" w:color="auto" w:sz="4" w:space="0"/>
            </w:tcBorders>
            <w:noWrap w:val="0"/>
            <w:vAlign w:val="center"/>
          </w:tcPr>
          <w:p>
            <w:pPr>
              <w:rPr>
                <w:color w:val="auto"/>
                <w:highlight w:val="none"/>
              </w:rPr>
            </w:pPr>
          </w:p>
        </w:tc>
        <w:tc>
          <w:tcPr>
            <w:tcW w:w="438" w:type="dxa"/>
            <w:tcBorders>
              <w:top w:val="nil"/>
              <w:left w:val="nil"/>
              <w:bottom w:val="single" w:color="auto" w:sz="4" w:space="0"/>
              <w:right w:val="single" w:color="auto" w:sz="4" w:space="0"/>
            </w:tcBorders>
            <w:noWrap w:val="0"/>
            <w:vAlign w:val="center"/>
          </w:tcPr>
          <w:p>
            <w:pPr>
              <w:rPr>
                <w:color w:val="auto"/>
                <w:highlight w:val="none"/>
              </w:rPr>
            </w:pPr>
          </w:p>
        </w:tc>
        <w:tc>
          <w:tcPr>
            <w:tcW w:w="3034" w:type="dxa"/>
            <w:tcBorders>
              <w:top w:val="nil"/>
              <w:left w:val="nil"/>
              <w:bottom w:val="single" w:color="auto" w:sz="4" w:space="0"/>
              <w:right w:val="single" w:color="auto" w:sz="4" w:space="0"/>
            </w:tcBorders>
            <w:noWrap w:val="0"/>
            <w:vAlign w:val="center"/>
          </w:tcPr>
          <w:p>
            <w:pPr>
              <w:rPr>
                <w:color w:val="auto"/>
                <w:highlight w:val="none"/>
              </w:rPr>
            </w:pPr>
          </w:p>
        </w:tc>
        <w:tc>
          <w:tcPr>
            <w:tcW w:w="1293" w:type="dxa"/>
            <w:tcBorders>
              <w:top w:val="nil"/>
              <w:left w:val="nil"/>
              <w:bottom w:val="single" w:color="auto" w:sz="4" w:space="0"/>
              <w:right w:val="single" w:color="auto" w:sz="4" w:space="0"/>
            </w:tcBorders>
            <w:noWrap w:val="0"/>
            <w:vAlign w:val="center"/>
          </w:tcPr>
          <w:p>
            <w:pPr>
              <w:rPr>
                <w:color w:val="auto"/>
                <w:highlight w:val="none"/>
              </w:rPr>
            </w:pPr>
          </w:p>
        </w:tc>
        <w:tc>
          <w:tcPr>
            <w:tcW w:w="1811" w:type="dxa"/>
            <w:tcBorders>
              <w:top w:val="nil"/>
              <w:left w:val="nil"/>
              <w:bottom w:val="single" w:color="auto" w:sz="4" w:space="0"/>
              <w:right w:val="single" w:color="auto" w:sz="4" w:space="0"/>
            </w:tcBorders>
            <w:noWrap w:val="0"/>
            <w:vAlign w:val="center"/>
          </w:tcPr>
          <w:p>
            <w:pPr>
              <w:rPr>
                <w:color w:val="auto"/>
                <w:highlight w:val="none"/>
              </w:rPr>
            </w:pPr>
          </w:p>
        </w:tc>
        <w:tc>
          <w:tcPr>
            <w:tcW w:w="1857"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38" w:type="dxa"/>
            <w:tcBorders>
              <w:top w:val="nil"/>
              <w:left w:val="nil"/>
              <w:bottom w:val="single" w:color="auto" w:sz="4" w:space="0"/>
              <w:right w:val="single" w:color="auto" w:sz="4" w:space="0"/>
            </w:tcBorders>
            <w:noWrap w:val="0"/>
            <w:vAlign w:val="center"/>
          </w:tcPr>
          <w:p>
            <w:pPr>
              <w:rPr>
                <w:color w:val="auto"/>
                <w:highlight w:val="none"/>
              </w:rPr>
            </w:pPr>
          </w:p>
        </w:tc>
        <w:tc>
          <w:tcPr>
            <w:tcW w:w="438" w:type="dxa"/>
            <w:tcBorders>
              <w:top w:val="nil"/>
              <w:left w:val="nil"/>
              <w:bottom w:val="single" w:color="auto" w:sz="4" w:space="0"/>
              <w:right w:val="single" w:color="auto" w:sz="4" w:space="0"/>
            </w:tcBorders>
            <w:noWrap w:val="0"/>
            <w:vAlign w:val="center"/>
          </w:tcPr>
          <w:p>
            <w:pPr>
              <w:rPr>
                <w:color w:val="auto"/>
                <w:highlight w:val="none"/>
              </w:rPr>
            </w:pPr>
          </w:p>
        </w:tc>
        <w:tc>
          <w:tcPr>
            <w:tcW w:w="3034" w:type="dxa"/>
            <w:tcBorders>
              <w:top w:val="nil"/>
              <w:left w:val="nil"/>
              <w:bottom w:val="single" w:color="auto" w:sz="4" w:space="0"/>
              <w:right w:val="single" w:color="auto" w:sz="4" w:space="0"/>
            </w:tcBorders>
            <w:noWrap w:val="0"/>
            <w:vAlign w:val="center"/>
          </w:tcPr>
          <w:p>
            <w:pPr>
              <w:rPr>
                <w:color w:val="auto"/>
                <w:highlight w:val="none"/>
              </w:rPr>
            </w:pPr>
          </w:p>
        </w:tc>
        <w:tc>
          <w:tcPr>
            <w:tcW w:w="1293" w:type="dxa"/>
            <w:tcBorders>
              <w:top w:val="nil"/>
              <w:left w:val="nil"/>
              <w:bottom w:val="single" w:color="auto" w:sz="4" w:space="0"/>
              <w:right w:val="single" w:color="auto" w:sz="4" w:space="0"/>
            </w:tcBorders>
            <w:noWrap w:val="0"/>
            <w:vAlign w:val="center"/>
          </w:tcPr>
          <w:p>
            <w:pPr>
              <w:rPr>
                <w:color w:val="auto"/>
                <w:highlight w:val="none"/>
              </w:rPr>
            </w:pPr>
          </w:p>
        </w:tc>
        <w:tc>
          <w:tcPr>
            <w:tcW w:w="1811" w:type="dxa"/>
            <w:tcBorders>
              <w:top w:val="nil"/>
              <w:left w:val="nil"/>
              <w:bottom w:val="single" w:color="auto" w:sz="4" w:space="0"/>
              <w:right w:val="single" w:color="auto" w:sz="4" w:space="0"/>
            </w:tcBorders>
            <w:noWrap w:val="0"/>
            <w:vAlign w:val="center"/>
          </w:tcPr>
          <w:p>
            <w:pPr>
              <w:rPr>
                <w:color w:val="auto"/>
                <w:highlight w:val="none"/>
              </w:rPr>
            </w:pPr>
          </w:p>
        </w:tc>
        <w:tc>
          <w:tcPr>
            <w:tcW w:w="1857"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38" w:type="dxa"/>
            <w:tcBorders>
              <w:top w:val="nil"/>
              <w:left w:val="nil"/>
              <w:bottom w:val="single" w:color="auto" w:sz="4" w:space="0"/>
              <w:right w:val="single" w:color="auto" w:sz="4" w:space="0"/>
            </w:tcBorders>
            <w:noWrap w:val="0"/>
            <w:vAlign w:val="center"/>
          </w:tcPr>
          <w:p>
            <w:pPr>
              <w:rPr>
                <w:color w:val="auto"/>
                <w:highlight w:val="none"/>
              </w:rPr>
            </w:pPr>
          </w:p>
        </w:tc>
        <w:tc>
          <w:tcPr>
            <w:tcW w:w="438" w:type="dxa"/>
            <w:tcBorders>
              <w:top w:val="nil"/>
              <w:left w:val="nil"/>
              <w:bottom w:val="single" w:color="auto" w:sz="4" w:space="0"/>
              <w:right w:val="single" w:color="auto" w:sz="4" w:space="0"/>
            </w:tcBorders>
            <w:noWrap w:val="0"/>
            <w:vAlign w:val="center"/>
          </w:tcPr>
          <w:p>
            <w:pPr>
              <w:rPr>
                <w:color w:val="auto"/>
                <w:highlight w:val="none"/>
              </w:rPr>
            </w:pPr>
          </w:p>
        </w:tc>
        <w:tc>
          <w:tcPr>
            <w:tcW w:w="3034" w:type="dxa"/>
            <w:tcBorders>
              <w:top w:val="nil"/>
              <w:left w:val="nil"/>
              <w:bottom w:val="single" w:color="auto" w:sz="4" w:space="0"/>
              <w:right w:val="single" w:color="auto" w:sz="4" w:space="0"/>
            </w:tcBorders>
            <w:noWrap w:val="0"/>
            <w:vAlign w:val="center"/>
          </w:tcPr>
          <w:p>
            <w:pPr>
              <w:rPr>
                <w:color w:val="auto"/>
                <w:highlight w:val="none"/>
              </w:rPr>
            </w:pPr>
          </w:p>
        </w:tc>
        <w:tc>
          <w:tcPr>
            <w:tcW w:w="1293" w:type="dxa"/>
            <w:tcBorders>
              <w:top w:val="nil"/>
              <w:left w:val="nil"/>
              <w:bottom w:val="single" w:color="auto" w:sz="4" w:space="0"/>
              <w:right w:val="single" w:color="auto" w:sz="4" w:space="0"/>
            </w:tcBorders>
            <w:noWrap w:val="0"/>
            <w:vAlign w:val="center"/>
          </w:tcPr>
          <w:p>
            <w:pPr>
              <w:rPr>
                <w:color w:val="auto"/>
                <w:highlight w:val="none"/>
              </w:rPr>
            </w:pPr>
          </w:p>
        </w:tc>
        <w:tc>
          <w:tcPr>
            <w:tcW w:w="1811" w:type="dxa"/>
            <w:tcBorders>
              <w:top w:val="nil"/>
              <w:left w:val="nil"/>
              <w:bottom w:val="single" w:color="auto" w:sz="4" w:space="0"/>
              <w:right w:val="single" w:color="auto" w:sz="4" w:space="0"/>
            </w:tcBorders>
            <w:noWrap w:val="0"/>
            <w:vAlign w:val="center"/>
          </w:tcPr>
          <w:p>
            <w:pPr>
              <w:rPr>
                <w:color w:val="auto"/>
                <w:highlight w:val="none"/>
              </w:rPr>
            </w:pPr>
          </w:p>
        </w:tc>
        <w:tc>
          <w:tcPr>
            <w:tcW w:w="1857"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8"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30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2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　7355.00</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　5696.97</w:t>
            </w:r>
          </w:p>
        </w:tc>
        <w:tc>
          <w:tcPr>
            <w:tcW w:w="18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　1658.03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eastAsia="zh-CN"/>
        </w:rPr>
        <w:t>呼图壁县呼图壁镇人民政府</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fixed"/>
        <w:tblCellMar>
          <w:top w:w="0" w:type="dxa"/>
          <w:left w:w="108" w:type="dxa"/>
          <w:bottom w:w="0" w:type="dxa"/>
          <w:right w:w="108" w:type="dxa"/>
        </w:tblCellMar>
      </w:tblPr>
      <w:tblGrid>
        <w:gridCol w:w="1934"/>
        <w:gridCol w:w="922"/>
        <w:gridCol w:w="2576"/>
        <w:gridCol w:w="900"/>
        <w:gridCol w:w="851"/>
        <w:gridCol w:w="1133"/>
        <w:gridCol w:w="1133"/>
      </w:tblGrid>
      <w:tr>
        <w:tblPrEx>
          <w:tblLayout w:type="fixed"/>
          <w:tblCellMar>
            <w:top w:w="0" w:type="dxa"/>
            <w:left w:w="108" w:type="dxa"/>
            <w:bottom w:w="0" w:type="dxa"/>
            <w:right w:w="108" w:type="dxa"/>
          </w:tblCellMar>
        </w:tblPrEx>
        <w:trPr>
          <w:trHeight w:val="285" w:hRule="atLeast"/>
        </w:trPr>
        <w:tc>
          <w:tcPr>
            <w:tcW w:w="2856"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3"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4405.00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394</w:t>
            </w:r>
            <w:r>
              <w:rPr>
                <w:rFonts w:hint="eastAsia" w:ascii="宋体" w:hAnsi="宋体" w:cs="宋体"/>
                <w:color w:val="auto"/>
                <w:kern w:val="0"/>
                <w:sz w:val="18"/>
                <w:szCs w:val="18"/>
                <w:highlight w:val="none"/>
                <w:lang w:val="en-US" w:eastAsia="zh-CN"/>
              </w:rPr>
              <w:t>7</w:t>
            </w:r>
            <w:r>
              <w:rPr>
                <w:rFonts w:hint="eastAsia" w:ascii="宋体" w:hAnsi="宋体" w:cs="宋体"/>
                <w:color w:val="auto"/>
                <w:kern w:val="0"/>
                <w:sz w:val="18"/>
                <w:szCs w:val="18"/>
                <w:highlight w:val="none"/>
              </w:rPr>
              <w:t>.45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394</w:t>
            </w:r>
            <w:r>
              <w:rPr>
                <w:rFonts w:hint="eastAsia" w:ascii="宋体" w:hAnsi="宋体" w:cs="宋体"/>
                <w:color w:val="auto"/>
                <w:kern w:val="0"/>
                <w:sz w:val="18"/>
                <w:szCs w:val="18"/>
                <w:highlight w:val="none"/>
                <w:lang w:val="en-US" w:eastAsia="zh-CN"/>
              </w:rPr>
              <w:t>7</w:t>
            </w:r>
            <w:r>
              <w:rPr>
                <w:rFonts w:hint="eastAsia" w:ascii="宋体" w:hAnsi="宋体" w:cs="宋体"/>
                <w:color w:val="auto"/>
                <w:kern w:val="0"/>
                <w:sz w:val="18"/>
                <w:szCs w:val="18"/>
                <w:highlight w:val="none"/>
              </w:rPr>
              <w:t>.45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4362.87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0.50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41.63</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w:t>
            </w: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190.14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190.14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97.06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97.06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126.22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126.22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41.63</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41.63</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0.50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0.50</w:t>
            </w: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rPr>
              <w:t>收  入  总  计</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rPr>
              <w:t>4405.00　</w:t>
            </w:r>
          </w:p>
        </w:tc>
        <w:tc>
          <w:tcPr>
            <w:tcW w:w="257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4405.00</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4362.87</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0.50</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41.63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804" w:type="dxa"/>
        <w:tblInd w:w="-34" w:type="dxa"/>
        <w:tblLayout w:type="fixed"/>
        <w:tblCellMar>
          <w:top w:w="0" w:type="dxa"/>
          <w:left w:w="108" w:type="dxa"/>
          <w:bottom w:w="0" w:type="dxa"/>
          <w:right w:w="108" w:type="dxa"/>
        </w:tblCellMar>
      </w:tblPr>
      <w:tblGrid>
        <w:gridCol w:w="549"/>
        <w:gridCol w:w="499"/>
        <w:gridCol w:w="502"/>
        <w:gridCol w:w="3493"/>
        <w:gridCol w:w="236"/>
        <w:gridCol w:w="992"/>
        <w:gridCol w:w="236"/>
        <w:gridCol w:w="910"/>
        <w:gridCol w:w="1515"/>
        <w:gridCol w:w="872"/>
      </w:tblGrid>
      <w:tr>
        <w:tblPrEx>
          <w:tblLayout w:type="fixed"/>
          <w:tblCellMar>
            <w:top w:w="0" w:type="dxa"/>
            <w:left w:w="108" w:type="dxa"/>
            <w:bottom w:w="0" w:type="dxa"/>
            <w:right w:w="108" w:type="dxa"/>
          </w:tblCellMar>
        </w:tblPrEx>
        <w:trPr>
          <w:gridAfter w:val="1"/>
          <w:wAfter w:w="872" w:type="dxa"/>
          <w:trHeight w:val="450" w:hRule="atLeast"/>
        </w:trPr>
        <w:tc>
          <w:tcPr>
            <w:tcW w:w="8932"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5043"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呼图壁县呼图壁镇人民政府</w:t>
            </w:r>
          </w:p>
        </w:tc>
        <w:tc>
          <w:tcPr>
            <w:tcW w:w="23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28"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297" w:type="dxa"/>
            <w:gridSpan w:val="3"/>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gridAfter w:val="1"/>
          <w:wAfter w:w="872" w:type="dxa"/>
          <w:trHeight w:val="405" w:hRule="atLeast"/>
        </w:trPr>
        <w:tc>
          <w:tcPr>
            <w:tcW w:w="5043"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388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gridAfter w:val="1"/>
          <w:wAfter w:w="872" w:type="dxa"/>
          <w:trHeight w:val="465" w:hRule="atLeast"/>
        </w:trPr>
        <w:tc>
          <w:tcPr>
            <w:tcW w:w="155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4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22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14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1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gridAfter w:val="1"/>
          <w:wAfter w:w="872" w:type="dxa"/>
          <w:trHeight w:val="30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4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22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14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1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一般公共服务支出</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394</w:t>
            </w:r>
            <w:r>
              <w:rPr>
                <w:rFonts w:hint="eastAsia" w:ascii="仿宋_GB2312" w:hAnsi="宋体" w:eastAsia="仿宋_GB2312" w:cs="宋体"/>
                <w:b/>
                <w:color w:val="auto"/>
                <w:kern w:val="0"/>
                <w:sz w:val="20"/>
                <w:szCs w:val="20"/>
                <w:highlight w:val="none"/>
                <w:lang w:val="en-US" w:eastAsia="zh-CN"/>
              </w:rPr>
              <w:t>7</w:t>
            </w:r>
            <w:r>
              <w:rPr>
                <w:rFonts w:hint="eastAsia" w:ascii="仿宋_GB2312" w:hAnsi="宋体" w:eastAsia="仿宋_GB2312" w:cs="宋体"/>
                <w:b/>
                <w:color w:val="auto"/>
                <w:kern w:val="0"/>
                <w:sz w:val="20"/>
                <w:szCs w:val="20"/>
                <w:highlight w:val="none"/>
              </w:rPr>
              <w:t>.45</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3331</w:t>
            </w:r>
            <w:r>
              <w:rPr>
                <w:rFonts w:hint="eastAsia" w:ascii="仿宋_GB2312" w:hAnsi="宋体" w:eastAsia="仿宋_GB2312" w:cs="宋体"/>
                <w:b/>
                <w:color w:val="auto"/>
                <w:kern w:val="0"/>
                <w:sz w:val="20"/>
                <w:szCs w:val="20"/>
                <w:highlight w:val="none"/>
              </w:rPr>
              <w:t>.55</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615.90</w:t>
            </w: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人大事务</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28.50</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28.50</w:t>
            </w: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201　</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r>
              <w:rPr>
                <w:rFonts w:hint="eastAsia" w:ascii="仿宋_GB2312" w:hAnsi="宋体" w:eastAsia="仿宋_GB2312" w:cs="宋体"/>
                <w:b/>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99</w:t>
            </w:r>
            <w:r>
              <w:rPr>
                <w:rFonts w:hint="eastAsia" w:ascii="仿宋_GB2312" w:hAnsi="宋体" w:eastAsia="仿宋_GB2312" w:cs="宋体"/>
                <w:b/>
                <w:color w:val="auto"/>
                <w:kern w:val="0"/>
                <w:sz w:val="20"/>
                <w:szCs w:val="20"/>
                <w:highlight w:val="none"/>
              </w:rPr>
              <w:t>　</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其他人大事务支出</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28.50</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28.50</w:t>
            </w: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201　</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w:t>
            </w:r>
            <w:r>
              <w:rPr>
                <w:rFonts w:hint="eastAsia" w:ascii="仿宋_GB2312" w:hAnsi="宋体" w:eastAsia="仿宋_GB2312" w:cs="宋体"/>
                <w:b/>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政府办公厅（室）及相关机构事务</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39</w:t>
            </w:r>
            <w:r>
              <w:rPr>
                <w:rFonts w:hint="eastAsia" w:ascii="仿宋_GB2312" w:hAnsi="宋体" w:eastAsia="仿宋_GB2312" w:cs="宋体"/>
                <w:b/>
                <w:color w:val="auto"/>
                <w:kern w:val="0"/>
                <w:sz w:val="20"/>
                <w:szCs w:val="20"/>
                <w:highlight w:val="none"/>
                <w:lang w:val="en-US" w:eastAsia="zh-CN"/>
              </w:rPr>
              <w:t>18</w:t>
            </w:r>
            <w:r>
              <w:rPr>
                <w:rFonts w:hint="eastAsia" w:ascii="仿宋_GB2312" w:hAnsi="宋体" w:eastAsia="仿宋_GB2312" w:cs="宋体"/>
                <w:b/>
                <w:color w:val="auto"/>
                <w:kern w:val="0"/>
                <w:sz w:val="20"/>
                <w:szCs w:val="20"/>
                <w:highlight w:val="none"/>
              </w:rPr>
              <w:t>.95</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仿宋_GB2312" w:eastAsia="仿宋_GB2312" w:cs="仿宋_GB2312"/>
                <w:b/>
                <w:color w:val="auto"/>
                <w:kern w:val="0"/>
                <w:sz w:val="20"/>
                <w:szCs w:val="20"/>
                <w:highlight w:val="none"/>
                <w:lang w:val="en-US" w:eastAsia="zh-CN"/>
              </w:rPr>
              <w:t>3331</w:t>
            </w:r>
            <w:r>
              <w:rPr>
                <w:rFonts w:hint="eastAsia" w:ascii="仿宋_GB2312" w:hAnsi="仿宋_GB2312" w:eastAsia="仿宋_GB2312" w:cs="仿宋_GB2312"/>
                <w:b/>
                <w:color w:val="auto"/>
                <w:kern w:val="0"/>
                <w:sz w:val="20"/>
                <w:szCs w:val="20"/>
                <w:highlight w:val="none"/>
              </w:rPr>
              <w:t>.55</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587.40</w:t>
            </w: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201　</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w:t>
            </w:r>
            <w:r>
              <w:rPr>
                <w:rFonts w:hint="eastAsia" w:ascii="仿宋_GB2312" w:hAnsi="宋体" w:eastAsia="仿宋_GB2312" w:cs="宋体"/>
                <w:b/>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r>
              <w:rPr>
                <w:rFonts w:hint="eastAsia" w:ascii="仿宋_GB2312" w:hAnsi="宋体" w:eastAsia="仿宋_GB2312" w:cs="宋体"/>
                <w:b/>
                <w:color w:val="auto"/>
                <w:kern w:val="0"/>
                <w:sz w:val="20"/>
                <w:szCs w:val="20"/>
                <w:highlight w:val="none"/>
              </w:rPr>
              <w:t>　</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行政运行</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311</w:t>
            </w:r>
            <w:r>
              <w:rPr>
                <w:rFonts w:hint="eastAsia" w:ascii="仿宋_GB2312" w:hAnsi="宋体" w:eastAsia="仿宋_GB2312" w:cs="宋体"/>
                <w:b/>
                <w:color w:val="auto"/>
                <w:kern w:val="0"/>
                <w:sz w:val="20"/>
                <w:szCs w:val="20"/>
                <w:highlight w:val="none"/>
                <w:lang w:val="en-US" w:eastAsia="zh-CN"/>
              </w:rPr>
              <w:t>5</w:t>
            </w:r>
            <w:r>
              <w:rPr>
                <w:rFonts w:hint="eastAsia" w:ascii="仿宋_GB2312" w:hAnsi="宋体" w:eastAsia="仿宋_GB2312" w:cs="宋体"/>
                <w:b/>
                <w:color w:val="auto"/>
                <w:kern w:val="0"/>
                <w:sz w:val="20"/>
                <w:szCs w:val="20"/>
                <w:highlight w:val="none"/>
              </w:rPr>
              <w:t>.35</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252</w:t>
            </w:r>
            <w:r>
              <w:rPr>
                <w:rFonts w:hint="eastAsia" w:ascii="仿宋_GB2312" w:hAnsi="宋体" w:eastAsia="仿宋_GB2312" w:cs="宋体"/>
                <w:b/>
                <w:color w:val="auto"/>
                <w:kern w:val="0"/>
                <w:sz w:val="20"/>
                <w:szCs w:val="20"/>
                <w:highlight w:val="none"/>
                <w:lang w:val="en-US" w:eastAsia="zh-CN"/>
              </w:rPr>
              <w:t>7</w:t>
            </w:r>
            <w:r>
              <w:rPr>
                <w:rFonts w:hint="eastAsia" w:ascii="仿宋_GB2312" w:hAnsi="宋体" w:eastAsia="仿宋_GB2312" w:cs="宋体"/>
                <w:b/>
                <w:color w:val="auto"/>
                <w:kern w:val="0"/>
                <w:sz w:val="20"/>
                <w:szCs w:val="20"/>
                <w:highlight w:val="none"/>
              </w:rPr>
              <w:t>.95</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587.40</w:t>
            </w: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201　</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w:t>
            </w:r>
            <w:r>
              <w:rPr>
                <w:rFonts w:hint="eastAsia" w:ascii="仿宋_GB2312" w:hAnsi="宋体" w:eastAsia="仿宋_GB2312" w:cs="宋体"/>
                <w:b/>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50</w:t>
            </w:r>
            <w:r>
              <w:rPr>
                <w:rFonts w:hint="eastAsia" w:ascii="仿宋_GB2312" w:hAnsi="宋体" w:eastAsia="仿宋_GB2312" w:cs="宋体"/>
                <w:b/>
                <w:color w:val="auto"/>
                <w:kern w:val="0"/>
                <w:sz w:val="20"/>
                <w:szCs w:val="20"/>
                <w:highlight w:val="none"/>
              </w:rPr>
              <w:t>　</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事业运行</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803.61</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803.61</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204</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bidi="ar-SA"/>
              </w:rPr>
            </w:pPr>
          </w:p>
        </w:tc>
        <w:tc>
          <w:tcPr>
            <w:tcW w:w="34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eastAsia="zh-CN"/>
              </w:rPr>
              <w:t>公共安全支出</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2.00</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204</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bidi="ar-SA"/>
              </w:rPr>
            </w:pPr>
          </w:p>
        </w:tc>
        <w:tc>
          <w:tcPr>
            <w:tcW w:w="34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eastAsia="zh-CN"/>
              </w:rPr>
              <w:t>武装警察部队支出</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2.00</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2.00</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204</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val="en-US" w:eastAsia="zh-CN"/>
              </w:rPr>
              <w:t>99</w:t>
            </w:r>
          </w:p>
        </w:tc>
        <w:tc>
          <w:tcPr>
            <w:tcW w:w="34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lang w:eastAsia="zh-CN"/>
              </w:rPr>
              <w:t>其他武装警察部队支出</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2.00</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2.00</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r>
              <w:rPr>
                <w:rFonts w:hint="eastAsia" w:ascii="仿宋_GB2312" w:hAnsi="宋体" w:eastAsia="仿宋_GB2312" w:cs="宋体"/>
                <w:b/>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社会保障和就业支出</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190.14</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190.14</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行政事业单位养老支出</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190.14</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190.14</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行政单位离退休</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33.99</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33.99</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事业单位离退休</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4.81</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4.81</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机关事业单位基本养老保险缴费支出</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151.34</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151.34</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卫生健康支出</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97.06</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97.06</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行政事业单位医疗</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97.06</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97.06</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行政单位医疗</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20.43</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20.43</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事业单位医疗</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55.24</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55.24</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公务员医疗补助</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20.81</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20.81</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99</w:t>
            </w:r>
            <w:r>
              <w:rPr>
                <w:rFonts w:hint="eastAsia" w:ascii="仿宋_GB2312" w:hAnsi="宋体" w:eastAsia="仿宋_GB2312" w:cs="宋体"/>
                <w:b/>
                <w:color w:val="auto"/>
                <w:kern w:val="0"/>
                <w:sz w:val="20"/>
                <w:szCs w:val="20"/>
                <w:highlight w:val="none"/>
              </w:rPr>
              <w:t>　</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其他行政事业单位医疗支出</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0.58</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0.58</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221</w:t>
            </w:r>
            <w:r>
              <w:rPr>
                <w:rFonts w:hint="eastAsia" w:ascii="仿宋_GB2312" w:hAnsi="宋体" w:eastAsia="仿宋_GB2312" w:cs="宋体"/>
                <w:b/>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住房保障支出</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126.22</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126.22</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住房改革支出</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126.22</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126.22</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住房公积金</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126.22</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126.22</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gridAfter w:val="1"/>
          <w:wAfter w:w="872" w:type="dxa"/>
          <w:trHeight w:val="450" w:hRule="atLeast"/>
        </w:trPr>
        <w:tc>
          <w:tcPr>
            <w:tcW w:w="549"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p>
        </w:tc>
        <w:tc>
          <w:tcPr>
            <w:tcW w:w="49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p>
        </w:tc>
        <w:tc>
          <w:tcPr>
            <w:tcW w:w="3493"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1228"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4362.87</w:t>
            </w:r>
          </w:p>
        </w:tc>
        <w:tc>
          <w:tcPr>
            <w:tcW w:w="1146"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3746.97</w:t>
            </w:r>
          </w:p>
        </w:tc>
        <w:tc>
          <w:tcPr>
            <w:tcW w:w="15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615.90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577"/>
        <w:gridCol w:w="3077"/>
        <w:gridCol w:w="809"/>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411"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呼图壁县呼图壁镇人民政府</w:t>
            </w:r>
          </w:p>
        </w:tc>
        <w:tc>
          <w:tcPr>
            <w:tcW w:w="80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411"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1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7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1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77"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51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p>
        </w:tc>
        <w:tc>
          <w:tcPr>
            <w:tcW w:w="3077"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工资福利支出</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1550.11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1550.11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01</w:t>
            </w:r>
          </w:p>
        </w:tc>
        <w:tc>
          <w:tcPr>
            <w:tcW w:w="3077"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基本工资</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371.78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371.78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02</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津贴补贴</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229.97</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ascii="宋体" w:hAnsi="宋体" w:cs="宋体"/>
                <w:color w:val="auto"/>
                <w:kern w:val="0"/>
                <w:sz w:val="20"/>
                <w:szCs w:val="20"/>
                <w:highlight w:val="none"/>
              </w:rPr>
            </w:pPr>
            <w:r>
              <w:rPr>
                <w:rFonts w:hint="eastAsia"/>
                <w:sz w:val="20"/>
                <w:szCs w:val="20"/>
              </w:rPr>
              <w:t>229.97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03</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奖金</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306.64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306.64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07</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绩效工资</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181.72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181.72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08</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机关事业单位基本养老保险缴费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151.34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151.34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10</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职工基本医疗保险缴费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75.67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75.67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11</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公务员医疗补助缴费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20.81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20.81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12</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其他社会保障缴费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7.82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7.82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13</w:t>
            </w:r>
          </w:p>
        </w:tc>
        <w:tc>
          <w:tcPr>
            <w:tcW w:w="3077" w:type="dxa"/>
            <w:tcBorders>
              <w:top w:val="nil"/>
              <w:left w:val="nil"/>
              <w:bottom w:val="single" w:color="auto" w:sz="4" w:space="0"/>
              <w:right w:val="single" w:color="auto" w:sz="4" w:space="0"/>
            </w:tcBorders>
            <w:noWrap w:val="0"/>
            <w:vAlign w:val="center"/>
          </w:tcPr>
          <w:p>
            <w:pPr>
              <w:widowControl/>
              <w:jc w:val="left"/>
              <w:rPr>
                <w:rFonts w:ascii="宋体" w:hAnsi="宋体"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住房公积金</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126.22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126.22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99</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其他工资福利支出</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78.14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78.14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商品和服务支出</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2156.12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1895.01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261.11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01</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办公费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25.28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25.28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02</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印刷费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1.50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1.50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03</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咨询费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2.00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05</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水费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2.50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2.50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06</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电费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3.00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07</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邮电费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6.00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08</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取暖费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159.17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159.17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11</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差旅费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9.00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13</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维修（护）费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2.00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14</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租赁费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3.00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16</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培训费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13.80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13.80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26</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劳务费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1895.01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1895.01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27</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委托业务费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6.80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6.80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28</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工会经费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19.06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19.06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31</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公务用车运行维护费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6.00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39</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其他交通费用</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2.00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对个人和家庭的补助</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40.74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40.74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01</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离休费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15.44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15.44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02</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退休费</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21.96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21.96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05</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生活补助</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1.73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1.73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09</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奖励金</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1.41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1.41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99</w:t>
            </w:r>
          </w:p>
        </w:tc>
        <w:tc>
          <w:tcPr>
            <w:tcW w:w="3077"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其他对个人和家庭的补助</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0.22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sz w:val="20"/>
                <w:szCs w:val="20"/>
              </w:rPr>
              <w:t>0.22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30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30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30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30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0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0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1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3746.97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3485.86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261.11</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13"/>
        <w:gridCol w:w="535"/>
        <w:gridCol w:w="438"/>
        <w:gridCol w:w="439"/>
        <w:gridCol w:w="884"/>
        <w:gridCol w:w="1224"/>
        <w:gridCol w:w="855"/>
        <w:gridCol w:w="315"/>
        <w:gridCol w:w="900"/>
        <w:gridCol w:w="390"/>
        <w:gridCol w:w="450"/>
        <w:gridCol w:w="247"/>
        <w:gridCol w:w="308"/>
        <w:gridCol w:w="795"/>
        <w:gridCol w:w="495"/>
        <w:gridCol w:w="417"/>
        <w:gridCol w:w="417"/>
        <w:gridCol w:w="378"/>
        <w:gridCol w:w="40"/>
      </w:tblGrid>
      <w:tr>
        <w:tblPrEx>
          <w:tblLayout w:type="fixed"/>
          <w:tblCellMar>
            <w:top w:w="0" w:type="dxa"/>
            <w:left w:w="108" w:type="dxa"/>
            <w:bottom w:w="0" w:type="dxa"/>
            <w:right w:w="108" w:type="dxa"/>
          </w:tblCellMar>
        </w:tblPrEx>
        <w:trPr>
          <w:gridBefore w:val="1"/>
          <w:gridAfter w:val="1"/>
          <w:wBefore w:w="13" w:type="dxa"/>
          <w:wAfter w:w="40" w:type="dxa"/>
          <w:trHeight w:val="375" w:hRule="atLeast"/>
        </w:trPr>
        <w:tc>
          <w:tcPr>
            <w:tcW w:w="9487"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13" w:type="dxa"/>
          <w:wAfter w:w="40" w:type="dxa"/>
          <w:trHeight w:val="405" w:hRule="atLeast"/>
        </w:trPr>
        <w:tc>
          <w:tcPr>
            <w:tcW w:w="4690"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呼图壁县呼图壁镇人民政府</w:t>
            </w:r>
          </w:p>
        </w:tc>
        <w:tc>
          <w:tcPr>
            <w:tcW w:w="90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087"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810"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25"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84"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24"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5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1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90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9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5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5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9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9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9" w:hRule="atLeast"/>
        </w:trPr>
        <w:tc>
          <w:tcPr>
            <w:tcW w:w="548"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38"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39"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84"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22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5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1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9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9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201</w:t>
            </w:r>
          </w:p>
        </w:tc>
        <w:tc>
          <w:tcPr>
            <w:tcW w:w="438" w:type="dxa"/>
            <w:noWrap w:val="0"/>
            <w:vAlign w:val="center"/>
          </w:tcPr>
          <w:p>
            <w:pPr>
              <w:widowControl/>
              <w:jc w:val="center"/>
              <w:outlineLvl w:val="1"/>
              <w:rPr>
                <w:rFonts w:hint="eastAsia" w:ascii="仿宋_GB2312" w:hAnsi="宋体" w:eastAsia="仿宋_GB2312"/>
                <w:color w:val="auto"/>
                <w:kern w:val="0"/>
                <w:sz w:val="22"/>
                <w:szCs w:val="22"/>
                <w:highlight w:val="none"/>
                <w:lang w:eastAsia="zh-Hans"/>
              </w:rPr>
            </w:pPr>
          </w:p>
        </w:tc>
        <w:tc>
          <w:tcPr>
            <w:tcW w:w="439" w:type="dxa"/>
            <w:noWrap w:val="0"/>
            <w:vAlign w:val="center"/>
          </w:tcPr>
          <w:p>
            <w:pPr>
              <w:widowControl/>
              <w:jc w:val="center"/>
              <w:outlineLvl w:val="1"/>
              <w:rPr>
                <w:rFonts w:ascii="仿宋_GB2312" w:hAnsi="宋体" w:eastAsia="仿宋_GB2312"/>
                <w:color w:val="auto"/>
                <w:kern w:val="0"/>
                <w:sz w:val="22"/>
                <w:szCs w:val="22"/>
                <w:highlight w:val="none"/>
              </w:rPr>
            </w:pP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一般公共服务支出</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p>
        </w:tc>
        <w:tc>
          <w:tcPr>
            <w:tcW w:w="85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61</w:t>
            </w:r>
            <w:r>
              <w:rPr>
                <w:rFonts w:hint="eastAsia" w:ascii="仿宋_GB2312" w:hAnsi="宋体" w:eastAsia="仿宋_GB2312"/>
                <w:color w:val="auto"/>
                <w:kern w:val="0"/>
                <w:sz w:val="20"/>
                <w:szCs w:val="20"/>
                <w:highlight w:val="none"/>
                <w:lang w:val="en-US" w:eastAsia="zh-CN"/>
              </w:rPr>
              <w:t>3</w:t>
            </w:r>
            <w:r>
              <w:rPr>
                <w:rFonts w:hint="eastAsia" w:ascii="仿宋_GB2312" w:hAnsi="宋体" w:eastAsia="仿宋_GB2312"/>
                <w:color w:val="auto"/>
                <w:kern w:val="0"/>
                <w:sz w:val="20"/>
                <w:szCs w:val="20"/>
                <w:highlight w:val="none"/>
              </w:rPr>
              <w:t>.90</w:t>
            </w: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56</w:t>
            </w:r>
            <w:r>
              <w:rPr>
                <w:rFonts w:hint="eastAsia" w:ascii="仿宋_GB2312" w:hAnsi="宋体" w:eastAsia="仿宋_GB2312"/>
                <w:color w:val="auto"/>
                <w:kern w:val="0"/>
                <w:sz w:val="20"/>
                <w:szCs w:val="20"/>
                <w:highlight w:val="none"/>
                <w:lang w:val="en-US" w:eastAsia="zh-CN"/>
              </w:rPr>
              <w:t>2</w:t>
            </w:r>
            <w:r>
              <w:rPr>
                <w:rFonts w:hint="eastAsia" w:ascii="仿宋_GB2312" w:hAnsi="宋体" w:eastAsia="仿宋_GB2312"/>
                <w:color w:val="auto"/>
                <w:kern w:val="0"/>
                <w:sz w:val="20"/>
                <w:szCs w:val="20"/>
                <w:highlight w:val="none"/>
              </w:rPr>
              <w:t>.9</w:t>
            </w: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51.00</w:t>
            </w: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201</w:t>
            </w:r>
          </w:p>
        </w:tc>
        <w:tc>
          <w:tcPr>
            <w:tcW w:w="438" w:type="dxa"/>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01</w:t>
            </w:r>
          </w:p>
        </w:tc>
        <w:tc>
          <w:tcPr>
            <w:tcW w:w="439" w:type="dxa"/>
            <w:noWrap w:val="0"/>
            <w:vAlign w:val="center"/>
          </w:tcPr>
          <w:p>
            <w:pPr>
              <w:widowControl/>
              <w:jc w:val="center"/>
              <w:outlineLvl w:val="1"/>
              <w:rPr>
                <w:rFonts w:ascii="仿宋_GB2312" w:hAnsi="宋体" w:eastAsia="仿宋_GB2312"/>
                <w:color w:val="auto"/>
                <w:kern w:val="0"/>
                <w:sz w:val="22"/>
                <w:szCs w:val="22"/>
                <w:highlight w:val="none"/>
              </w:rPr>
            </w:pP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人大事务</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p>
        </w:tc>
        <w:tc>
          <w:tcPr>
            <w:tcW w:w="85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28.5</w:t>
            </w: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28.5</w:t>
            </w: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51.00</w:t>
            </w: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lang w:val="en-US" w:eastAsia="zh-CN"/>
              </w:rPr>
              <w:t>201</w:t>
            </w:r>
          </w:p>
        </w:tc>
        <w:tc>
          <w:tcPr>
            <w:tcW w:w="438"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lang w:val="en-US" w:eastAsia="zh-CN"/>
              </w:rPr>
              <w:t>01</w:t>
            </w:r>
          </w:p>
        </w:tc>
        <w:tc>
          <w:tcPr>
            <w:tcW w:w="439"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lang w:val="en-US" w:eastAsia="zh-CN"/>
              </w:rPr>
              <w:t>99</w:t>
            </w: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其他人大事务支出</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p>
        </w:tc>
        <w:tc>
          <w:tcPr>
            <w:tcW w:w="85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28.50</w:t>
            </w: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28.50</w:t>
            </w: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201</w:t>
            </w:r>
          </w:p>
        </w:tc>
        <w:tc>
          <w:tcPr>
            <w:tcW w:w="438" w:type="dxa"/>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01</w:t>
            </w:r>
          </w:p>
        </w:tc>
        <w:tc>
          <w:tcPr>
            <w:tcW w:w="439" w:type="dxa"/>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99</w:t>
            </w: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其他人大事务支出</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2024年乡镇人大“微实事”【非定额+乡财】</w:t>
            </w:r>
          </w:p>
        </w:tc>
        <w:tc>
          <w:tcPr>
            <w:tcW w:w="85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28.50</w:t>
            </w: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28.50</w:t>
            </w: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201</w:t>
            </w:r>
          </w:p>
        </w:tc>
        <w:tc>
          <w:tcPr>
            <w:tcW w:w="438" w:type="dxa"/>
            <w:noWrap w:val="0"/>
            <w:vAlign w:val="center"/>
          </w:tcPr>
          <w:p>
            <w:pPr>
              <w:widowControl/>
              <w:jc w:val="center"/>
              <w:outlineLvl w:val="1"/>
              <w:rPr>
                <w:rFonts w:hint="default"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03</w:t>
            </w:r>
          </w:p>
        </w:tc>
        <w:tc>
          <w:tcPr>
            <w:tcW w:w="439" w:type="dxa"/>
            <w:noWrap w:val="0"/>
            <w:vAlign w:val="center"/>
          </w:tcPr>
          <w:p>
            <w:pPr>
              <w:widowControl/>
              <w:jc w:val="center"/>
              <w:outlineLvl w:val="1"/>
              <w:rPr>
                <w:rFonts w:ascii="仿宋_GB2312" w:hAnsi="宋体" w:eastAsia="仿宋_GB2312"/>
                <w:color w:val="auto"/>
                <w:kern w:val="0"/>
                <w:sz w:val="22"/>
                <w:szCs w:val="22"/>
                <w:highlight w:val="none"/>
              </w:rPr>
            </w:pP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政府办公厅（室）及相关机构事务</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p>
        </w:tc>
        <w:tc>
          <w:tcPr>
            <w:tcW w:w="85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58</w:t>
            </w:r>
            <w:r>
              <w:rPr>
                <w:rFonts w:hint="eastAsia" w:ascii="仿宋_GB2312" w:hAnsi="宋体" w:eastAsia="仿宋_GB2312"/>
                <w:color w:val="auto"/>
                <w:kern w:val="0"/>
                <w:sz w:val="20"/>
                <w:szCs w:val="20"/>
                <w:highlight w:val="none"/>
                <w:lang w:val="en-US" w:eastAsia="zh-CN"/>
              </w:rPr>
              <w:t>5</w:t>
            </w:r>
            <w:r>
              <w:rPr>
                <w:rFonts w:hint="eastAsia" w:ascii="仿宋_GB2312" w:hAnsi="宋体" w:eastAsia="仿宋_GB2312"/>
                <w:color w:val="auto"/>
                <w:kern w:val="0"/>
                <w:sz w:val="20"/>
                <w:szCs w:val="20"/>
                <w:highlight w:val="none"/>
              </w:rPr>
              <w:t>.40</w:t>
            </w: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58</w:t>
            </w:r>
            <w:r>
              <w:rPr>
                <w:rFonts w:hint="eastAsia" w:ascii="仿宋_GB2312" w:hAnsi="宋体" w:eastAsia="仿宋_GB2312"/>
                <w:color w:val="auto"/>
                <w:kern w:val="0"/>
                <w:sz w:val="20"/>
                <w:szCs w:val="20"/>
                <w:highlight w:val="none"/>
                <w:lang w:val="en-US" w:eastAsia="zh-CN"/>
              </w:rPr>
              <w:t>5</w:t>
            </w:r>
            <w:r>
              <w:rPr>
                <w:rFonts w:hint="eastAsia" w:ascii="仿宋_GB2312" w:hAnsi="宋体" w:eastAsia="仿宋_GB2312"/>
                <w:color w:val="auto"/>
                <w:kern w:val="0"/>
                <w:sz w:val="20"/>
                <w:szCs w:val="20"/>
                <w:highlight w:val="none"/>
              </w:rPr>
              <w:t>.40</w:t>
            </w: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51.00</w:t>
            </w: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201</w:t>
            </w:r>
          </w:p>
        </w:tc>
        <w:tc>
          <w:tcPr>
            <w:tcW w:w="438" w:type="dxa"/>
            <w:noWrap w:val="0"/>
            <w:vAlign w:val="center"/>
          </w:tcPr>
          <w:p>
            <w:pPr>
              <w:widowControl/>
              <w:jc w:val="center"/>
              <w:outlineLvl w:val="1"/>
              <w:rPr>
                <w:rFonts w:hint="default"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03</w:t>
            </w:r>
          </w:p>
        </w:tc>
        <w:tc>
          <w:tcPr>
            <w:tcW w:w="439"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lang w:val="en-US" w:eastAsia="zh-CN"/>
              </w:rPr>
              <w:t>01</w:t>
            </w: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行政运行</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2024年服务群众工作经费【非定额+乡财】</w:t>
            </w:r>
          </w:p>
        </w:tc>
        <w:tc>
          <w:tcPr>
            <w:tcW w:w="85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180.00</w:t>
            </w: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129</w:t>
            </w:r>
            <w:r>
              <w:rPr>
                <w:rFonts w:hint="eastAsia" w:ascii="仿宋_GB2312" w:hAnsi="宋体" w:eastAsia="仿宋_GB2312"/>
                <w:color w:val="auto"/>
                <w:kern w:val="0"/>
                <w:sz w:val="20"/>
                <w:szCs w:val="20"/>
                <w:highlight w:val="none"/>
              </w:rPr>
              <w:t>.00</w:t>
            </w: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51.00</w:t>
            </w: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201</w:t>
            </w:r>
          </w:p>
        </w:tc>
        <w:tc>
          <w:tcPr>
            <w:tcW w:w="438" w:type="dxa"/>
            <w:noWrap w:val="0"/>
            <w:vAlign w:val="center"/>
          </w:tcPr>
          <w:p>
            <w:pPr>
              <w:widowControl/>
              <w:jc w:val="center"/>
              <w:outlineLvl w:val="1"/>
              <w:rPr>
                <w:rFonts w:hint="default"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03</w:t>
            </w:r>
          </w:p>
        </w:tc>
        <w:tc>
          <w:tcPr>
            <w:tcW w:w="439" w:type="dxa"/>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01</w:t>
            </w: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行政运行</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2024年乡镇纪委监察办公室工作经费【非定额+乡财】</w:t>
            </w:r>
          </w:p>
        </w:tc>
        <w:tc>
          <w:tcPr>
            <w:tcW w:w="85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16.00</w:t>
            </w: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13.00</w:t>
            </w: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3</w:t>
            </w: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201</w:t>
            </w:r>
          </w:p>
        </w:tc>
        <w:tc>
          <w:tcPr>
            <w:tcW w:w="438" w:type="dxa"/>
            <w:noWrap w:val="0"/>
            <w:vAlign w:val="center"/>
          </w:tcPr>
          <w:p>
            <w:pPr>
              <w:widowControl/>
              <w:jc w:val="center"/>
              <w:outlineLvl w:val="1"/>
              <w:rPr>
                <w:rFonts w:hint="default"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03</w:t>
            </w:r>
          </w:p>
        </w:tc>
        <w:tc>
          <w:tcPr>
            <w:tcW w:w="439" w:type="dxa"/>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01</w:t>
            </w: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行政运行</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2024年乡镇监察信息员工作经费【非定额+乡财】</w:t>
            </w:r>
          </w:p>
        </w:tc>
        <w:tc>
          <w:tcPr>
            <w:tcW w:w="85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8.40</w:t>
            </w: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8.40</w:t>
            </w: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201</w:t>
            </w:r>
          </w:p>
        </w:tc>
        <w:tc>
          <w:tcPr>
            <w:tcW w:w="438" w:type="dxa"/>
            <w:noWrap w:val="0"/>
            <w:vAlign w:val="center"/>
          </w:tcPr>
          <w:p>
            <w:pPr>
              <w:widowControl/>
              <w:jc w:val="center"/>
              <w:outlineLvl w:val="1"/>
              <w:rPr>
                <w:rFonts w:hint="default"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03</w:t>
            </w:r>
          </w:p>
        </w:tc>
        <w:tc>
          <w:tcPr>
            <w:tcW w:w="439" w:type="dxa"/>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01</w:t>
            </w: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行政运行</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2024年人大代表联络站补助经费【非定额+乡财】</w:t>
            </w:r>
          </w:p>
        </w:tc>
        <w:tc>
          <w:tcPr>
            <w:tcW w:w="85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16.00</w:t>
            </w: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8.00</w:t>
            </w: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8.00</w:t>
            </w: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201</w:t>
            </w:r>
          </w:p>
        </w:tc>
        <w:tc>
          <w:tcPr>
            <w:tcW w:w="438" w:type="dxa"/>
            <w:noWrap w:val="0"/>
            <w:vAlign w:val="center"/>
          </w:tcPr>
          <w:p>
            <w:pPr>
              <w:widowControl/>
              <w:jc w:val="center"/>
              <w:outlineLvl w:val="1"/>
              <w:rPr>
                <w:rFonts w:hint="default"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03</w:t>
            </w:r>
          </w:p>
        </w:tc>
        <w:tc>
          <w:tcPr>
            <w:tcW w:w="439" w:type="dxa"/>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01</w:t>
            </w: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行政运行</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2024年村社区级运转经费【非定额+乡财】</w:t>
            </w:r>
          </w:p>
        </w:tc>
        <w:tc>
          <w:tcPr>
            <w:tcW w:w="85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365.00</w:t>
            </w: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325.00</w:t>
            </w: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40.00</w:t>
            </w: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hint="default"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s="Times New Roman"/>
                <w:color w:val="auto"/>
                <w:kern w:val="0"/>
                <w:sz w:val="22"/>
                <w:szCs w:val="22"/>
                <w:highlight w:val="none"/>
                <w:lang w:val="en-US" w:eastAsia="zh-CN" w:bidi="ar-SA"/>
              </w:rPr>
              <w:t>204</w:t>
            </w:r>
          </w:p>
        </w:tc>
        <w:tc>
          <w:tcPr>
            <w:tcW w:w="438" w:type="dxa"/>
            <w:noWrap w:val="0"/>
            <w:vAlign w:val="center"/>
          </w:tcPr>
          <w:p>
            <w:pPr>
              <w:widowControl/>
              <w:jc w:val="center"/>
              <w:outlineLvl w:val="1"/>
              <w:rPr>
                <w:rFonts w:hint="default" w:ascii="仿宋_GB2312" w:hAnsi="宋体" w:eastAsia="仿宋_GB2312" w:cs="Times New Roman"/>
                <w:color w:val="auto"/>
                <w:kern w:val="0"/>
                <w:sz w:val="22"/>
                <w:szCs w:val="22"/>
                <w:highlight w:val="none"/>
                <w:lang w:val="en-US" w:eastAsia="zh-CN" w:bidi="ar-SA"/>
              </w:rPr>
            </w:pPr>
          </w:p>
        </w:tc>
        <w:tc>
          <w:tcPr>
            <w:tcW w:w="439" w:type="dxa"/>
            <w:noWrap w:val="0"/>
            <w:vAlign w:val="center"/>
          </w:tcPr>
          <w:p>
            <w:pPr>
              <w:widowControl/>
              <w:jc w:val="center"/>
              <w:outlineLvl w:val="1"/>
              <w:rPr>
                <w:rFonts w:ascii="仿宋_GB2312" w:hAnsi="宋体" w:eastAsia="仿宋_GB2312" w:cs="Times New Roman"/>
                <w:color w:val="auto"/>
                <w:kern w:val="0"/>
                <w:sz w:val="22"/>
                <w:szCs w:val="22"/>
                <w:highlight w:val="none"/>
                <w:lang w:val="en-US" w:eastAsia="zh-CN" w:bidi="ar-SA"/>
              </w:rPr>
            </w:pPr>
          </w:p>
        </w:tc>
        <w:tc>
          <w:tcPr>
            <w:tcW w:w="884" w:type="dxa"/>
            <w:noWrap w:val="0"/>
            <w:vAlign w:val="center"/>
          </w:tcPr>
          <w:p>
            <w:pPr>
              <w:widowControl/>
              <w:jc w:val="center"/>
              <w:outlineLvl w:val="1"/>
              <w:rPr>
                <w:rFonts w:hint="eastAsia" w:ascii="仿宋_GB2312" w:hAnsi="宋体" w:eastAsia="仿宋_GB2312"/>
                <w:color w:val="auto"/>
                <w:kern w:val="0"/>
                <w:sz w:val="22"/>
                <w:szCs w:val="22"/>
                <w:highlight w:val="none"/>
                <w:lang w:eastAsia="zh-CN"/>
              </w:rPr>
            </w:pPr>
            <w:r>
              <w:rPr>
                <w:rFonts w:hint="eastAsia" w:ascii="仿宋_GB2312" w:hAnsi="宋体" w:eastAsia="仿宋_GB2312"/>
                <w:color w:val="auto"/>
                <w:kern w:val="0"/>
                <w:sz w:val="22"/>
                <w:szCs w:val="22"/>
                <w:highlight w:val="none"/>
                <w:lang w:eastAsia="zh-CN"/>
              </w:rPr>
              <w:t>公共安全支出</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p>
        </w:tc>
        <w:tc>
          <w:tcPr>
            <w:tcW w:w="85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204</w:t>
            </w:r>
          </w:p>
        </w:tc>
        <w:tc>
          <w:tcPr>
            <w:tcW w:w="438" w:type="dxa"/>
            <w:noWrap w:val="0"/>
            <w:vAlign w:val="center"/>
          </w:tcPr>
          <w:p>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01</w:t>
            </w:r>
          </w:p>
        </w:tc>
        <w:tc>
          <w:tcPr>
            <w:tcW w:w="439" w:type="dxa"/>
            <w:noWrap w:val="0"/>
            <w:vAlign w:val="center"/>
          </w:tcPr>
          <w:p>
            <w:pPr>
              <w:widowControl/>
              <w:jc w:val="center"/>
              <w:outlineLvl w:val="1"/>
              <w:rPr>
                <w:rFonts w:ascii="仿宋_GB2312" w:hAnsi="宋体" w:eastAsia="仿宋_GB2312"/>
                <w:color w:val="auto"/>
                <w:kern w:val="0"/>
                <w:sz w:val="22"/>
                <w:szCs w:val="22"/>
                <w:highlight w:val="none"/>
              </w:rPr>
            </w:pP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lang w:eastAsia="zh-CN"/>
              </w:rPr>
              <w:t>武装警察部队</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p>
        </w:tc>
        <w:tc>
          <w:tcPr>
            <w:tcW w:w="85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hint="default"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204</w:t>
            </w:r>
          </w:p>
        </w:tc>
        <w:tc>
          <w:tcPr>
            <w:tcW w:w="438" w:type="dxa"/>
            <w:noWrap w:val="0"/>
            <w:vAlign w:val="center"/>
          </w:tcPr>
          <w:p>
            <w:pPr>
              <w:widowControl/>
              <w:jc w:val="center"/>
              <w:outlineLvl w:val="1"/>
              <w:rPr>
                <w:rFonts w:hint="default"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color w:val="auto"/>
                <w:kern w:val="0"/>
                <w:sz w:val="22"/>
                <w:szCs w:val="22"/>
                <w:highlight w:val="none"/>
                <w:lang w:val="en-US" w:eastAsia="zh-CN"/>
              </w:rPr>
              <w:t>01</w:t>
            </w:r>
          </w:p>
        </w:tc>
        <w:tc>
          <w:tcPr>
            <w:tcW w:w="439" w:type="dxa"/>
            <w:noWrap w:val="0"/>
            <w:vAlign w:val="center"/>
          </w:tcPr>
          <w:p>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99</w:t>
            </w:r>
          </w:p>
        </w:tc>
        <w:tc>
          <w:tcPr>
            <w:tcW w:w="884" w:type="dxa"/>
            <w:noWrap w:val="0"/>
            <w:vAlign w:val="center"/>
          </w:tcPr>
          <w:p>
            <w:pPr>
              <w:widowControl/>
              <w:jc w:val="center"/>
              <w:outlineLvl w:val="1"/>
              <w:rPr>
                <w:rFonts w:hint="eastAsia" w:ascii="仿宋_GB2312" w:hAnsi="宋体" w:eastAsia="仿宋_GB2312"/>
                <w:color w:val="auto"/>
                <w:kern w:val="0"/>
                <w:sz w:val="22"/>
                <w:szCs w:val="22"/>
                <w:highlight w:val="none"/>
                <w:lang w:eastAsia="zh-CN"/>
              </w:rPr>
            </w:pPr>
            <w:r>
              <w:rPr>
                <w:rFonts w:hint="eastAsia" w:ascii="仿宋_GB2312" w:hAnsi="宋体" w:eastAsia="仿宋_GB2312"/>
                <w:color w:val="auto"/>
                <w:kern w:val="0"/>
                <w:sz w:val="22"/>
                <w:szCs w:val="22"/>
                <w:highlight w:val="none"/>
                <w:lang w:eastAsia="zh-CN"/>
              </w:rPr>
              <w:t>其他武装警察部队支出</w:t>
            </w:r>
          </w:p>
        </w:tc>
        <w:tc>
          <w:tcPr>
            <w:tcW w:w="1224" w:type="dxa"/>
            <w:noWrap w:val="0"/>
            <w:vAlign w:val="center"/>
          </w:tcPr>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2024年乡镇武装工作经费【非定额+乡财】</w:t>
            </w:r>
          </w:p>
        </w:tc>
        <w:tc>
          <w:tcPr>
            <w:tcW w:w="855"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2.00</w:t>
            </w:r>
          </w:p>
        </w:tc>
        <w:tc>
          <w:tcPr>
            <w:tcW w:w="315"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p>
        </w:tc>
        <w:tc>
          <w:tcPr>
            <w:tcW w:w="900"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2.00</w:t>
            </w: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ascii="仿宋_GB2312" w:hAnsi="宋体" w:eastAsia="仿宋_GB2312"/>
                <w:color w:val="auto"/>
                <w:kern w:val="0"/>
                <w:sz w:val="22"/>
                <w:szCs w:val="22"/>
                <w:highlight w:val="none"/>
              </w:rPr>
            </w:pPr>
          </w:p>
        </w:tc>
        <w:tc>
          <w:tcPr>
            <w:tcW w:w="438" w:type="dxa"/>
            <w:noWrap w:val="0"/>
            <w:vAlign w:val="center"/>
          </w:tcPr>
          <w:p>
            <w:pPr>
              <w:widowControl/>
              <w:jc w:val="center"/>
              <w:outlineLvl w:val="1"/>
              <w:rPr>
                <w:rFonts w:ascii="仿宋_GB2312" w:hAnsi="宋体" w:eastAsia="仿宋_GB2312"/>
                <w:color w:val="auto"/>
                <w:kern w:val="0"/>
                <w:sz w:val="22"/>
                <w:szCs w:val="22"/>
                <w:highlight w:val="none"/>
              </w:rPr>
            </w:pPr>
          </w:p>
        </w:tc>
        <w:tc>
          <w:tcPr>
            <w:tcW w:w="439" w:type="dxa"/>
            <w:noWrap w:val="0"/>
            <w:vAlign w:val="center"/>
          </w:tcPr>
          <w:p>
            <w:pPr>
              <w:widowControl/>
              <w:jc w:val="center"/>
              <w:outlineLvl w:val="1"/>
              <w:rPr>
                <w:rFonts w:ascii="仿宋_GB2312" w:hAnsi="宋体" w:eastAsia="仿宋_GB2312"/>
                <w:color w:val="auto"/>
                <w:kern w:val="0"/>
                <w:sz w:val="22"/>
                <w:szCs w:val="22"/>
                <w:highlight w:val="none"/>
              </w:rPr>
            </w:pP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p>
        </w:tc>
        <w:tc>
          <w:tcPr>
            <w:tcW w:w="1224" w:type="dxa"/>
            <w:noWrap w:val="0"/>
            <w:vAlign w:val="center"/>
          </w:tcPr>
          <w:p>
            <w:pPr>
              <w:widowControl/>
              <w:jc w:val="center"/>
              <w:outlineLvl w:val="1"/>
              <w:rPr>
                <w:rFonts w:hint="eastAsia" w:ascii="仿宋_GB2312" w:hAnsi="宋体" w:eastAsia="仿宋_GB2312"/>
                <w:b/>
                <w:bCs/>
                <w:color w:val="auto"/>
                <w:kern w:val="0"/>
                <w:sz w:val="22"/>
                <w:szCs w:val="22"/>
                <w:highlight w:val="none"/>
              </w:rPr>
            </w:pPr>
          </w:p>
        </w:tc>
        <w:tc>
          <w:tcPr>
            <w:tcW w:w="855"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31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900"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39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55"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795"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8" w:type="dxa"/>
            <w:gridSpan w:val="2"/>
            <w:noWrap w:val="0"/>
            <w:vAlign w:val="center"/>
          </w:tcPr>
          <w:p>
            <w:pPr>
              <w:widowControl/>
              <w:jc w:val="center"/>
              <w:outlineLvl w:val="1"/>
              <w:rPr>
                <w:rFonts w:ascii="仿宋_GB2312" w:hAnsi="宋体" w:eastAsia="仿宋_GB2312"/>
                <w:color w:val="auto"/>
                <w:kern w:val="0"/>
                <w:sz w:val="22"/>
                <w:szCs w:val="22"/>
                <w:highlight w:val="none"/>
              </w:rPr>
            </w:pPr>
          </w:p>
        </w:tc>
        <w:tc>
          <w:tcPr>
            <w:tcW w:w="438" w:type="dxa"/>
            <w:noWrap w:val="0"/>
            <w:vAlign w:val="center"/>
          </w:tcPr>
          <w:p>
            <w:pPr>
              <w:widowControl/>
              <w:jc w:val="center"/>
              <w:outlineLvl w:val="1"/>
              <w:rPr>
                <w:rFonts w:ascii="仿宋_GB2312" w:hAnsi="宋体" w:eastAsia="仿宋_GB2312"/>
                <w:color w:val="auto"/>
                <w:kern w:val="0"/>
                <w:sz w:val="22"/>
                <w:szCs w:val="22"/>
                <w:highlight w:val="none"/>
              </w:rPr>
            </w:pPr>
          </w:p>
        </w:tc>
        <w:tc>
          <w:tcPr>
            <w:tcW w:w="439" w:type="dxa"/>
            <w:noWrap w:val="0"/>
            <w:vAlign w:val="center"/>
          </w:tcPr>
          <w:p>
            <w:pPr>
              <w:widowControl/>
              <w:jc w:val="center"/>
              <w:outlineLvl w:val="1"/>
              <w:rPr>
                <w:rFonts w:ascii="仿宋_GB2312" w:hAnsi="宋体" w:eastAsia="仿宋_GB2312"/>
                <w:color w:val="auto"/>
                <w:kern w:val="0"/>
                <w:sz w:val="22"/>
                <w:szCs w:val="22"/>
                <w:highlight w:val="none"/>
              </w:rPr>
            </w:pPr>
          </w:p>
        </w:tc>
        <w:tc>
          <w:tcPr>
            <w:tcW w:w="884" w:type="dxa"/>
            <w:noWrap w:val="0"/>
            <w:vAlign w:val="center"/>
          </w:tcPr>
          <w:p>
            <w:pPr>
              <w:widowControl/>
              <w:jc w:val="center"/>
              <w:outlineLvl w:val="1"/>
              <w:rPr>
                <w:rFonts w:ascii="仿宋_GB2312" w:hAnsi="宋体" w:eastAsia="仿宋_GB2312"/>
                <w:color w:val="auto"/>
                <w:kern w:val="0"/>
                <w:sz w:val="22"/>
                <w:szCs w:val="22"/>
                <w:highlight w:val="none"/>
              </w:rPr>
            </w:pPr>
          </w:p>
        </w:tc>
        <w:tc>
          <w:tcPr>
            <w:tcW w:w="1224" w:type="dxa"/>
            <w:noWrap w:val="0"/>
            <w:vAlign w:val="center"/>
          </w:tcPr>
          <w:p>
            <w:pPr>
              <w:widowControl/>
              <w:jc w:val="center"/>
              <w:outlineLvl w:val="1"/>
              <w:rPr>
                <w:rFonts w:hint="eastAsia" w:ascii="仿宋_GB2312" w:hAnsi="宋体" w:eastAsia="仿宋_GB2312" w:cs="Times New Roman"/>
                <w:color w:val="auto"/>
                <w:kern w:val="0"/>
                <w:sz w:val="22"/>
                <w:szCs w:val="22"/>
                <w:highlight w:val="none"/>
                <w:lang w:val="en-US" w:eastAsia="zh-CN" w:bidi="ar-SA"/>
              </w:rPr>
            </w:pPr>
            <w:r>
              <w:rPr>
                <w:rFonts w:hint="eastAsia" w:ascii="仿宋_GB2312" w:hAnsi="宋体" w:eastAsia="仿宋_GB2312"/>
                <w:b/>
                <w:bCs/>
                <w:color w:val="auto"/>
                <w:kern w:val="0"/>
                <w:sz w:val="22"/>
                <w:szCs w:val="22"/>
                <w:highlight w:val="none"/>
              </w:rPr>
              <w:t>合 计</w:t>
            </w:r>
          </w:p>
        </w:tc>
        <w:tc>
          <w:tcPr>
            <w:tcW w:w="855"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615.9</w:t>
            </w:r>
          </w:p>
        </w:tc>
        <w:tc>
          <w:tcPr>
            <w:tcW w:w="315"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p>
        </w:tc>
        <w:tc>
          <w:tcPr>
            <w:tcW w:w="900"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564.90</w:t>
            </w:r>
          </w:p>
        </w:tc>
        <w:tc>
          <w:tcPr>
            <w:tcW w:w="390"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p>
        </w:tc>
        <w:tc>
          <w:tcPr>
            <w:tcW w:w="450"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p>
        </w:tc>
        <w:tc>
          <w:tcPr>
            <w:tcW w:w="555" w:type="dxa"/>
            <w:gridSpan w:val="2"/>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p>
        </w:tc>
        <w:tc>
          <w:tcPr>
            <w:tcW w:w="795"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51</w:t>
            </w:r>
          </w:p>
        </w:tc>
        <w:tc>
          <w:tcPr>
            <w:tcW w:w="49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编制单位：呼图壁县呼图壁镇人民政府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214" w:type="dxa"/>
        <w:tblInd w:w="-34" w:type="dxa"/>
        <w:tblLayout w:type="fixed"/>
        <w:tblCellMar>
          <w:top w:w="0" w:type="dxa"/>
          <w:left w:w="108" w:type="dxa"/>
          <w:bottom w:w="0" w:type="dxa"/>
          <w:right w:w="108" w:type="dxa"/>
        </w:tblCellMar>
      </w:tblPr>
      <w:tblGrid>
        <w:gridCol w:w="700"/>
        <w:gridCol w:w="683"/>
        <w:gridCol w:w="654"/>
        <w:gridCol w:w="2316"/>
        <w:gridCol w:w="1354"/>
        <w:gridCol w:w="1042"/>
        <w:gridCol w:w="1088"/>
        <w:gridCol w:w="1377"/>
      </w:tblGrid>
      <w:tr>
        <w:tblPrEx>
          <w:tblLayout w:type="fixed"/>
          <w:tblCellMar>
            <w:top w:w="0" w:type="dxa"/>
            <w:left w:w="108" w:type="dxa"/>
            <w:bottom w:w="0" w:type="dxa"/>
            <w:right w:w="108" w:type="dxa"/>
          </w:tblCellMar>
        </w:tblPrEx>
        <w:trPr>
          <w:trHeight w:val="465" w:hRule="atLeast"/>
        </w:trPr>
        <w:tc>
          <w:tcPr>
            <w:tcW w:w="435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861"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203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16"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30"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7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6"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5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42"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08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7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700"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683"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65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231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135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7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lang w:val="en-US" w:eastAsia="zh-CN" w:bidi="ar-SA"/>
              </w:rPr>
            </w:pP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lang w:val="en-US" w:eastAsia="zh-CN" w:bidi="ar-SA"/>
              </w:rPr>
            </w:pP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04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lang w:val="en-US" w:eastAsia="zh-CN"/>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仿宋_GB2312" w:hAnsi="宋体" w:eastAsia="仿宋_GB2312"/>
          <w:b/>
          <w:color w:val="auto"/>
          <w:kern w:val="0"/>
          <w:sz w:val="28"/>
          <w:szCs w:val="32"/>
          <w:highlight w:val="none"/>
          <w:lang w:val="en-US" w:eastAsia="zh-CN"/>
        </w:rPr>
        <w:t>备注：本单位2024年无政府性基金预算，此表为空表。</w:t>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编制单位：呼图壁县呼图壁镇人民政府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700"/>
        <w:gridCol w:w="683"/>
        <w:gridCol w:w="654"/>
        <w:gridCol w:w="2316"/>
        <w:gridCol w:w="1354"/>
        <w:gridCol w:w="1042"/>
        <w:gridCol w:w="1088"/>
        <w:gridCol w:w="1377"/>
      </w:tblGrid>
      <w:tr>
        <w:tblPrEx>
          <w:tblLayout w:type="fixed"/>
          <w:tblCellMar>
            <w:top w:w="0" w:type="dxa"/>
            <w:left w:w="108" w:type="dxa"/>
            <w:bottom w:w="0" w:type="dxa"/>
            <w:right w:w="108" w:type="dxa"/>
          </w:tblCellMar>
        </w:tblPrEx>
        <w:trPr>
          <w:trHeight w:val="465" w:hRule="atLeast"/>
        </w:trPr>
        <w:tc>
          <w:tcPr>
            <w:tcW w:w="435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861"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203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16"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30"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7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6"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5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42"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08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7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700"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223　</w:t>
            </w:r>
          </w:p>
        </w:tc>
        <w:tc>
          <w:tcPr>
            <w:tcW w:w="683"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1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国有资本经营预算支出　</w:t>
            </w:r>
          </w:p>
        </w:tc>
        <w:tc>
          <w:tcPr>
            <w:tcW w:w="135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41.63</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7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41.63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223</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lang w:val="en-US" w:eastAsia="zh-CN"/>
              </w:rPr>
              <w:t>01</w:t>
            </w:r>
            <w:r>
              <w:rPr>
                <w:rFonts w:hint="eastAsia" w:ascii="仿宋_GB2312" w:hAnsi="宋体" w:eastAsia="仿宋_GB2312" w:cs="宋体"/>
                <w:b/>
                <w:bCs/>
                <w:color w:val="auto"/>
                <w:kern w:val="0"/>
                <w:sz w:val="22"/>
                <w:szCs w:val="2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解决历史遗留问题及改革成本支出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41.63</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41.63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lang w:val="en-US" w:eastAsia="zh-CN" w:bidi="ar-SA"/>
              </w:rPr>
            </w:pPr>
            <w:r>
              <w:rPr>
                <w:rFonts w:hint="eastAsia" w:ascii="仿宋_GB2312" w:hAnsi="宋体" w:eastAsia="仿宋_GB2312" w:cs="宋体"/>
                <w:b/>
                <w:bCs/>
                <w:color w:val="auto"/>
                <w:kern w:val="0"/>
                <w:sz w:val="22"/>
                <w:szCs w:val="22"/>
                <w:highlight w:val="none"/>
              </w:rPr>
              <w:t>223</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lang w:val="en-US" w:eastAsia="zh-CN" w:bidi="ar-SA"/>
              </w:rPr>
            </w:pPr>
            <w:r>
              <w:rPr>
                <w:rFonts w:hint="eastAsia" w:ascii="仿宋_GB2312" w:hAnsi="宋体" w:eastAsia="仿宋_GB2312" w:cs="宋体"/>
                <w:b/>
                <w:bCs/>
                <w:color w:val="auto"/>
                <w:kern w:val="0"/>
                <w:sz w:val="22"/>
                <w:szCs w:val="22"/>
                <w:highlight w:val="none"/>
                <w:lang w:val="en-US" w:eastAsia="zh-CN"/>
              </w:rPr>
              <w:t>01</w:t>
            </w:r>
            <w:r>
              <w:rPr>
                <w:rFonts w:hint="eastAsia" w:ascii="仿宋_GB2312" w:hAnsi="宋体" w:eastAsia="仿宋_GB2312" w:cs="宋体"/>
                <w:b/>
                <w:bCs/>
                <w:color w:val="auto"/>
                <w:kern w:val="0"/>
                <w:sz w:val="22"/>
                <w:szCs w:val="2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lang w:val="en-US" w:eastAsia="zh-CN"/>
              </w:rPr>
              <w:t>05</w:t>
            </w:r>
            <w:r>
              <w:rPr>
                <w:rFonts w:hint="eastAsia" w:ascii="仿宋_GB2312" w:hAnsi="宋体" w:eastAsia="仿宋_GB2312" w:cs="宋体"/>
                <w:b/>
                <w:bCs/>
                <w:color w:val="auto"/>
                <w:kern w:val="0"/>
                <w:sz w:val="22"/>
                <w:szCs w:val="22"/>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国有企业退休人员社会化管理补助支出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41.63</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41.63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3"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5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2"/>
                <w:szCs w:val="22"/>
                <w:highlight w:val="none"/>
              </w:rPr>
              <w:t>41.63</w:t>
            </w:r>
            <w:r>
              <w:rPr>
                <w:rFonts w:hint="eastAsia" w:ascii="仿宋_GB2312" w:hAnsi="宋体" w:eastAsia="仿宋_GB2312" w:cs="宋体"/>
                <w:color w:val="auto"/>
                <w:kern w:val="0"/>
                <w:sz w:val="24"/>
                <w:highlight w:val="none"/>
              </w:rPr>
              <w:t>　</w:t>
            </w:r>
          </w:p>
        </w:tc>
        <w:tc>
          <w:tcPr>
            <w:tcW w:w="104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08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7"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2"/>
                <w:szCs w:val="22"/>
                <w:highlight w:val="none"/>
              </w:rPr>
              <w:t>41.63</w:t>
            </w: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编制单位：呼图壁县呼图壁镇人民政府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6</w:t>
            </w: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6</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6</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widowControl/>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_GB2312"/>
                <w:bCs/>
                <w:color w:val="auto"/>
                <w:kern w:val="0"/>
                <w:sz w:val="28"/>
                <w:szCs w:val="28"/>
                <w:highlight w:val="none"/>
                <w:lang w:eastAsia="zh-CN"/>
              </w:rPr>
            </w:pPr>
            <w:r>
              <w:rPr>
                <w:rFonts w:hint="eastAsia" w:ascii="仿宋" w:hAnsi="仿宋" w:eastAsia="仿宋" w:cs="仿宋_GB2312"/>
                <w:bCs/>
                <w:color w:val="auto"/>
                <w:kern w:val="0"/>
                <w:sz w:val="20"/>
                <w:szCs w:val="20"/>
                <w:highlight w:val="none"/>
                <w:lang w:val="en-US" w:eastAsia="zh-CN"/>
              </w:rPr>
              <w:t>2023年</w:t>
            </w:r>
            <w:r>
              <w:rPr>
                <w:rFonts w:hint="eastAsia" w:ascii="仿宋" w:hAnsi="仿宋" w:eastAsia="仿宋" w:cs="仿宋_GB2312"/>
                <w:bCs/>
                <w:color w:val="auto"/>
                <w:kern w:val="0"/>
                <w:sz w:val="20"/>
                <w:szCs w:val="20"/>
                <w:highlight w:val="none"/>
                <w:lang w:eastAsia="zh-CN"/>
              </w:rPr>
              <w:t>国有企业退休人员社会化补</w:t>
            </w:r>
            <w:r>
              <w:rPr>
                <w:rFonts w:hint="eastAsia" w:ascii="仿宋" w:hAnsi="仿宋" w:eastAsia="仿宋" w:cs="仿宋_GB2312"/>
                <w:bCs/>
                <w:color w:val="auto"/>
                <w:kern w:val="0"/>
                <w:sz w:val="22"/>
                <w:szCs w:val="22"/>
                <w:highlight w:val="none"/>
                <w:lang w:eastAsia="zh-CN"/>
              </w:rPr>
              <w:t>助资金</w:t>
            </w:r>
          </w:p>
        </w:tc>
        <w:tc>
          <w:tcPr>
            <w:tcW w:w="8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1.09</w:t>
            </w:r>
          </w:p>
        </w:tc>
        <w:tc>
          <w:tcPr>
            <w:tcW w:w="1054"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1.09</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1.09</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0"/>
                <w:szCs w:val="20"/>
                <w:highlight w:val="none"/>
                <w:lang w:val="en-US" w:eastAsia="zh-CN"/>
              </w:rPr>
              <w:t>2023年社区运动会经费</w:t>
            </w:r>
          </w:p>
        </w:tc>
        <w:tc>
          <w:tcPr>
            <w:tcW w:w="8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0.5</w:t>
            </w:r>
          </w:p>
        </w:tc>
        <w:tc>
          <w:tcPr>
            <w:tcW w:w="1054"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0.5</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0.5</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2024年呼图壁县呼图壁镇人民政府</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呼图壁县呼图壁镇人民政府2024年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呼图壁县呼图壁镇人民政府2024年</w:t>
      </w:r>
      <w:r>
        <w:rPr>
          <w:rFonts w:hint="eastAsia" w:ascii="仿宋_GB2312" w:hAnsi="宋体" w:eastAsia="仿宋_GB2312" w:cs="宋体"/>
          <w:color w:val="auto"/>
          <w:kern w:val="0"/>
          <w:sz w:val="32"/>
          <w:szCs w:val="32"/>
          <w:highlight w:val="none"/>
        </w:rPr>
        <w:t>所有收入和支出均纳入单位预算管理。收支总预算7355万元。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收入预算包括：一般公共预算4362.87</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、国有资</w:t>
      </w:r>
      <w:r>
        <w:rPr>
          <w:rFonts w:hint="eastAsia" w:ascii="仿宋_GB2312" w:hAnsi="宋体" w:eastAsia="仿宋_GB2312" w:cs="宋体"/>
          <w:color w:val="auto"/>
          <w:kern w:val="0"/>
          <w:sz w:val="32"/>
          <w:szCs w:val="32"/>
          <w:highlight w:val="none"/>
          <w:lang w:eastAsia="zh-CN"/>
        </w:rPr>
        <w:t>本</w:t>
      </w:r>
      <w:r>
        <w:rPr>
          <w:rFonts w:hint="eastAsia" w:ascii="仿宋_GB2312" w:hAnsi="宋体" w:eastAsia="仿宋_GB2312" w:cs="宋体"/>
          <w:color w:val="auto"/>
          <w:kern w:val="0"/>
          <w:sz w:val="32"/>
          <w:szCs w:val="32"/>
          <w:highlight w:val="none"/>
        </w:rPr>
        <w:t>经营预算40.53</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单位资金2950</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lang w:val="en-US" w:eastAsia="zh-Hans"/>
        </w:rPr>
        <w:t>、财政拨款结转结余1.59</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支出预算包括：一般公共服务支出635</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.45</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、公共安全支出</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社会保障和就业支出480.14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、卫生健康支出234.06</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、住房保障支出246.22</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、国有资本经营预算支出41.63</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、其他支出</w:t>
      </w:r>
      <w:r>
        <w:rPr>
          <w:rFonts w:hint="eastAsia" w:ascii="仿宋_GB2312" w:hAnsi="宋体" w:eastAsia="仿宋_GB2312" w:cs="宋体"/>
          <w:color w:val="auto"/>
          <w:kern w:val="0"/>
          <w:sz w:val="32"/>
          <w:szCs w:val="32"/>
          <w:highlight w:val="none"/>
          <w:lang w:val="en-US" w:eastAsia="zh-CN"/>
        </w:rPr>
        <w:t>0.5万元</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呼图壁县呼图壁镇人民政府2024年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呼图壁县呼图壁镇人民政府</w:t>
      </w:r>
      <w:r>
        <w:rPr>
          <w:rFonts w:hint="eastAsia" w:ascii="仿宋_GB2312" w:hAnsi="宋体" w:eastAsia="仿宋_GB2312" w:cs="宋体"/>
          <w:color w:val="auto"/>
          <w:kern w:val="0"/>
          <w:sz w:val="32"/>
          <w:szCs w:val="32"/>
          <w:highlight w:val="none"/>
        </w:rPr>
        <w:t>收入预算7355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一般公共预算4362.87万元，占</w:t>
      </w:r>
      <w:r>
        <w:rPr>
          <w:rFonts w:hint="eastAsia" w:ascii="仿宋_GB2312" w:hAnsi="宋体" w:eastAsia="仿宋_GB2312" w:cs="宋体"/>
          <w:color w:val="auto"/>
          <w:kern w:val="0"/>
          <w:sz w:val="32"/>
          <w:szCs w:val="32"/>
          <w:highlight w:val="none"/>
          <w:lang w:val="en-US" w:eastAsia="zh-CN"/>
        </w:rPr>
        <w:t>59.32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242.44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5.26%，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社区工作者取消年终绩效，导致公用类经费劳务费年初预算减少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40.53万元，占</w:t>
      </w:r>
      <w:r>
        <w:rPr>
          <w:rFonts w:hint="eastAsia" w:ascii="仿宋_GB2312" w:hAnsi="宋体" w:eastAsia="仿宋_GB2312" w:cs="宋体"/>
          <w:color w:val="auto"/>
          <w:kern w:val="0"/>
          <w:sz w:val="32"/>
          <w:szCs w:val="32"/>
          <w:highlight w:val="none"/>
          <w:lang w:val="en-US" w:eastAsia="zh-CN"/>
        </w:rPr>
        <w:t>0.55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20.26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99.95%，</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上级安排国有企业退休人员补助资金增加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2950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40.11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2024年我单位</w:t>
      </w:r>
      <w:r>
        <w:rPr>
          <w:rFonts w:hint="eastAsia" w:ascii="仿宋_GB2312" w:hAnsi="宋体" w:eastAsia="仿宋_GB2312" w:cs="宋体"/>
          <w:color w:val="auto"/>
          <w:kern w:val="0"/>
          <w:sz w:val="32"/>
          <w:szCs w:val="32"/>
          <w:highlight w:val="none"/>
          <w:lang w:eastAsia="zh-CN"/>
        </w:rPr>
        <w:t>援疆资金数额增加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1.59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2024年财政将2个专项资金进行结转，往年财政资金未进行结转</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呼图壁县呼图壁镇人民政府2024年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呼图壁县呼图壁镇人民政府2024年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7355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基本支出5696.97万元，占</w:t>
      </w:r>
      <w:r>
        <w:rPr>
          <w:rFonts w:hint="eastAsia" w:ascii="仿宋_GB2312" w:hAnsi="宋体" w:eastAsia="仿宋_GB2312" w:cs="宋体"/>
          <w:color w:val="auto"/>
          <w:kern w:val="0"/>
          <w:sz w:val="32"/>
          <w:szCs w:val="32"/>
          <w:highlight w:val="none"/>
          <w:lang w:val="en-US" w:eastAsia="zh-CN"/>
        </w:rPr>
        <w:t>77.46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1691.56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42.23%，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kern w:val="0"/>
          <w:sz w:val="32"/>
          <w:szCs w:val="32"/>
          <w:highlight w:val="none"/>
        </w:rPr>
        <w:t>在编人员工资标准提高，</w:t>
      </w:r>
      <w:r>
        <w:rPr>
          <w:rFonts w:hint="eastAsia" w:ascii="仿宋_GB2312" w:hAnsi="宋体" w:eastAsia="仿宋_GB2312" w:cs="宋体"/>
          <w:kern w:val="0"/>
          <w:sz w:val="32"/>
          <w:szCs w:val="32"/>
          <w:highlight w:val="none"/>
          <w:lang w:eastAsia="zh-CN"/>
        </w:rPr>
        <w:t>社保、公积金相应提高，导致</w:t>
      </w:r>
      <w:r>
        <w:rPr>
          <w:rFonts w:hint="eastAsia" w:ascii="仿宋_GB2312" w:hAnsi="宋体" w:eastAsia="仿宋_GB2312" w:cs="宋体"/>
          <w:kern w:val="0"/>
          <w:sz w:val="32"/>
          <w:szCs w:val="32"/>
          <w:highlight w:val="none"/>
        </w:rPr>
        <w:t>人员类经费增加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项目支出1658.03万元，占</w:t>
      </w:r>
      <w:r>
        <w:rPr>
          <w:rFonts w:hint="eastAsia" w:ascii="仿宋_GB2312" w:hAnsi="宋体" w:eastAsia="仿宋_GB2312" w:cs="宋体"/>
          <w:color w:val="auto"/>
          <w:kern w:val="0"/>
          <w:sz w:val="32"/>
          <w:szCs w:val="32"/>
          <w:highlight w:val="none"/>
          <w:lang w:val="en-US" w:eastAsia="zh-CN"/>
        </w:rPr>
        <w:t>22.54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2957.86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64.08%，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2024年社区运转经费、2024年服务群众经费、</w:t>
      </w:r>
      <w:r>
        <w:rPr>
          <w:rFonts w:hint="eastAsia" w:ascii="仿宋_GB2312" w:hAnsi="宋体" w:eastAsia="仿宋_GB2312" w:cs="宋体"/>
          <w:kern w:val="0"/>
          <w:sz w:val="32"/>
          <w:szCs w:val="32"/>
          <w:highlight w:val="none"/>
          <w:lang w:val="en-US" w:eastAsia="zh-CN"/>
        </w:rPr>
        <w:t>纪委监察办工作经费、</w:t>
      </w:r>
      <w:r>
        <w:rPr>
          <w:rFonts w:hint="eastAsia" w:ascii="仿宋_GB2312" w:hAnsi="宋体" w:eastAsia="仿宋_GB2312" w:cs="宋体"/>
          <w:kern w:val="0"/>
          <w:sz w:val="32"/>
          <w:szCs w:val="32"/>
          <w:highlight w:val="none"/>
          <w:lang w:eastAsia="zh-CN"/>
        </w:rPr>
        <w:t>武装工作经费等经费转入基本支出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呼图壁县呼图壁镇人民政府2024年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4405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收入预算包括：一般公共预算拨款4362.87万元，政府性基金预算拨款0.50万元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国有资本经营预算拨款41.63万元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一般公共预算支出包括：一般公共服务支出394</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.45</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kern w:val="0"/>
          <w:sz w:val="32"/>
          <w:szCs w:val="32"/>
        </w:rPr>
        <w:t>主要用于工资福利、办公费等支出。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公共安全支出</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lang w:eastAsia="zh-CN"/>
        </w:rPr>
        <w:t>万元，主要用于武装工作各类开支。</w:t>
      </w:r>
    </w:p>
    <w:p>
      <w:pPr>
        <w:spacing w:line="60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社会保障和就业支出190.14万元，</w:t>
      </w:r>
      <w:r>
        <w:rPr>
          <w:rFonts w:hint="eastAsia" w:ascii="仿宋_GB2312" w:hAnsi="宋体" w:eastAsia="仿宋_GB2312" w:cs="宋体"/>
          <w:kern w:val="0"/>
          <w:sz w:val="32"/>
          <w:szCs w:val="32"/>
        </w:rPr>
        <w:t>主要用于缴纳人员养老保险支出。</w:t>
      </w:r>
    </w:p>
    <w:p>
      <w:pPr>
        <w:spacing w:line="60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卫生健康支出97.06万元，</w:t>
      </w:r>
      <w:r>
        <w:rPr>
          <w:rFonts w:hint="eastAsia" w:ascii="仿宋_GB2312" w:hAnsi="宋体" w:eastAsia="仿宋_GB2312" w:cs="宋体"/>
          <w:kern w:val="0"/>
          <w:sz w:val="32"/>
          <w:szCs w:val="32"/>
        </w:rPr>
        <w:t>主要用于缴纳人员医疗保险费支出。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lang w:eastAsia="zh-CN"/>
        </w:rPr>
        <w:t>住房保障支出126.22万元，</w:t>
      </w:r>
      <w:r>
        <w:rPr>
          <w:rFonts w:hint="eastAsia" w:ascii="仿宋_GB2312" w:hAnsi="宋体" w:eastAsia="仿宋_GB2312" w:cs="宋体"/>
          <w:kern w:val="0"/>
          <w:sz w:val="32"/>
          <w:szCs w:val="32"/>
        </w:rPr>
        <w:t>主要用于缴纳人员住房公积金支出。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支出包括：其他支出0.5万元，主要用于社区活动支出。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国有资本经营预算</w:t>
      </w:r>
      <w:r>
        <w:rPr>
          <w:rFonts w:hint="eastAsia" w:ascii="仿宋_GB2312" w:hAnsi="宋体" w:eastAsia="仿宋_GB2312" w:cs="宋体"/>
          <w:color w:val="auto"/>
          <w:kern w:val="0"/>
          <w:sz w:val="32"/>
          <w:szCs w:val="32"/>
          <w:highlight w:val="none"/>
          <w:lang w:val="en-US" w:eastAsia="zh-CN"/>
        </w:rPr>
        <w:t>支出包括：国有资本经营预算支出  41.63万元，主要用于国有企业退休人员社会化活动各项开支。</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呼图壁县呼图壁镇人民政府2024年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呼图壁县呼图壁镇人民政府2024年</w:t>
      </w:r>
      <w:r>
        <w:rPr>
          <w:rFonts w:hint="eastAsia" w:ascii="仿宋_GB2312" w:hAnsi="仿宋_GB2312" w:eastAsia="仿宋_GB2312" w:cs="仿宋_GB2312"/>
          <w:color w:val="auto"/>
          <w:kern w:val="0"/>
          <w:sz w:val="32"/>
          <w:szCs w:val="32"/>
          <w:highlight w:val="none"/>
        </w:rPr>
        <w:t>一般公共预算拨款合计4362.87万元，其中：基本支出3746.97万元，比上年预算减少</w:t>
      </w:r>
      <w:r>
        <w:rPr>
          <w:rFonts w:hint="eastAsia" w:ascii="仿宋_GB2312" w:hAnsi="仿宋_GB2312" w:eastAsia="仿宋_GB2312" w:cs="仿宋_GB2312"/>
          <w:color w:val="auto"/>
          <w:kern w:val="0"/>
          <w:sz w:val="32"/>
          <w:szCs w:val="32"/>
          <w:highlight w:val="none"/>
          <w:lang w:val="en-US" w:eastAsia="zh-CN"/>
        </w:rPr>
        <w:t>258.44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6.45</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社区工作者取消年终绩效，导致公用类经费劳务费年初预算减少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615.90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2.67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2024年8个</w:t>
      </w:r>
      <w:r>
        <w:rPr>
          <w:rFonts w:hint="eastAsia" w:ascii="仿宋_GB2312" w:hAnsi="仿宋_GB2312" w:eastAsia="仿宋_GB2312" w:cs="仿宋_GB2312"/>
          <w:color w:val="auto"/>
          <w:kern w:val="0"/>
          <w:sz w:val="32"/>
          <w:szCs w:val="32"/>
          <w:highlight w:val="none"/>
          <w:lang w:eastAsia="zh-CN"/>
        </w:rPr>
        <w:t>人大代表活动之家项目纳入年初预算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w:t>
      </w:r>
      <w:r>
        <w:rPr>
          <w:rFonts w:hint="eastAsia" w:ascii="仿宋_GB2312" w:hAnsi="仿宋_GB2312" w:eastAsia="仿宋_GB2312" w:cs="仿宋_GB2312"/>
          <w:color w:val="auto"/>
          <w:kern w:val="0"/>
          <w:sz w:val="32"/>
          <w:szCs w:val="32"/>
          <w:highlight w:val="none"/>
        </w:rPr>
        <w:t>支出</w:t>
      </w:r>
      <w:r>
        <w:rPr>
          <w:rFonts w:hint="eastAsia" w:ascii="仿宋_GB2312" w:hAnsi="宋体" w:eastAsia="仿宋_GB2312" w:cs="宋体"/>
          <w:color w:val="auto"/>
          <w:kern w:val="0"/>
          <w:sz w:val="32"/>
          <w:szCs w:val="32"/>
          <w:highlight w:val="none"/>
        </w:rPr>
        <w:t>394</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.45</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90.48</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公共安全支出</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lang w:eastAsia="zh-CN"/>
        </w:rPr>
        <w:t>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0.05</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.社会保障和就业支出</w:t>
      </w:r>
      <w:r>
        <w:rPr>
          <w:rFonts w:hint="eastAsia" w:ascii="仿宋_GB2312" w:hAnsi="仿宋_GB2312" w:eastAsia="仿宋_GB2312" w:cs="仿宋_GB2312"/>
          <w:color w:val="auto"/>
          <w:kern w:val="0"/>
          <w:sz w:val="32"/>
          <w:szCs w:val="32"/>
          <w:highlight w:val="none"/>
          <w:lang w:eastAsia="zh-CN"/>
        </w:rPr>
        <w:t>190.14</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4.36</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.卫生健康支出</w:t>
      </w:r>
      <w:r>
        <w:rPr>
          <w:rFonts w:hint="eastAsia" w:ascii="仿宋_GB2312" w:hAnsi="仿宋_GB2312" w:eastAsia="仿宋_GB2312" w:cs="仿宋_GB2312"/>
          <w:color w:val="auto"/>
          <w:kern w:val="0"/>
          <w:sz w:val="32"/>
          <w:szCs w:val="32"/>
          <w:highlight w:val="none"/>
          <w:lang w:eastAsia="zh-CN"/>
        </w:rPr>
        <w:t>97.06</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2.22</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.住房保障支出</w:t>
      </w:r>
      <w:r>
        <w:rPr>
          <w:rFonts w:hint="eastAsia" w:ascii="仿宋_GB2312" w:hAnsi="仿宋_GB2312" w:eastAsia="仿宋_GB2312" w:cs="仿宋_GB2312"/>
          <w:color w:val="auto"/>
          <w:kern w:val="0"/>
          <w:sz w:val="32"/>
          <w:szCs w:val="32"/>
          <w:highlight w:val="none"/>
          <w:lang w:eastAsia="zh-CN"/>
        </w:rPr>
        <w:t>126.22</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2.89</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1.一般公共服务（</w:t>
      </w:r>
      <w:r>
        <w:rPr>
          <w:rFonts w:hint="eastAsia" w:ascii="仿宋_GB2312" w:hAnsi="宋体" w:eastAsia="仿宋_GB2312" w:cs="宋体"/>
          <w:color w:val="auto"/>
          <w:kern w:val="0"/>
          <w:sz w:val="32"/>
          <w:szCs w:val="32"/>
          <w:highlight w:val="none"/>
        </w:rPr>
        <w:t>201</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人大事务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01款</w:t>
      </w:r>
      <w:r>
        <w:rPr>
          <w:rFonts w:hint="eastAsia" w:ascii="仿宋_GB2312" w:hAnsi="仿宋_GB2312" w:eastAsia="仿宋_GB2312" w:cs="仿宋_GB2312"/>
          <w:color w:val="auto"/>
          <w:kern w:val="0"/>
          <w:sz w:val="32"/>
          <w:szCs w:val="32"/>
          <w:highlight w:val="none"/>
        </w:rPr>
        <w:t>）其他人大事务支出（</w:t>
      </w:r>
      <w:r>
        <w:rPr>
          <w:rFonts w:hint="eastAsia" w:ascii="仿宋_GB2312" w:hAnsi="仿宋_GB2312" w:eastAsia="仿宋_GB2312" w:cs="仿宋_GB2312"/>
          <w:color w:val="auto"/>
          <w:kern w:val="0"/>
          <w:sz w:val="32"/>
          <w:szCs w:val="32"/>
          <w:highlight w:val="none"/>
          <w:lang w:val="en-US" w:eastAsia="zh-CN"/>
        </w:rPr>
        <w:t>99项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28.5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28.5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2024年人大微实事项目资金转入此功能分类支出。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一般公共服务（</w:t>
      </w:r>
      <w:r>
        <w:rPr>
          <w:rFonts w:hint="eastAsia" w:ascii="仿宋_GB2312" w:hAnsi="宋体" w:eastAsia="仿宋_GB2312" w:cs="宋体"/>
          <w:color w:val="auto"/>
          <w:kern w:val="0"/>
          <w:sz w:val="32"/>
          <w:szCs w:val="32"/>
          <w:highlight w:val="none"/>
        </w:rPr>
        <w:t>201</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政府办公厅（室）及相关机构事务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03款</w:t>
      </w:r>
      <w:r>
        <w:rPr>
          <w:rFonts w:hint="eastAsia" w:ascii="仿宋_GB2312" w:hAnsi="仿宋_GB2312" w:eastAsia="仿宋_GB2312" w:cs="仿宋_GB2312"/>
          <w:color w:val="auto"/>
          <w:kern w:val="0"/>
          <w:sz w:val="32"/>
          <w:szCs w:val="32"/>
          <w:highlight w:val="none"/>
        </w:rPr>
        <w:t>）行政运行（</w:t>
      </w:r>
      <w:r>
        <w:rPr>
          <w:rFonts w:hint="eastAsia" w:ascii="仿宋_GB2312" w:hAnsi="仿宋_GB2312" w:eastAsia="仿宋_GB2312" w:cs="仿宋_GB2312"/>
          <w:color w:val="auto"/>
          <w:kern w:val="0"/>
          <w:sz w:val="32"/>
          <w:szCs w:val="32"/>
          <w:highlight w:val="none"/>
          <w:lang w:val="en-US" w:eastAsia="zh-CN"/>
        </w:rPr>
        <w:t>01项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rPr>
        <w:t>311</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.35万元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3276.57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51.26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val="en-US" w:eastAsia="zh-CN"/>
        </w:rPr>
        <w:t>年单位资金功能分类进行细化，部分单位资金及2024年人大微实事专项资金预算转至其他功能分类。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一般公共服务（</w:t>
      </w:r>
      <w:r>
        <w:rPr>
          <w:rFonts w:hint="eastAsia" w:ascii="仿宋_GB2312" w:hAnsi="宋体" w:eastAsia="仿宋_GB2312" w:cs="宋体"/>
          <w:color w:val="auto"/>
          <w:kern w:val="0"/>
          <w:sz w:val="32"/>
          <w:szCs w:val="32"/>
          <w:highlight w:val="none"/>
        </w:rPr>
        <w:t>201</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政府办公厅（室）及相关机构事务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03款</w:t>
      </w:r>
      <w:r>
        <w:rPr>
          <w:rFonts w:hint="eastAsia" w:ascii="仿宋_GB2312" w:hAnsi="仿宋_GB2312" w:eastAsia="仿宋_GB2312" w:cs="仿宋_GB2312"/>
          <w:color w:val="auto"/>
          <w:kern w:val="0"/>
          <w:sz w:val="32"/>
          <w:szCs w:val="32"/>
          <w:highlight w:val="none"/>
        </w:rPr>
        <w:t>）事业运行（</w:t>
      </w:r>
      <w:r>
        <w:rPr>
          <w:rFonts w:hint="eastAsia" w:ascii="仿宋_GB2312" w:hAnsi="仿宋_GB2312" w:eastAsia="仿宋_GB2312" w:cs="仿宋_GB2312"/>
          <w:color w:val="auto"/>
          <w:kern w:val="0"/>
          <w:sz w:val="32"/>
          <w:szCs w:val="32"/>
          <w:highlight w:val="none"/>
          <w:lang w:val="en-US" w:eastAsia="zh-CN"/>
        </w:rPr>
        <w:t>50项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rPr>
        <w:t>803.61万元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133.91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事业编制工作人员较去年增加9人，且在编人员工资标准提高相应社保公积金较去年有所增长</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lang w:eastAsia="zh-CN"/>
        </w:rPr>
        <w:t>公共安全支出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20</w:t>
      </w:r>
      <w:r>
        <w:rPr>
          <w:rFonts w:hint="eastAsia" w:ascii="仿宋_GB2312" w:hAnsi="宋体" w:eastAsia="仿宋_GB2312" w:cs="宋体"/>
          <w:color w:val="auto"/>
          <w:kern w:val="0"/>
          <w:sz w:val="32"/>
          <w:szCs w:val="32"/>
          <w:highlight w:val="none"/>
          <w:lang w:val="en-US" w:eastAsia="zh-CN"/>
        </w:rPr>
        <w:t>4类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武装警察部队</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01款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其他</w:t>
      </w:r>
      <w:r>
        <w:rPr>
          <w:rFonts w:hint="eastAsia" w:ascii="仿宋_GB2312" w:hAnsi="仿宋_GB2312" w:eastAsia="仿宋_GB2312" w:cs="仿宋_GB2312"/>
          <w:color w:val="auto"/>
          <w:kern w:val="0"/>
          <w:sz w:val="32"/>
          <w:szCs w:val="32"/>
          <w:highlight w:val="none"/>
          <w:lang w:val="en-US" w:eastAsia="zh-CN"/>
        </w:rPr>
        <w:t>武装警察部队支出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99项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2023年此项经费在2010301行政运行中列支。</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4.社会保障和就业支出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208</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05</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行政单位离退休</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rPr>
        <w:t>33.99万元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宋体" w:eastAsia="仿宋_GB2312" w:cs="宋体"/>
          <w:color w:val="auto"/>
          <w:kern w:val="0"/>
          <w:sz w:val="32"/>
          <w:szCs w:val="32"/>
          <w:highlight w:val="none"/>
        </w:rPr>
        <w:t>33.99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：我单位上一年度离休人员经费预算在</w:t>
      </w:r>
      <w:r>
        <w:rPr>
          <w:rFonts w:hint="eastAsia" w:ascii="仿宋_GB2312" w:hAnsi="仿宋_GB2312" w:eastAsia="仿宋_GB2312" w:cs="仿宋_GB2312"/>
          <w:color w:val="auto"/>
          <w:kern w:val="0"/>
          <w:sz w:val="32"/>
          <w:szCs w:val="32"/>
          <w:highlight w:val="none"/>
          <w:lang w:val="en-US" w:eastAsia="zh-CN"/>
        </w:rPr>
        <w:t>2080502</w:t>
      </w:r>
      <w:r>
        <w:rPr>
          <w:rFonts w:hint="eastAsia" w:ascii="仿宋_GB2312" w:hAnsi="宋体" w:eastAsia="仿宋_GB2312" w:cs="宋体"/>
          <w:color w:val="auto"/>
          <w:kern w:val="0"/>
          <w:sz w:val="32"/>
          <w:szCs w:val="32"/>
          <w:highlight w:val="none"/>
        </w:rPr>
        <w:t>事业单位离退</w:t>
      </w:r>
      <w:r>
        <w:rPr>
          <w:rFonts w:hint="eastAsia" w:ascii="仿宋_GB2312" w:hAnsi="宋体" w:eastAsia="仿宋_GB2312" w:cs="宋体"/>
          <w:color w:val="auto"/>
          <w:kern w:val="0"/>
          <w:sz w:val="32"/>
          <w:szCs w:val="32"/>
          <w:highlight w:val="none"/>
          <w:lang w:eastAsia="zh-CN"/>
        </w:rPr>
        <w:t>休中拨款，且离休及行政退休人员工资、年终一次性绩效较去年有所增长。</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5.社会保障和就业支出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208</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05</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事业单位离退休</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rPr>
        <w:t>4.81万元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7.42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60.67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w:t>
      </w:r>
      <w:r>
        <w:rPr>
          <w:rFonts w:hint="eastAsia" w:ascii="仿宋_GB2312" w:hAnsi="仿宋_GB2312" w:eastAsia="仿宋_GB2312" w:cs="仿宋_GB2312"/>
          <w:color w:val="auto"/>
          <w:kern w:val="0"/>
          <w:sz w:val="32"/>
          <w:szCs w:val="32"/>
          <w:highlight w:val="none"/>
          <w:lang w:eastAsia="zh-CN"/>
        </w:rPr>
        <w:t>退休人员不再缴纳基本医疗及公务员医疗保险。</w:t>
      </w:r>
    </w:p>
    <w:p>
      <w:pPr>
        <w:spacing w:line="560" w:lineRule="exact"/>
        <w:ind w:firstLine="640" w:firstLineChars="200"/>
        <w:rPr>
          <w:rFonts w:hint="default"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eastAsia="zh-CN"/>
        </w:rPr>
        <w:t>6.社会保障和就业支出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208</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05</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机关事业单位基本养老保险缴费支出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rPr>
        <w:t>151.34万元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24.5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19.32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2024年我单位新增在编人员9人，相应社保支出较去年有所增加。</w:t>
      </w:r>
    </w:p>
    <w:p>
      <w:pPr>
        <w:spacing w:line="560" w:lineRule="exact"/>
        <w:ind w:firstLine="640" w:firstLineChars="200"/>
        <w:rPr>
          <w:rFonts w:hint="default"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eastAsia="zh-CN"/>
        </w:rPr>
        <w:t>7.卫生健康支出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210</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11</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行政单位医疗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rPr>
        <w:t>20.43万元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58.97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74.27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2024年退休人员不再缴纳基本医疗保险，且事业人员医疗保险转入2101102事业单位医疗功能分类支出。</w:t>
      </w:r>
    </w:p>
    <w:p>
      <w:pPr>
        <w:spacing w:line="560" w:lineRule="exact"/>
        <w:ind w:firstLine="640" w:firstLineChars="200"/>
        <w:rPr>
          <w:rFonts w:hint="default"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eastAsia="zh-CN"/>
        </w:rPr>
        <w:t>8.卫生健康支出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210</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11</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事业单位医疗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rPr>
        <w:t>55.24万元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增加55.24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2024年事业人员医疗保险由2101101</w:t>
      </w:r>
      <w:r>
        <w:rPr>
          <w:rFonts w:hint="eastAsia" w:ascii="仿宋_GB2312" w:hAnsi="宋体" w:eastAsia="仿宋_GB2312" w:cs="宋体"/>
          <w:color w:val="auto"/>
          <w:kern w:val="0"/>
          <w:sz w:val="32"/>
          <w:szCs w:val="32"/>
          <w:highlight w:val="none"/>
        </w:rPr>
        <w:t>行政单位医疗</w:t>
      </w:r>
      <w:r>
        <w:rPr>
          <w:rFonts w:hint="eastAsia" w:ascii="仿宋_GB2312" w:hAnsi="仿宋_GB2312" w:eastAsia="仿宋_GB2312" w:cs="仿宋_GB2312"/>
          <w:color w:val="auto"/>
          <w:kern w:val="0"/>
          <w:sz w:val="32"/>
          <w:szCs w:val="32"/>
          <w:highlight w:val="none"/>
          <w:lang w:val="en-US" w:eastAsia="zh-CN"/>
        </w:rPr>
        <w:t>转入2101102事业单位医疗功能分类支出。</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9.卫生健康支出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210</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11</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公务员医疗补助</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03</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rPr>
        <w:t>20.81万元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1.02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4.67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2024年退休人员不再缴纳公务员医疗补助。</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10.卫生健康支出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210</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11</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其他行政事业单位医疗支出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rPr>
        <w:t>0.58万元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增加0.58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2024年在编人员大病医疗转入此功能分类支出。</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11.住房保障支出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221类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住房改革支出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02</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住房公积金</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rPr>
        <w:t>126.22万元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22.99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22.27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2024年我单位新增在编人员9人，且公积金基数较上一年度有所上涨。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呼图壁县呼图壁镇人民政府2024年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呼图壁县呼图壁镇人民政府</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一般公共预算基本支出3746.97万元， 其中：</w:t>
      </w:r>
    </w:p>
    <w:p>
      <w:pPr>
        <w:pStyle w:val="7"/>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3485.86万元，主要包括：基本工资371.78万元、津贴补贴229.97万元、奖金306.64万元、绩效工资181.72万元、机关事业单位基本养老保险缴费151.34万元、职工基本医疗保险缴费75.67万元、公务员医疗补助缴费20.81万元、其他社会保障缴费7.82万元、住房公积金126.22万元、其他工资福利支出78.14万元、离休费15.44万元、退休费21.96万元、生活补助1.73万元、奖励金1.41万元、其他对个人和家庭的补助等0.22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劳务费1895.01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261.11万元，主要包括：办公费25.28万元、印刷费1.5万元、咨询费2万元、水费2.5万元、电费3万元、邮电费6万元、取暖费159.17万元、差旅费9万元、维修（护）费2万元、租赁费3万元、培训费13.8万元、委托业务费6.8万元、工会经费19.06万元、公务用车运行维护费6万元、其他交通费用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呼图壁县呼图壁镇人民政府2024年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黑体" w:eastAsia="仿宋_GB2312" w:cs="Times New Roman"/>
          <w:sz w:val="32"/>
          <w:szCs w:val="32"/>
          <w:highlight w:val="none"/>
          <w:lang w:eastAsia="zh-CN"/>
        </w:rPr>
      </w:pPr>
      <w:r>
        <w:rPr>
          <w:rFonts w:hint="eastAsia" w:ascii="仿宋_GB2312" w:hAnsi="黑体" w:eastAsia="仿宋_GB2312"/>
          <w:sz w:val="32"/>
          <w:szCs w:val="32"/>
          <w:highlight w:val="none"/>
          <w:lang w:val="en-US" w:eastAsia="zh-CN"/>
        </w:rPr>
        <w:t>1.</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w:t>
      </w:r>
      <w:r>
        <w:rPr>
          <w:rFonts w:hint="eastAsia" w:ascii="仿宋_GB2312" w:hAnsi="黑体" w:eastAsia="仿宋_GB2312" w:cs="Times New Roman"/>
          <w:sz w:val="32"/>
          <w:szCs w:val="32"/>
          <w:highlight w:val="none"/>
        </w:rPr>
        <w:t>称：</w:t>
      </w:r>
      <w:r>
        <w:rPr>
          <w:rFonts w:hint="eastAsia" w:ascii="仿宋_GB2312" w:hAnsi="黑体" w:eastAsia="仿宋_GB2312" w:cs="Times New Roman"/>
          <w:sz w:val="32"/>
          <w:szCs w:val="32"/>
          <w:highlight w:val="none"/>
          <w:lang w:eastAsia="zh-CN"/>
        </w:rPr>
        <w:t>呼图壁镇</w:t>
      </w:r>
      <w:r>
        <w:rPr>
          <w:rFonts w:hint="eastAsia" w:ascii="仿宋_GB2312" w:hAnsi="黑体" w:eastAsia="仿宋_GB2312" w:cs="Times New Roman"/>
          <w:sz w:val="32"/>
          <w:szCs w:val="32"/>
          <w:highlight w:val="none"/>
          <w:lang w:val="en-US" w:eastAsia="zh-CN"/>
        </w:rPr>
        <w:t>2024</w:t>
      </w:r>
      <w:r>
        <w:rPr>
          <w:rFonts w:hint="eastAsia" w:ascii="仿宋_GB2312" w:hAnsi="黑体" w:eastAsia="仿宋_GB2312" w:cs="Times New Roman"/>
          <w:sz w:val="32"/>
          <w:szCs w:val="32"/>
          <w:highlight w:val="none"/>
          <w:lang w:eastAsia="zh-CN"/>
        </w:rPr>
        <w:t>年社区运转经费</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黑体" w:eastAsia="仿宋_GB2312" w:cs="Times New Roman"/>
          <w:sz w:val="32"/>
          <w:szCs w:val="32"/>
          <w:highlight w:val="none"/>
        </w:rPr>
        <w:t>设立的政策依据：</w:t>
      </w:r>
      <w:r>
        <w:rPr>
          <w:rFonts w:hint="eastAsia" w:ascii="仿宋_GB2312" w:hAnsi="宋体" w:eastAsia="仿宋_GB2312" w:cs="宋体"/>
          <w:kern w:val="0"/>
          <w:sz w:val="32"/>
          <w:szCs w:val="32"/>
          <w:highlight w:val="none"/>
        </w:rPr>
        <w:t>昌州党办发【2019】41号</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预算安排规模：365万元</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项目承担单位：呼图壁县呼图壁镇人民政府</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资金分配情况：按照财政预算安排，计划用于呼图壁镇18个社区水费、电费、电话费等刚性支出以及社区办公用品，电脑耗材、社区阵地维修等325万元，购买固定资产40万元。</w:t>
      </w:r>
    </w:p>
    <w:p>
      <w:pPr>
        <w:spacing w:line="560" w:lineRule="exact"/>
        <w:ind w:firstLine="640" w:firstLineChars="200"/>
        <w:rPr>
          <w:rFonts w:hint="default"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资金执行时间：</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黑体" w:eastAsia="仿宋_GB2312"/>
          <w:b/>
          <w:color w:val="FF0000"/>
          <w:sz w:val="32"/>
          <w:szCs w:val="32"/>
          <w:highlight w:val="none"/>
        </w:rPr>
      </w:pP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2.</w:t>
      </w:r>
      <w:r>
        <w:rPr>
          <w:rFonts w:hint="eastAsia" w:ascii="仿宋_GB2312" w:hAnsi="黑体" w:eastAsia="仿宋_GB2312" w:cs="Times New Roman"/>
          <w:sz w:val="32"/>
          <w:szCs w:val="32"/>
          <w:highlight w:val="none"/>
        </w:rPr>
        <w:t>项目名称：</w:t>
      </w:r>
      <w:r>
        <w:rPr>
          <w:rFonts w:hint="eastAsia" w:ascii="仿宋_GB2312" w:hAnsi="黑体" w:eastAsia="仿宋_GB2312" w:cs="Times New Roman"/>
          <w:sz w:val="32"/>
          <w:szCs w:val="32"/>
          <w:highlight w:val="none"/>
          <w:lang w:val="en-US" w:eastAsia="zh-CN"/>
        </w:rPr>
        <w:t>呼图壁镇2024年乡镇人大微事实资金</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预算安排规模：</w:t>
      </w:r>
      <w:r>
        <w:rPr>
          <w:rFonts w:hint="eastAsia" w:ascii="仿宋_GB2312" w:hAnsi="黑体" w:eastAsia="仿宋_GB2312" w:cs="Times New Roman"/>
          <w:sz w:val="32"/>
          <w:szCs w:val="32"/>
          <w:highlight w:val="none"/>
          <w:lang w:val="en-US" w:eastAsia="zh-CN"/>
        </w:rPr>
        <w:t>28.5</w:t>
      </w:r>
      <w:r>
        <w:rPr>
          <w:rFonts w:hint="eastAsia" w:ascii="仿宋_GB2312" w:hAnsi="宋体" w:eastAsia="仿宋_GB2312" w:cs="宋体"/>
          <w:spacing w:val="-6"/>
          <w:kern w:val="0"/>
          <w:sz w:val="32"/>
          <w:szCs w:val="32"/>
          <w:highlight w:val="none"/>
        </w:rPr>
        <w:t>万元</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项目承担单位：呼图壁县呼图壁镇人民政府</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资金分配情况：按照财政预算安排，计划用于呼图壁镇人大为群众解决日常生活中的关键小事，为小区安装各类便民设施28.5万元。</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资金执行时间：2024年1月1日-12月1日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黑体" w:eastAsia="仿宋_GB2312"/>
          <w:b/>
          <w:color w:val="FF0000"/>
          <w:sz w:val="32"/>
          <w:szCs w:val="32"/>
          <w:highlight w:val="none"/>
        </w:rPr>
      </w:pP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3.</w:t>
      </w:r>
      <w:r>
        <w:rPr>
          <w:rFonts w:hint="eastAsia" w:ascii="仿宋_GB2312" w:hAnsi="黑体" w:eastAsia="仿宋_GB2312" w:cs="Times New Roman"/>
          <w:sz w:val="32"/>
          <w:szCs w:val="32"/>
          <w:highlight w:val="none"/>
        </w:rPr>
        <w:t>项目名称：</w:t>
      </w:r>
      <w:r>
        <w:rPr>
          <w:rFonts w:hint="eastAsia" w:ascii="仿宋_GB2312" w:hAnsi="黑体" w:eastAsia="仿宋_GB2312" w:cs="Times New Roman"/>
          <w:sz w:val="32"/>
          <w:szCs w:val="32"/>
          <w:highlight w:val="none"/>
          <w:lang w:val="en-US" w:eastAsia="zh-CN"/>
        </w:rPr>
        <w:t>呼图壁镇2024年服务群众经费</w:t>
      </w:r>
    </w:p>
    <w:p>
      <w:pPr>
        <w:spacing w:line="560" w:lineRule="exact"/>
        <w:ind w:firstLine="640" w:firstLineChars="200"/>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设立的政策依据：昌州党办发【2019】41号</w:t>
      </w:r>
    </w:p>
    <w:p>
      <w:pPr>
        <w:spacing w:line="560" w:lineRule="exact"/>
        <w:ind w:firstLine="640" w:firstLineChars="200"/>
        <w:rPr>
          <w:rFonts w:hint="default"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预算安排规模：</w:t>
      </w:r>
      <w:r>
        <w:rPr>
          <w:rFonts w:hint="eastAsia" w:ascii="仿宋_GB2312" w:hAnsi="黑体" w:eastAsia="仿宋_GB2312" w:cs="Times New Roman"/>
          <w:sz w:val="32"/>
          <w:szCs w:val="32"/>
          <w:highlight w:val="none"/>
          <w:lang w:val="en-US" w:eastAsia="zh-CN"/>
        </w:rPr>
        <w:t>180万元</w:t>
      </w:r>
    </w:p>
    <w:p>
      <w:pPr>
        <w:spacing w:line="560" w:lineRule="exact"/>
        <w:ind w:firstLine="640" w:firstLineChars="200"/>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项目承担单位：呼图壁县呼图壁镇人民政府</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资金分配情况：</w:t>
      </w:r>
      <w:r>
        <w:rPr>
          <w:rFonts w:hint="eastAsia" w:ascii="仿宋_GB2312" w:hAnsi="黑体" w:eastAsia="仿宋_GB2312" w:cs="Times New Roman"/>
          <w:sz w:val="32"/>
          <w:szCs w:val="32"/>
          <w:highlight w:val="none"/>
          <w:lang w:eastAsia="zh-CN"/>
        </w:rPr>
        <w:t>按照财政预算安排，计划用于呼图壁镇</w:t>
      </w:r>
      <w:r>
        <w:rPr>
          <w:rFonts w:hint="eastAsia" w:ascii="仿宋_GB2312" w:hAnsi="黑体" w:eastAsia="仿宋_GB2312" w:cs="Times New Roman"/>
          <w:sz w:val="32"/>
          <w:szCs w:val="32"/>
          <w:highlight w:val="none"/>
          <w:lang w:val="en-US" w:eastAsia="zh-CN"/>
        </w:rPr>
        <w:t>18个社区穹顶绿植打造以及社区组织居民群众参加各类活动方面的开支129万元，居民活动场所固定资产添置51万元。</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资金执行时间：</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黑体" w:eastAsia="仿宋_GB2312"/>
          <w:b/>
          <w:color w:val="FF0000"/>
          <w:sz w:val="32"/>
          <w:szCs w:val="32"/>
          <w:highlight w:val="none"/>
        </w:rPr>
      </w:pPr>
    </w:p>
    <w:p>
      <w:pPr>
        <w:spacing w:line="560" w:lineRule="exact"/>
        <w:ind w:firstLine="640" w:firstLineChars="200"/>
        <w:rPr>
          <w:rFonts w:hint="eastAsia" w:ascii="仿宋_GB2312" w:hAnsi="黑体" w:eastAsia="仿宋_GB2312" w:cs="Times New Roman"/>
          <w:sz w:val="32"/>
          <w:szCs w:val="32"/>
          <w:highlight w:val="none"/>
          <w:lang w:eastAsia="zh-CN"/>
        </w:rPr>
      </w:pPr>
      <w:r>
        <w:rPr>
          <w:rFonts w:hint="eastAsia" w:ascii="仿宋_GB2312" w:hAnsi="黑体" w:eastAsia="仿宋_GB2312" w:cs="Times New Roman"/>
          <w:sz w:val="32"/>
          <w:szCs w:val="32"/>
          <w:highlight w:val="none"/>
          <w:lang w:val="en-US" w:eastAsia="zh-CN"/>
        </w:rPr>
        <w:t>4.</w:t>
      </w:r>
      <w:r>
        <w:rPr>
          <w:rFonts w:hint="eastAsia" w:ascii="仿宋_GB2312" w:hAnsi="黑体" w:eastAsia="仿宋_GB2312" w:cs="Times New Roman"/>
          <w:sz w:val="32"/>
          <w:szCs w:val="32"/>
          <w:highlight w:val="none"/>
          <w:lang w:eastAsia="zh-CN"/>
        </w:rPr>
        <w:t>项目名称：</w:t>
      </w:r>
      <w:r>
        <w:rPr>
          <w:rFonts w:hint="eastAsia" w:ascii="仿宋_GB2312" w:hAnsi="黑体" w:eastAsia="仿宋_GB2312" w:cs="Times New Roman"/>
          <w:sz w:val="32"/>
          <w:szCs w:val="32"/>
          <w:highlight w:val="none"/>
          <w:lang w:val="en-US" w:eastAsia="zh-CN"/>
        </w:rPr>
        <w:t>2024</w:t>
      </w:r>
      <w:r>
        <w:rPr>
          <w:rFonts w:hint="eastAsia" w:ascii="仿宋_GB2312" w:hAnsi="黑体" w:eastAsia="仿宋_GB2312" w:cs="Times New Roman"/>
          <w:sz w:val="32"/>
          <w:szCs w:val="32"/>
          <w:highlight w:val="none"/>
          <w:lang w:eastAsia="zh-CN"/>
        </w:rPr>
        <w:t>年乡镇武装工作经费</w:t>
      </w:r>
    </w:p>
    <w:p>
      <w:pPr>
        <w:spacing w:line="560" w:lineRule="exact"/>
        <w:ind w:firstLine="640" w:firstLineChars="200"/>
        <w:rPr>
          <w:rFonts w:hint="default"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eastAsia="zh-CN"/>
        </w:rPr>
        <w:t>预算安排规模：</w:t>
      </w:r>
      <w:r>
        <w:rPr>
          <w:rFonts w:hint="eastAsia" w:ascii="仿宋_GB2312" w:hAnsi="黑体" w:eastAsia="仿宋_GB2312" w:cs="Times New Roman"/>
          <w:sz w:val="32"/>
          <w:szCs w:val="32"/>
          <w:highlight w:val="none"/>
          <w:lang w:val="en-US" w:eastAsia="zh-CN"/>
        </w:rPr>
        <w:t>2万元</w:t>
      </w:r>
    </w:p>
    <w:p>
      <w:pPr>
        <w:spacing w:line="560" w:lineRule="exact"/>
        <w:ind w:firstLine="640" w:firstLineChars="200"/>
        <w:rPr>
          <w:rFonts w:hint="eastAsia" w:ascii="仿宋_GB2312" w:hAnsi="黑体" w:eastAsia="仿宋_GB2312" w:cs="Times New Roman"/>
          <w:sz w:val="32"/>
          <w:szCs w:val="32"/>
          <w:highlight w:val="none"/>
          <w:lang w:eastAsia="zh-CN"/>
        </w:rPr>
      </w:pPr>
      <w:r>
        <w:rPr>
          <w:rFonts w:hint="eastAsia" w:ascii="仿宋_GB2312" w:hAnsi="黑体" w:eastAsia="仿宋_GB2312" w:cs="Times New Roman"/>
          <w:sz w:val="32"/>
          <w:szCs w:val="32"/>
          <w:highlight w:val="none"/>
          <w:lang w:eastAsia="zh-CN"/>
        </w:rPr>
        <w:t>项目承担单位：呼图壁县呼图壁镇人民政府</w:t>
      </w:r>
    </w:p>
    <w:p>
      <w:pPr>
        <w:spacing w:line="560" w:lineRule="exact"/>
        <w:ind w:firstLine="640" w:firstLineChars="200"/>
        <w:rPr>
          <w:rFonts w:hint="eastAsia" w:ascii="仿宋_GB2312" w:hAnsi="黑体" w:eastAsia="仿宋_GB2312" w:cs="Times New Roman"/>
          <w:sz w:val="32"/>
          <w:szCs w:val="32"/>
          <w:highlight w:val="none"/>
          <w:lang w:eastAsia="zh-CN"/>
        </w:rPr>
      </w:pPr>
      <w:r>
        <w:rPr>
          <w:rFonts w:hint="eastAsia" w:ascii="仿宋_GB2312" w:hAnsi="黑体" w:eastAsia="仿宋_GB2312" w:cs="Times New Roman"/>
          <w:sz w:val="32"/>
          <w:szCs w:val="32"/>
          <w:highlight w:val="none"/>
          <w:lang w:eastAsia="zh-CN"/>
        </w:rPr>
        <w:t>资金分配情况：计划用于呼图壁镇武装部征兵宣传等方面的开支</w:t>
      </w:r>
      <w:r>
        <w:rPr>
          <w:rFonts w:hint="eastAsia" w:ascii="仿宋_GB2312" w:hAnsi="黑体" w:eastAsia="仿宋_GB2312" w:cs="Times New Roman"/>
          <w:sz w:val="32"/>
          <w:szCs w:val="32"/>
          <w:highlight w:val="none"/>
          <w:lang w:val="en-US" w:eastAsia="zh-CN"/>
        </w:rPr>
        <w:t>2万元</w:t>
      </w:r>
      <w:r>
        <w:rPr>
          <w:rFonts w:hint="eastAsia" w:ascii="仿宋_GB2312" w:hAnsi="黑体" w:eastAsia="仿宋_GB2312" w:cs="Times New Roman"/>
          <w:sz w:val="32"/>
          <w:szCs w:val="32"/>
          <w:highlight w:val="none"/>
          <w:lang w:eastAsia="zh-CN"/>
        </w:rPr>
        <w:t>。</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eastAsia="zh-CN"/>
        </w:rPr>
        <w:t>资金执行时间：</w:t>
      </w:r>
      <w:r>
        <w:rPr>
          <w:rFonts w:hint="eastAsia" w:ascii="仿宋_GB2312" w:hAnsi="黑体" w:eastAsia="仿宋_GB2312" w:cs="Times New Roman"/>
          <w:sz w:val="32"/>
          <w:szCs w:val="32"/>
          <w:highlight w:val="none"/>
          <w:lang w:val="en-US" w:eastAsia="zh-CN"/>
        </w:rPr>
        <w:t>2024年1月1日-12月1日</w:t>
      </w:r>
    </w:p>
    <w:p>
      <w:pPr>
        <w:spacing w:line="560" w:lineRule="exact"/>
        <w:ind w:firstLine="640" w:firstLineChars="200"/>
        <w:rPr>
          <w:rFonts w:hint="eastAsia" w:ascii="仿宋_GB2312" w:hAnsi="黑体" w:eastAsia="仿宋_GB2312" w:cs="Times New Roman"/>
          <w:sz w:val="32"/>
          <w:szCs w:val="32"/>
          <w:highlight w:val="none"/>
          <w:lang w:eastAsia="zh-CN"/>
        </w:rPr>
      </w:pPr>
    </w:p>
    <w:p>
      <w:pPr>
        <w:spacing w:line="560" w:lineRule="exact"/>
        <w:ind w:firstLine="640" w:firstLineChars="200"/>
        <w:rPr>
          <w:rFonts w:hint="eastAsia" w:ascii="仿宋_GB2312" w:hAnsi="黑体" w:eastAsia="仿宋_GB2312" w:cs="Times New Roman"/>
          <w:sz w:val="32"/>
          <w:szCs w:val="32"/>
          <w:highlight w:val="none"/>
          <w:lang w:eastAsia="zh-CN"/>
        </w:rPr>
      </w:pP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eastAsia="zh-CN"/>
        </w:rPr>
        <w:t>项目名称：</w:t>
      </w:r>
      <w:r>
        <w:rPr>
          <w:rFonts w:hint="eastAsia" w:ascii="仿宋_GB2312" w:hAnsi="黑体" w:eastAsia="仿宋_GB2312" w:cs="Times New Roman"/>
          <w:sz w:val="32"/>
          <w:szCs w:val="32"/>
          <w:highlight w:val="none"/>
          <w:lang w:val="en-US" w:eastAsia="zh-CN"/>
        </w:rPr>
        <w:t>2024</w:t>
      </w:r>
      <w:r>
        <w:rPr>
          <w:rFonts w:hint="eastAsia" w:ascii="仿宋_GB2312" w:hAnsi="黑体" w:eastAsia="仿宋_GB2312" w:cs="Times New Roman"/>
          <w:sz w:val="32"/>
          <w:szCs w:val="32"/>
          <w:highlight w:val="none"/>
          <w:lang w:eastAsia="zh-CN"/>
        </w:rPr>
        <w:t>年乡镇监察信息员工作经费</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cs="Times New Roman"/>
          <w:sz w:val="32"/>
          <w:szCs w:val="32"/>
          <w:highlight w:val="none"/>
        </w:rPr>
        <w:t>设立的政策依据：</w:t>
      </w:r>
      <w:r>
        <w:rPr>
          <w:rFonts w:hint="eastAsia" w:ascii="仿宋_GB2312" w:hAnsi="宋体" w:eastAsia="仿宋_GB2312" w:cs="宋体"/>
          <w:kern w:val="0"/>
          <w:sz w:val="32"/>
          <w:szCs w:val="32"/>
          <w:highlight w:val="none"/>
        </w:rPr>
        <w:t>新纪办发（2018）67号，呼县党办（2018）116号</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预算安排规模：</w:t>
      </w:r>
      <w:r>
        <w:rPr>
          <w:rFonts w:hint="eastAsia" w:ascii="仿宋_GB2312" w:hAnsi="黑体" w:eastAsia="仿宋_GB2312" w:cs="Times New Roman"/>
          <w:sz w:val="32"/>
          <w:szCs w:val="32"/>
          <w:highlight w:val="none"/>
          <w:lang w:val="en-US" w:eastAsia="zh-CN"/>
        </w:rPr>
        <w:t>8.4</w:t>
      </w:r>
      <w:r>
        <w:rPr>
          <w:rFonts w:hint="eastAsia" w:ascii="仿宋_GB2312" w:hAnsi="宋体" w:eastAsia="仿宋_GB2312" w:cs="宋体"/>
          <w:spacing w:val="-6"/>
          <w:kern w:val="0"/>
          <w:sz w:val="32"/>
          <w:szCs w:val="32"/>
          <w:highlight w:val="none"/>
        </w:rPr>
        <w:t>万元</w:t>
      </w:r>
    </w:p>
    <w:p>
      <w:pPr>
        <w:spacing w:line="560" w:lineRule="exact"/>
        <w:ind w:firstLine="640" w:firstLineChars="200"/>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项目承担单位：呼图壁县呼图壁镇人民政府</w:t>
      </w:r>
    </w:p>
    <w:p>
      <w:pPr>
        <w:spacing w:line="560" w:lineRule="exact"/>
        <w:ind w:firstLine="640" w:firstLineChars="200"/>
        <w:rPr>
          <w:rFonts w:hint="eastAsia" w:ascii="仿宋" w:hAnsi="仿宋" w:eastAsia="仿宋"/>
          <w:sz w:val="32"/>
          <w:szCs w:val="32"/>
          <w:highlight w:val="none"/>
          <w:lang w:eastAsia="zh-CN"/>
        </w:rPr>
      </w:pPr>
      <w:r>
        <w:rPr>
          <w:rFonts w:hint="eastAsia" w:ascii="仿宋_GB2312" w:hAnsi="黑体" w:eastAsia="仿宋_GB2312" w:cs="Times New Roman"/>
          <w:sz w:val="32"/>
          <w:szCs w:val="32"/>
          <w:highlight w:val="none"/>
        </w:rPr>
        <w:t>资金分配情况：</w:t>
      </w:r>
      <w:r>
        <w:rPr>
          <w:rFonts w:hint="eastAsia" w:ascii="仿宋" w:hAnsi="仿宋" w:eastAsia="仿宋"/>
          <w:sz w:val="32"/>
          <w:szCs w:val="32"/>
          <w:highlight w:val="none"/>
          <w:lang w:eastAsia="zh-CN"/>
        </w:rPr>
        <w:t>计划用于呼图壁镇各社区</w:t>
      </w:r>
      <w:r>
        <w:rPr>
          <w:rFonts w:hint="eastAsia" w:ascii="仿宋_GB2312" w:hAnsi="黑体" w:eastAsia="仿宋_GB2312" w:cs="Times New Roman"/>
          <w:sz w:val="32"/>
          <w:szCs w:val="32"/>
          <w:highlight w:val="none"/>
          <w:lang w:eastAsia="zh-CN"/>
        </w:rPr>
        <w:t>监察信息员开展各项工作所产生的开支</w:t>
      </w:r>
      <w:r>
        <w:rPr>
          <w:rFonts w:hint="eastAsia" w:ascii="仿宋_GB2312" w:hAnsi="黑体" w:eastAsia="仿宋_GB2312" w:cs="Times New Roman"/>
          <w:sz w:val="32"/>
          <w:szCs w:val="32"/>
          <w:highlight w:val="none"/>
          <w:lang w:val="en-US" w:eastAsia="zh-CN"/>
        </w:rPr>
        <w:t>8.4万元</w:t>
      </w:r>
      <w:r>
        <w:rPr>
          <w:rFonts w:hint="eastAsia" w:ascii="仿宋_GB2312" w:hAnsi="黑体" w:eastAsia="仿宋_GB2312" w:cs="Times New Roman"/>
          <w:sz w:val="32"/>
          <w:szCs w:val="32"/>
          <w:highlight w:val="none"/>
          <w:lang w:eastAsia="zh-CN"/>
        </w:rPr>
        <w:t>。</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资金执行时间：</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黑体" w:eastAsia="仿宋_GB2312"/>
          <w:b/>
          <w:color w:val="FF0000"/>
          <w:sz w:val="32"/>
          <w:szCs w:val="32"/>
          <w:highlight w:val="none"/>
        </w:rPr>
      </w:pPr>
    </w:p>
    <w:p>
      <w:pPr>
        <w:spacing w:line="560" w:lineRule="exact"/>
        <w:ind w:firstLine="640" w:firstLineChars="200"/>
        <w:rPr>
          <w:rFonts w:hint="eastAsia" w:ascii="仿宋_GB2312" w:hAnsi="黑体" w:eastAsia="仿宋_GB2312" w:cs="Times New Roman"/>
          <w:sz w:val="32"/>
          <w:szCs w:val="32"/>
          <w:highlight w:val="none"/>
          <w:lang w:eastAsia="zh-CN"/>
        </w:rPr>
      </w:pPr>
      <w:r>
        <w:rPr>
          <w:rFonts w:hint="eastAsia" w:ascii="仿宋_GB2312" w:hAnsi="黑体" w:eastAsia="仿宋_GB2312" w:cs="Times New Roman"/>
          <w:sz w:val="32"/>
          <w:szCs w:val="32"/>
          <w:highlight w:val="none"/>
          <w:lang w:val="en-US" w:eastAsia="zh-CN"/>
        </w:rPr>
        <w:t>6.</w:t>
      </w:r>
      <w:r>
        <w:rPr>
          <w:rFonts w:hint="eastAsia" w:ascii="仿宋_GB2312" w:hAnsi="黑体" w:eastAsia="仿宋_GB2312" w:cs="Times New Roman"/>
          <w:sz w:val="32"/>
          <w:szCs w:val="32"/>
          <w:highlight w:val="none"/>
        </w:rPr>
        <w:t>项目名称：</w:t>
      </w:r>
      <w:r>
        <w:rPr>
          <w:rFonts w:hint="eastAsia" w:ascii="仿宋_GB2312" w:hAnsi="黑体" w:eastAsia="仿宋_GB2312" w:cs="Times New Roman"/>
          <w:sz w:val="32"/>
          <w:szCs w:val="32"/>
          <w:highlight w:val="none"/>
          <w:lang w:val="en-US" w:eastAsia="zh-CN"/>
        </w:rPr>
        <w:t>2024</w:t>
      </w:r>
      <w:r>
        <w:rPr>
          <w:rFonts w:hint="eastAsia" w:ascii="仿宋_GB2312" w:hAnsi="黑体" w:eastAsia="仿宋_GB2312" w:cs="Times New Roman"/>
          <w:sz w:val="32"/>
          <w:szCs w:val="32"/>
          <w:highlight w:val="none"/>
          <w:lang w:eastAsia="zh-CN"/>
        </w:rPr>
        <w:t>年乡镇纪委监察办公室工作经费</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cs="Times New Roman"/>
          <w:sz w:val="32"/>
          <w:szCs w:val="32"/>
          <w:highlight w:val="none"/>
        </w:rPr>
        <w:t>设立的政策依据：</w:t>
      </w:r>
      <w:r>
        <w:rPr>
          <w:rFonts w:hint="eastAsia" w:ascii="仿宋_GB2312" w:hAnsi="宋体" w:eastAsia="仿宋_GB2312" w:cs="宋体"/>
          <w:kern w:val="0"/>
          <w:sz w:val="32"/>
          <w:szCs w:val="32"/>
          <w:highlight w:val="none"/>
        </w:rPr>
        <w:t>新纪办发（2018）67号，呼县党办（2018）116号</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预算安排规模：</w:t>
      </w:r>
      <w:r>
        <w:rPr>
          <w:rFonts w:hint="eastAsia" w:ascii="仿宋_GB2312" w:hAnsi="黑体" w:eastAsia="仿宋_GB2312" w:cs="Times New Roman"/>
          <w:sz w:val="32"/>
          <w:szCs w:val="32"/>
          <w:highlight w:val="none"/>
          <w:lang w:val="en-US" w:eastAsia="zh-CN"/>
        </w:rPr>
        <w:t>16</w:t>
      </w:r>
      <w:r>
        <w:rPr>
          <w:rFonts w:hint="eastAsia" w:ascii="仿宋_GB2312" w:hAnsi="宋体" w:eastAsia="仿宋_GB2312" w:cs="宋体"/>
          <w:spacing w:val="-6"/>
          <w:kern w:val="0"/>
          <w:sz w:val="32"/>
          <w:szCs w:val="32"/>
          <w:highlight w:val="none"/>
        </w:rPr>
        <w:t>万元</w:t>
      </w:r>
    </w:p>
    <w:p>
      <w:pPr>
        <w:spacing w:line="560" w:lineRule="exact"/>
        <w:ind w:firstLine="640" w:firstLineChars="200"/>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项目承担单位：呼图壁县呼图壁镇人民政府</w:t>
      </w:r>
    </w:p>
    <w:p>
      <w:pPr>
        <w:spacing w:line="560" w:lineRule="exact"/>
        <w:ind w:firstLine="640" w:firstLineChars="200"/>
        <w:rPr>
          <w:rFonts w:hint="eastAsia" w:ascii="仿宋" w:hAnsi="仿宋" w:eastAsia="仿宋"/>
          <w:sz w:val="32"/>
          <w:szCs w:val="32"/>
          <w:highlight w:val="none"/>
          <w:lang w:eastAsia="zh-CN"/>
        </w:rPr>
      </w:pPr>
      <w:r>
        <w:rPr>
          <w:rFonts w:hint="eastAsia" w:ascii="仿宋_GB2312" w:hAnsi="黑体" w:eastAsia="仿宋_GB2312" w:cs="Times New Roman"/>
          <w:sz w:val="32"/>
          <w:szCs w:val="32"/>
          <w:highlight w:val="none"/>
        </w:rPr>
        <w:t>资金分配情况：</w:t>
      </w:r>
      <w:r>
        <w:rPr>
          <w:rFonts w:hint="eastAsia" w:ascii="仿宋" w:hAnsi="仿宋" w:eastAsia="仿宋"/>
          <w:sz w:val="32"/>
          <w:szCs w:val="32"/>
          <w:highlight w:val="none"/>
          <w:lang w:eastAsia="zh-CN"/>
        </w:rPr>
        <w:t>计划用于呼图壁镇纪检监察办公室日常工作所需办公用品、车辆维修等方面的开支</w:t>
      </w:r>
      <w:r>
        <w:rPr>
          <w:rFonts w:hint="eastAsia" w:ascii="仿宋" w:hAnsi="仿宋" w:eastAsia="仿宋"/>
          <w:sz w:val="32"/>
          <w:szCs w:val="32"/>
          <w:highlight w:val="none"/>
          <w:lang w:val="en-US" w:eastAsia="zh-CN"/>
        </w:rPr>
        <w:t>13万元，办公设备购置3万元</w:t>
      </w:r>
      <w:r>
        <w:rPr>
          <w:rFonts w:hint="eastAsia" w:ascii="仿宋" w:hAnsi="仿宋" w:eastAsia="仿宋"/>
          <w:sz w:val="32"/>
          <w:szCs w:val="32"/>
          <w:highlight w:val="none"/>
          <w:lang w:eastAsia="zh-CN"/>
        </w:rPr>
        <w:t>。</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资金执行时间：</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黑体" w:eastAsia="仿宋_GB2312"/>
          <w:b/>
          <w:color w:val="FF0000"/>
          <w:sz w:val="32"/>
          <w:szCs w:val="32"/>
          <w:highlight w:val="none"/>
        </w:rPr>
      </w:pPr>
    </w:p>
    <w:p>
      <w:pPr>
        <w:numPr>
          <w:ilvl w:val="0"/>
          <w:numId w:val="0"/>
        </w:numPr>
        <w:spacing w:line="560" w:lineRule="exact"/>
        <w:ind w:firstLine="640" w:firstLineChars="200"/>
        <w:rPr>
          <w:rFonts w:hint="eastAsia" w:ascii="仿宋" w:hAnsi="仿宋" w:eastAsia="仿宋" w:cs="宋体"/>
          <w:sz w:val="32"/>
          <w:szCs w:val="32"/>
          <w:highlight w:val="none"/>
        </w:rPr>
      </w:pPr>
      <w:r>
        <w:rPr>
          <w:rFonts w:hint="eastAsia" w:ascii="仿宋" w:hAnsi="仿宋" w:eastAsia="仿宋" w:cs="仿宋_GB2312"/>
          <w:sz w:val="32"/>
          <w:szCs w:val="32"/>
          <w:highlight w:val="none"/>
          <w:lang w:val="en-US" w:eastAsia="zh-CN"/>
        </w:rPr>
        <w:t>7.</w:t>
      </w:r>
      <w:r>
        <w:rPr>
          <w:rFonts w:hint="eastAsia" w:ascii="仿宋" w:hAnsi="仿宋" w:eastAsia="仿宋" w:cs="仿宋_GB2312"/>
          <w:sz w:val="32"/>
          <w:szCs w:val="32"/>
          <w:highlight w:val="none"/>
        </w:rPr>
        <w:t>项目名称：</w:t>
      </w:r>
      <w:r>
        <w:rPr>
          <w:rFonts w:hint="eastAsia" w:ascii="仿宋" w:hAnsi="仿宋" w:eastAsia="仿宋" w:cs="宋体"/>
          <w:sz w:val="32"/>
          <w:szCs w:val="32"/>
          <w:highlight w:val="none"/>
        </w:rPr>
        <w:t>2024年人大代表联络站补助经费</w:t>
      </w:r>
    </w:p>
    <w:p>
      <w:pPr>
        <w:spacing w:line="560" w:lineRule="exact"/>
        <w:ind w:firstLine="640" w:firstLineChars="200"/>
        <w:rPr>
          <w:rFonts w:hint="eastAsia" w:ascii="宋体" w:hAnsi="宋体" w:eastAsia="宋体" w:cs="宋体"/>
          <w:i w:val="0"/>
          <w:iCs w:val="0"/>
          <w:caps w:val="0"/>
          <w:color w:val="333333"/>
          <w:spacing w:val="0"/>
          <w:sz w:val="21"/>
          <w:szCs w:val="21"/>
          <w:shd w:val="clear" w:fill="FFFFFF"/>
        </w:rPr>
      </w:pPr>
      <w:r>
        <w:rPr>
          <w:rFonts w:hint="eastAsia" w:ascii="仿宋" w:hAnsi="仿宋" w:eastAsia="仿宋" w:cs="仿宋_GB2312"/>
          <w:sz w:val="32"/>
          <w:szCs w:val="32"/>
          <w:highlight w:val="none"/>
        </w:rPr>
        <w:t>设立的政策依</w:t>
      </w:r>
      <w:r>
        <w:rPr>
          <w:rFonts w:hint="eastAsia" w:ascii="仿宋" w:hAnsi="仿宋" w:eastAsia="仿宋" w:cs="宋体"/>
          <w:sz w:val="32"/>
          <w:szCs w:val="32"/>
          <w:highlight w:val="none"/>
        </w:rPr>
        <w:t>据：呼财字【2024】5号</w:t>
      </w:r>
    </w:p>
    <w:p>
      <w:pPr>
        <w:spacing w:line="560" w:lineRule="exact"/>
        <w:ind w:firstLine="640" w:firstLineChars="200"/>
        <w:rPr>
          <w:rFonts w:ascii="仿宋" w:hAnsi="仿宋" w:eastAsia="仿宋"/>
          <w:sz w:val="32"/>
          <w:szCs w:val="32"/>
          <w:highlight w:val="none"/>
        </w:rPr>
      </w:pPr>
      <w:r>
        <w:rPr>
          <w:rFonts w:hint="eastAsia" w:ascii="仿宋" w:hAnsi="仿宋" w:eastAsia="仿宋" w:cs="仿宋_GB2312"/>
          <w:sz w:val="32"/>
          <w:szCs w:val="32"/>
          <w:highlight w:val="none"/>
        </w:rPr>
        <w:t>预算安排规模：</w:t>
      </w:r>
      <w:r>
        <w:rPr>
          <w:rFonts w:hint="eastAsia" w:ascii="仿宋" w:hAnsi="仿宋" w:eastAsia="仿宋"/>
          <w:sz w:val="32"/>
          <w:szCs w:val="32"/>
          <w:highlight w:val="none"/>
          <w:lang w:val="en-US" w:eastAsia="zh-CN"/>
        </w:rPr>
        <w:t>16</w:t>
      </w:r>
      <w:r>
        <w:rPr>
          <w:rFonts w:hint="eastAsia" w:ascii="仿宋" w:hAnsi="仿宋" w:eastAsia="仿宋"/>
          <w:sz w:val="32"/>
          <w:szCs w:val="32"/>
          <w:highlight w:val="none"/>
        </w:rPr>
        <w:t xml:space="preserve">万元 </w:t>
      </w:r>
    </w:p>
    <w:p>
      <w:pPr>
        <w:spacing w:line="560" w:lineRule="exact"/>
        <w:ind w:firstLine="640" w:firstLineChars="200"/>
        <w:rPr>
          <w:rFonts w:ascii="仿宋" w:hAnsi="仿宋" w:eastAsia="仿宋" w:cs="仿宋_GB2312"/>
          <w:sz w:val="32"/>
          <w:szCs w:val="32"/>
          <w:highlight w:val="none"/>
        </w:rPr>
      </w:pPr>
      <w:r>
        <w:rPr>
          <w:rFonts w:hint="eastAsia" w:ascii="仿宋" w:hAnsi="仿宋" w:eastAsia="仿宋" w:cs="仿宋_GB2312"/>
          <w:sz w:val="32"/>
          <w:szCs w:val="32"/>
          <w:highlight w:val="none"/>
        </w:rPr>
        <w:t>项目承担单位：</w:t>
      </w:r>
      <w:r>
        <w:rPr>
          <w:rFonts w:hint="eastAsia" w:ascii="仿宋" w:hAnsi="仿宋" w:eastAsia="仿宋" w:cs="宋体"/>
          <w:sz w:val="32"/>
          <w:szCs w:val="32"/>
          <w:highlight w:val="none"/>
        </w:rPr>
        <w:t>呼图壁镇人民政府</w:t>
      </w:r>
    </w:p>
    <w:p>
      <w:pPr>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cs="仿宋_GB2312"/>
          <w:sz w:val="32"/>
          <w:szCs w:val="32"/>
          <w:highlight w:val="none"/>
        </w:rPr>
        <w:t>资金分配情况：</w:t>
      </w:r>
      <w:r>
        <w:rPr>
          <w:rFonts w:hint="eastAsia" w:ascii="仿宋" w:hAnsi="仿宋" w:eastAsia="仿宋"/>
          <w:sz w:val="32"/>
          <w:szCs w:val="32"/>
          <w:highlight w:val="none"/>
          <w:lang w:eastAsia="zh-CN"/>
        </w:rPr>
        <w:t>计划用于呼图壁镇打造人大代表联络站广告宣传制作等</w:t>
      </w:r>
      <w:r>
        <w:rPr>
          <w:rFonts w:hint="eastAsia" w:ascii="仿宋" w:hAnsi="仿宋" w:eastAsia="仿宋"/>
          <w:sz w:val="32"/>
          <w:szCs w:val="32"/>
          <w:highlight w:val="none"/>
          <w:lang w:val="en-US" w:eastAsia="zh-CN"/>
        </w:rPr>
        <w:t>8万元，联络站设备购置8万元</w:t>
      </w:r>
      <w:r>
        <w:rPr>
          <w:rFonts w:hint="eastAsia" w:ascii="仿宋" w:hAnsi="仿宋" w:eastAsia="仿宋"/>
          <w:sz w:val="32"/>
          <w:szCs w:val="32"/>
          <w:highlight w:val="none"/>
          <w:lang w:eastAsia="zh-CN"/>
        </w:rPr>
        <w:t>。</w:t>
      </w:r>
    </w:p>
    <w:p>
      <w:pPr>
        <w:spacing w:line="560" w:lineRule="exact"/>
        <w:ind w:firstLine="640" w:firstLineChars="200"/>
        <w:rPr>
          <w:rFonts w:hint="eastAsia" w:ascii="仿宋_GB2312" w:hAnsi="黑体" w:eastAsia="仿宋_GB2312" w:cs="Times New Roman"/>
          <w:sz w:val="32"/>
          <w:szCs w:val="32"/>
          <w:highlight w:val="none"/>
          <w:lang w:val="en-US" w:eastAsia="zh-CN"/>
        </w:rPr>
      </w:pPr>
      <w:r>
        <w:rPr>
          <w:rFonts w:hint="eastAsia" w:ascii="仿宋" w:hAnsi="仿宋" w:eastAsia="仿宋" w:cs="仿宋_GB2312"/>
          <w:sz w:val="32"/>
          <w:szCs w:val="32"/>
          <w:highlight w:val="none"/>
        </w:rPr>
        <w:t>资金执行时间：</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呼图壁县呼图壁镇人民政府2024年</w:t>
      </w:r>
      <w:r>
        <w:rPr>
          <w:rFonts w:hint="eastAsia" w:ascii="楷体_GB2312" w:hAnsi="楷体_GB2312" w:eastAsia="楷体_GB2312" w:cs="楷体_GB2312"/>
          <w:b/>
          <w:bCs/>
          <w:color w:val="auto"/>
          <w:kern w:val="0"/>
          <w:sz w:val="32"/>
          <w:szCs w:val="32"/>
          <w:highlight w:val="none"/>
        </w:rPr>
        <w:t>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呼图壁镇人民政府</w:t>
      </w:r>
      <w:r>
        <w:rPr>
          <w:rFonts w:hint="eastAsia" w:ascii="仿宋_GB2312" w:hAnsi="仿宋_GB2312" w:eastAsia="仿宋_GB2312" w:cs="仿宋_GB2312"/>
          <w:kern w:val="0"/>
          <w:sz w:val="32"/>
          <w:szCs w:val="32"/>
        </w:rPr>
        <w:t>2024年没有使用政府性基金预算拨款安排的支出，政府性基金预算支出情况表为空表。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呼图壁县呼图壁镇人民政府2024年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呼图壁县呼图壁镇人民政府2024年</w:t>
      </w:r>
      <w:r>
        <w:rPr>
          <w:rFonts w:hint="eastAsia" w:ascii="仿宋_GB2312" w:hAnsi="仿宋_GB2312" w:eastAsia="仿宋_GB2312" w:cs="仿宋_GB2312"/>
          <w:color w:val="auto"/>
          <w:kern w:val="0"/>
          <w:sz w:val="32"/>
          <w:szCs w:val="32"/>
          <w:highlight w:val="none"/>
        </w:rPr>
        <w:t>国有资本经营预算支出41.63万元。与上年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21.36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105.38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财政安排国有企业退休人员社会化补助资金增加</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Hans"/>
        </w:rPr>
        <w:t>国有资本经营预算支出</w:t>
      </w:r>
      <w:r>
        <w:rPr>
          <w:rFonts w:hint="eastAsia" w:ascii="仿宋_GB2312" w:hAnsi="仿宋_GB2312" w:eastAsia="仿宋_GB2312" w:cs="仿宋_GB2312"/>
          <w:color w:val="auto"/>
          <w:sz w:val="32"/>
          <w:szCs w:val="32"/>
          <w:highlight w:val="none"/>
        </w:rPr>
        <w:t>（223类）</w:t>
      </w:r>
      <w:r>
        <w:rPr>
          <w:rFonts w:hint="default" w:ascii="仿宋_GB2312" w:hAnsi="仿宋_GB2312" w:eastAsia="仿宋_GB2312" w:cs="仿宋_GB2312"/>
          <w:color w:val="auto"/>
          <w:sz w:val="32"/>
          <w:szCs w:val="32"/>
          <w:highlight w:val="none"/>
        </w:rPr>
        <w:t>解决历史遗留问题及改革成本支出</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01</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Hans"/>
        </w:rPr>
        <w:t>国有企业退休人员社会化管理补助支出</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05</w:t>
      </w:r>
      <w:r>
        <w:rPr>
          <w:rFonts w:hint="eastAsia" w:ascii="仿宋_GB2312" w:hAnsi="仿宋_GB2312" w:eastAsia="仿宋_GB2312" w:cs="仿宋_GB2312"/>
          <w:color w:val="auto"/>
          <w:sz w:val="32"/>
          <w:szCs w:val="32"/>
          <w:highlight w:val="none"/>
        </w:rPr>
        <w:t>项）支出41.63万元，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21.36</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105.38</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sz w:val="32"/>
          <w:szCs w:val="32"/>
          <w:highlight w:val="none"/>
        </w:rPr>
        <w:t>主要是用于</w:t>
      </w:r>
      <w:r>
        <w:rPr>
          <w:rFonts w:hint="default" w:ascii="仿宋_GB2312" w:hAnsi="仿宋_GB2312" w:eastAsia="仿宋_GB2312" w:cs="仿宋_GB2312"/>
          <w:sz w:val="32"/>
          <w:szCs w:val="32"/>
          <w:lang w:val="en-US" w:eastAsia="zh-CN"/>
        </w:rPr>
        <w:t>退休人员活动经费补助、街道社区管理服务办公经费补助</w:t>
      </w:r>
      <w:r>
        <w:rPr>
          <w:rFonts w:hint="eastAsia" w:ascii="仿宋_GB2312" w:hAnsi="仿宋_GB2312" w:eastAsia="仿宋_GB2312" w:cs="仿宋_GB2312"/>
          <w:sz w:val="32"/>
          <w:szCs w:val="32"/>
          <w:lang w:val="en-US" w:eastAsia="zh-CN"/>
        </w:rPr>
        <w:t>、呼图壁镇人民政府下属18个社区节庆日邀请居民群众、国企退休人员等人员举办各类活动所购买的氛围打造装饰用品、水果蔬菜等食材、节目奖品、活动租用服装等举办活动方面的开支。</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呼图壁县呼图壁镇人民政府2024年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呼图壁县呼图壁镇人民政府2024年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44.4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88.1%，</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rPr>
        <w:t>，下降0%，主要原因是未安排因公出国（境）；</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rPr>
        <w:t>，下降0 %，主要原因是未安排预算；</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44.4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88.1%，</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此经费调剂到其他公用类科目</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rPr>
        <w:t>，下降0 %，主要原因是未安排预算；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呼图壁县呼图壁镇人民政府2024年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呼图壁县呼图壁镇人民政府2024年</w:t>
      </w:r>
      <w:r>
        <w:rPr>
          <w:rFonts w:hint="eastAsia" w:ascii="仿宋_GB2312" w:hAnsi="仿宋_GB2312" w:eastAsia="仿宋_GB2312" w:cs="仿宋_GB2312"/>
          <w:color w:val="auto"/>
          <w:kern w:val="0"/>
          <w:sz w:val="32"/>
          <w:szCs w:val="32"/>
          <w:highlight w:val="none"/>
          <w:lang w:val="en-US" w:eastAsia="zh-CN"/>
        </w:rPr>
        <w:t>上年结转结余1.59万元，包括：财政拨款1.59万元，非财政拨款0万元，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1.2023年社区运动会经费0.5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主要用于：呼图壁镇2023年社区举办运动会活动经费。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kern w:val="0"/>
          <w:sz w:val="32"/>
          <w:szCs w:val="32"/>
          <w:highlight w:val="none"/>
          <w:lang w:val="en-US" w:eastAsia="zh-CN"/>
        </w:rPr>
        <w:t>2023年国有企业退休人员社会化管理补助资金1.09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仿宋_GB2312" w:eastAsia="仿宋_GB2312" w:cs="仿宋_GB2312"/>
          <w:color w:val="auto"/>
          <w:sz w:val="32"/>
          <w:szCs w:val="32"/>
          <w:highlight w:val="none"/>
        </w:rPr>
        <w:t>用于</w:t>
      </w:r>
      <w:r>
        <w:rPr>
          <w:rFonts w:hint="default" w:ascii="仿宋_GB2312" w:hAnsi="仿宋_GB2312" w:eastAsia="仿宋_GB2312" w:cs="仿宋_GB2312"/>
          <w:sz w:val="32"/>
          <w:szCs w:val="32"/>
          <w:lang w:val="en-US" w:eastAsia="zh-CN"/>
        </w:rPr>
        <w:t>退休人员活动经费补助、街道社区管理服务办公经费补助</w:t>
      </w:r>
      <w:r>
        <w:rPr>
          <w:rFonts w:hint="eastAsia" w:ascii="仿宋_GB2312" w:hAnsi="仿宋_GB2312" w:eastAsia="仿宋_GB2312" w:cs="仿宋_GB2312"/>
          <w:sz w:val="32"/>
          <w:szCs w:val="32"/>
          <w:lang w:val="en-US" w:eastAsia="zh-CN"/>
        </w:rPr>
        <w:t>、呼图壁镇人民政府下属18个社区节庆日邀请居民群众、国企退休人员等人员举办各类活动所购买的氛围打造装饰用品、水果蔬菜等食材、节目奖品、活动租用服装等举办活动方面的开支。</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呼图壁县呼图壁镇人民政府</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呼图壁县呼图壁镇人民政府2024年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261.11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15.86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6.47</w:t>
      </w:r>
      <w:r>
        <w:rPr>
          <w:rFonts w:hint="eastAsia" w:ascii="仿宋_GB2312" w:hAnsi="仿宋_GB2312" w:eastAsia="仿宋_GB2312" w:cs="仿宋_GB2312"/>
          <w:color w:val="auto"/>
          <w:kern w:val="0"/>
          <w:sz w:val="32"/>
          <w:szCs w:val="32"/>
          <w:highlight w:val="none"/>
        </w:rPr>
        <w:t>%。主要原因是</w:t>
      </w:r>
      <w:r>
        <w:rPr>
          <w:rFonts w:hint="eastAsia" w:ascii="仿宋" w:hAnsi="仿宋" w:eastAsia="仿宋" w:cs="宋体"/>
          <w:color w:val="auto"/>
          <w:sz w:val="32"/>
          <w:szCs w:val="32"/>
          <w:highlight w:val="none"/>
          <w:lang w:eastAsia="zh-CN"/>
        </w:rPr>
        <w:t>在编</w:t>
      </w:r>
      <w:r>
        <w:rPr>
          <w:rFonts w:hint="eastAsia" w:ascii="仿宋" w:hAnsi="仿宋" w:eastAsia="仿宋" w:cs="宋体"/>
          <w:color w:val="auto"/>
          <w:sz w:val="32"/>
          <w:szCs w:val="32"/>
          <w:highlight w:val="none"/>
        </w:rPr>
        <w:t>人员</w:t>
      </w:r>
      <w:r>
        <w:rPr>
          <w:rFonts w:hint="eastAsia" w:ascii="仿宋" w:hAnsi="仿宋" w:eastAsia="仿宋" w:cs="宋体"/>
          <w:color w:val="auto"/>
          <w:sz w:val="32"/>
          <w:szCs w:val="32"/>
          <w:highlight w:val="none"/>
          <w:lang w:eastAsia="zh-CN"/>
        </w:rPr>
        <w:t>数量增加，</w:t>
      </w:r>
      <w:r>
        <w:rPr>
          <w:rFonts w:hint="eastAsia" w:ascii="仿宋" w:hAnsi="仿宋" w:eastAsia="仿宋" w:cs="宋体"/>
          <w:color w:val="auto"/>
          <w:sz w:val="32"/>
          <w:szCs w:val="32"/>
          <w:highlight w:val="none"/>
        </w:rPr>
        <w:t>运行经费</w:t>
      </w:r>
      <w:r>
        <w:rPr>
          <w:rFonts w:hint="eastAsia" w:ascii="仿宋" w:hAnsi="仿宋" w:eastAsia="仿宋" w:cs="宋体"/>
          <w:color w:val="auto"/>
          <w:sz w:val="32"/>
          <w:szCs w:val="32"/>
          <w:highlight w:val="none"/>
          <w:lang w:eastAsia="zh-CN"/>
        </w:rPr>
        <w:t>相应增加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kern w:val="0"/>
          <w:sz w:val="32"/>
          <w:szCs w:val="32"/>
          <w:highlight w:val="none"/>
        </w:rPr>
        <w:t>政府采购预算2383.41万元，其中：政府采购货物预算</w:t>
      </w:r>
      <w:r>
        <w:rPr>
          <w:rFonts w:hint="eastAsia" w:ascii="仿宋_GB2312" w:hAnsi="仿宋_GB2312" w:eastAsia="仿宋_GB2312" w:cs="仿宋_GB2312"/>
          <w:color w:val="auto"/>
          <w:kern w:val="0"/>
          <w:sz w:val="32"/>
          <w:szCs w:val="32"/>
          <w:highlight w:val="none"/>
          <w:lang w:val="en-US" w:eastAsia="zh-CN"/>
        </w:rPr>
        <w:t>732.91</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706</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944.50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rPr>
        <w:t>2383.41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rPr>
        <w:t>2383.41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36288.17</w:t>
      </w:r>
      <w:r>
        <w:rPr>
          <w:rFonts w:hint="eastAsia" w:ascii="仿宋_GB2312" w:hAnsi="仿宋_GB2312" w:eastAsia="仿宋_GB2312" w:cs="仿宋_GB2312"/>
          <w:color w:val="auto"/>
          <w:kern w:val="0"/>
          <w:sz w:val="32"/>
          <w:szCs w:val="32"/>
          <w:highlight w:val="none"/>
        </w:rPr>
        <w:t>平方米，价值10374</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03万元。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129.4</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42.94</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17</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86.46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3.办公家具价值2419</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6</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kern w:val="0"/>
          <w:sz w:val="32"/>
          <w:szCs w:val="32"/>
          <w:highlight w:val="none"/>
        </w:rPr>
        <w:t xml:space="preserve">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2024年呼图壁县呼图壁镇人民政府</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整体预算绩效目标1个，涉及金额4362.87万元；当年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涉及预算金额657.53万元；当年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1000</w:t>
      </w:r>
      <w:r>
        <w:rPr>
          <w:rFonts w:hint="eastAsia" w:ascii="仿宋_GB2312" w:hAnsi="仿宋_GB2312" w:eastAsia="仿宋_GB2312" w:cs="仿宋_GB2312"/>
          <w:color w:val="auto"/>
          <w:kern w:val="0"/>
          <w:sz w:val="32"/>
          <w:szCs w:val="32"/>
          <w:highlight w:val="none"/>
        </w:rPr>
        <w:t>万元。具体情况见下表：</w:t>
      </w:r>
    </w:p>
    <w:tbl>
      <w:tblPr>
        <w:tblStyle w:val="8"/>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呼图壁县呼图壁镇人民政府整体绩效目标表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呼图壁县呼图壁镇人民政府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1"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孙雅茹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4501361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1.负责人民政府值班工作，及时向县民政府报告重要情况，协助处理各部门和各村反映的重要</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问题，传达和督促落实自治区人民政府的决定。</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2.协助县人民政府组织处理应急事件和重大事故，负责乡镇应急管理日常工作。</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3.负责指导、监督乡镇政务公开及政府信息公开工作。</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4.根据县人民政府的工作重点，组织专题调查 研究，及时反映情况，提出建议。</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5.负责推进、指导、协调乡镇系统电子 政务工作。</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6.承办县人民政府交办的其他事项。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7"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0"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4362.87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8"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6"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vMerge w:val="restart"/>
            <w:tcBorders>
              <w:top w:val="single" w:color="auto" w:sz="4" w:space="0"/>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数量指标</w:t>
            </w:r>
          </w:p>
        </w:tc>
        <w:tc>
          <w:tcPr>
            <w:tcW w:w="165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开展隐患排查次数</w:t>
            </w:r>
          </w:p>
        </w:tc>
        <w:tc>
          <w:tcPr>
            <w:tcW w:w="1271" w:type="dxa"/>
            <w:tcBorders>
              <w:top w:val="single" w:color="auto"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≧15次</w:t>
            </w:r>
          </w:p>
        </w:tc>
        <w:tc>
          <w:tcPr>
            <w:tcW w:w="2114" w:type="dxa"/>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呼图壁镇人民政府202</w:t>
            </w:r>
            <w:r>
              <w:rPr>
                <w:rFonts w:hint="eastAsia" w:ascii="宋体" w:hAnsi="宋体" w:cs="宋体"/>
                <w:i w:val="0"/>
                <w:iCs w:val="0"/>
                <w:color w:val="000000"/>
                <w:sz w:val="18"/>
                <w:szCs w:val="18"/>
                <w:u w:val="none"/>
                <w:lang w:val="en-US" w:eastAsia="zh-CN"/>
              </w:rPr>
              <w:t>4</w:t>
            </w:r>
            <w:r>
              <w:rPr>
                <w:rFonts w:hint="eastAsia" w:ascii="宋体" w:hAnsi="宋体" w:eastAsia="宋体" w:cs="宋体"/>
                <w:i w:val="0"/>
                <w:iCs w:val="0"/>
                <w:color w:val="000000"/>
                <w:sz w:val="18"/>
                <w:szCs w:val="18"/>
                <w:u w:val="none"/>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67" w:type="dxa"/>
            <w:tcBorders>
              <w:top w:val="single" w:color="auto"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数量指标</w:t>
            </w: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城乡居民医疗保险参保人数</w:t>
            </w:r>
          </w:p>
        </w:tc>
        <w:tc>
          <w:tcPr>
            <w:tcW w:w="1271"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≧23000人</w:t>
            </w:r>
          </w:p>
        </w:tc>
        <w:tc>
          <w:tcPr>
            <w:tcW w:w="2114"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呼图壁镇人民政府202</w:t>
            </w:r>
            <w:r>
              <w:rPr>
                <w:rFonts w:hint="eastAsia" w:ascii="宋体" w:hAnsi="宋体" w:cs="宋体"/>
                <w:i w:val="0"/>
                <w:iCs w:val="0"/>
                <w:color w:val="000000"/>
                <w:sz w:val="18"/>
                <w:szCs w:val="18"/>
                <w:u w:val="none"/>
                <w:lang w:val="en-US" w:eastAsia="zh-CN"/>
              </w:rPr>
              <w:t>4</w:t>
            </w:r>
            <w:r>
              <w:rPr>
                <w:rFonts w:hint="eastAsia" w:ascii="宋体" w:hAnsi="宋体" w:eastAsia="宋体" w:cs="宋体"/>
                <w:i w:val="0"/>
                <w:iCs w:val="0"/>
                <w:color w:val="000000"/>
                <w:sz w:val="18"/>
                <w:szCs w:val="18"/>
                <w:u w:val="none"/>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67"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数量指标</w:t>
            </w: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养老保险参保人数</w:t>
            </w:r>
          </w:p>
        </w:tc>
        <w:tc>
          <w:tcPr>
            <w:tcW w:w="1271"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≧1100人</w:t>
            </w:r>
          </w:p>
        </w:tc>
        <w:tc>
          <w:tcPr>
            <w:tcW w:w="2114" w:type="dxa"/>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呼图壁镇人民政府202</w:t>
            </w:r>
            <w:r>
              <w:rPr>
                <w:rFonts w:hint="eastAsia" w:ascii="宋体" w:hAnsi="宋体" w:cs="宋体"/>
                <w:i w:val="0"/>
                <w:iCs w:val="0"/>
                <w:color w:val="000000"/>
                <w:sz w:val="18"/>
                <w:szCs w:val="18"/>
                <w:u w:val="none"/>
                <w:lang w:val="en-US" w:eastAsia="zh-CN"/>
              </w:rPr>
              <w:t>4</w:t>
            </w:r>
            <w:r>
              <w:rPr>
                <w:rFonts w:hint="eastAsia" w:ascii="宋体" w:hAnsi="宋体" w:eastAsia="宋体" w:cs="宋体"/>
                <w:i w:val="0"/>
                <w:iCs w:val="0"/>
                <w:color w:val="000000"/>
                <w:sz w:val="18"/>
                <w:szCs w:val="18"/>
                <w:u w:val="none"/>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67"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数量指标</w:t>
            </w: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新增就业人数</w:t>
            </w:r>
          </w:p>
        </w:tc>
        <w:tc>
          <w:tcPr>
            <w:tcW w:w="1271"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≥3700人</w:t>
            </w:r>
          </w:p>
        </w:tc>
        <w:tc>
          <w:tcPr>
            <w:tcW w:w="2114" w:type="dxa"/>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呼图壁镇人民政府202</w:t>
            </w:r>
            <w:r>
              <w:rPr>
                <w:rFonts w:hint="eastAsia" w:ascii="宋体" w:hAnsi="宋体" w:cs="宋体"/>
                <w:i w:val="0"/>
                <w:iCs w:val="0"/>
                <w:color w:val="000000"/>
                <w:sz w:val="18"/>
                <w:szCs w:val="18"/>
                <w:u w:val="none"/>
                <w:lang w:val="en-US" w:eastAsia="zh-CN"/>
              </w:rPr>
              <w:t>4</w:t>
            </w:r>
            <w:r>
              <w:rPr>
                <w:rFonts w:hint="eastAsia" w:ascii="宋体" w:hAnsi="宋体" w:eastAsia="宋体" w:cs="宋体"/>
                <w:i w:val="0"/>
                <w:iCs w:val="0"/>
                <w:color w:val="000000"/>
                <w:sz w:val="18"/>
                <w:szCs w:val="18"/>
                <w:u w:val="none"/>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367"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数量指标</w:t>
            </w: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开展环境卫生整治活动次数</w:t>
            </w:r>
          </w:p>
        </w:tc>
        <w:tc>
          <w:tcPr>
            <w:tcW w:w="1271"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≧24次</w:t>
            </w:r>
          </w:p>
        </w:tc>
        <w:tc>
          <w:tcPr>
            <w:tcW w:w="2114"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呼图壁镇人民政府202</w:t>
            </w:r>
            <w:r>
              <w:rPr>
                <w:rFonts w:hint="eastAsia" w:ascii="宋体" w:hAnsi="宋体" w:cs="宋体"/>
                <w:i w:val="0"/>
                <w:iCs w:val="0"/>
                <w:color w:val="000000"/>
                <w:sz w:val="18"/>
                <w:szCs w:val="18"/>
                <w:u w:val="none"/>
                <w:lang w:val="en-US" w:eastAsia="zh-CN"/>
              </w:rPr>
              <w:t>4</w:t>
            </w:r>
            <w:r>
              <w:rPr>
                <w:rFonts w:hint="eastAsia" w:ascii="宋体" w:hAnsi="宋体" w:eastAsia="宋体" w:cs="宋体"/>
                <w:i w:val="0"/>
                <w:iCs w:val="0"/>
                <w:color w:val="000000"/>
                <w:sz w:val="18"/>
                <w:szCs w:val="18"/>
                <w:u w:val="none"/>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vMerge w:val="continue"/>
            <w:tcBorders>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67"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kern w:val="2"/>
                <w:sz w:val="21"/>
                <w:szCs w:val="24"/>
                <w:lang w:val="en-US" w:eastAsia="zh-CN" w:bidi="ar-SA"/>
              </w:rPr>
            </w:pPr>
            <w:r>
              <w:rPr>
                <w:rFonts w:hint="eastAsia" w:ascii="宋体" w:hAnsi="宋体" w:cs="宋体"/>
                <w:i w:val="0"/>
                <w:iCs w:val="0"/>
                <w:color w:val="000000"/>
                <w:sz w:val="18"/>
                <w:szCs w:val="18"/>
                <w:u w:val="none"/>
                <w:lang w:val="en-US" w:eastAsia="zh-CN"/>
              </w:rPr>
              <w:t>数量指标</w:t>
            </w:r>
          </w:p>
        </w:tc>
        <w:tc>
          <w:tcPr>
            <w:tcW w:w="1657" w:type="dxa"/>
            <w:tcBorders>
              <w:top w:val="single" w:color="000000"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积社区综合服务中心建设项目数量</w:t>
            </w:r>
          </w:p>
        </w:tc>
        <w:tc>
          <w:tcPr>
            <w:tcW w:w="1271"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≧1个</w:t>
            </w:r>
          </w:p>
        </w:tc>
        <w:tc>
          <w:tcPr>
            <w:tcW w:w="2114"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呼图壁镇人民政府202</w:t>
            </w:r>
            <w:r>
              <w:rPr>
                <w:rFonts w:hint="eastAsia" w:ascii="宋体" w:hAnsi="宋体" w:cs="宋体"/>
                <w:i w:val="0"/>
                <w:iCs w:val="0"/>
                <w:color w:val="000000"/>
                <w:sz w:val="18"/>
                <w:szCs w:val="18"/>
                <w:u w:val="none"/>
                <w:lang w:val="en-US" w:eastAsia="zh-CN"/>
              </w:rPr>
              <w:t>4</w:t>
            </w:r>
            <w:r>
              <w:rPr>
                <w:rFonts w:hint="eastAsia" w:ascii="宋体" w:hAnsi="宋体" w:eastAsia="宋体" w:cs="宋体"/>
                <w:i w:val="0"/>
                <w:iCs w:val="0"/>
                <w:color w:val="000000"/>
                <w:sz w:val="18"/>
                <w:szCs w:val="18"/>
                <w:u w:val="none"/>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15</w:t>
            </w:r>
          </w:p>
        </w:tc>
      </w:tr>
    </w:tbl>
    <w:tbl>
      <w:tblPr>
        <w:tblStyle w:val="8"/>
        <w:tblpPr w:leftFromText="180" w:rightFromText="180" w:vertAnchor="text" w:horzAnchor="page" w:tblpX="1103" w:tblpY="515"/>
        <w:tblOverlap w:val="never"/>
        <w:tblW w:w="10216" w:type="dxa"/>
        <w:tblInd w:w="0" w:type="dxa"/>
        <w:tblLayout w:type="fixed"/>
        <w:tblCellMar>
          <w:top w:w="0" w:type="dxa"/>
          <w:left w:w="108" w:type="dxa"/>
          <w:bottom w:w="0" w:type="dxa"/>
          <w:right w:w="108" w:type="dxa"/>
        </w:tblCellMar>
      </w:tblPr>
      <w:tblGrid>
        <w:gridCol w:w="842"/>
        <w:gridCol w:w="1714"/>
        <w:gridCol w:w="1162"/>
        <w:gridCol w:w="1280"/>
        <w:gridCol w:w="1315"/>
        <w:gridCol w:w="1180"/>
        <w:gridCol w:w="1035"/>
        <w:gridCol w:w="774"/>
        <w:gridCol w:w="914"/>
      </w:tblGrid>
      <w:tr>
        <w:tblPrEx>
          <w:tblLayout w:type="fixed"/>
          <w:tblCellMar>
            <w:top w:w="0" w:type="dxa"/>
            <w:left w:w="108" w:type="dxa"/>
            <w:bottom w:w="0" w:type="dxa"/>
            <w:right w:w="108" w:type="dxa"/>
          </w:tblCellMar>
        </w:tblPrEx>
        <w:trPr>
          <w:trHeight w:val="616" w:hRule="atLeast"/>
        </w:trPr>
        <w:tc>
          <w:tcPr>
            <w:tcW w:w="10216"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  目  支  出  绩  效  目  标  表</w:t>
            </w:r>
          </w:p>
        </w:tc>
      </w:tr>
      <w:tr>
        <w:tblPrEx>
          <w:tblLayout w:type="fixed"/>
          <w:tblCellMar>
            <w:top w:w="0" w:type="dxa"/>
            <w:left w:w="108" w:type="dxa"/>
            <w:bottom w:w="0" w:type="dxa"/>
            <w:right w:w="108" w:type="dxa"/>
          </w:tblCellMar>
        </w:tblPrEx>
        <w:trPr>
          <w:trHeight w:val="356" w:hRule="atLeast"/>
        </w:trPr>
        <w:tc>
          <w:tcPr>
            <w:tcW w:w="10216"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4</w:t>
            </w:r>
            <w:r>
              <w:rPr>
                <w:rFonts w:hint="eastAsia" w:ascii="宋体" w:hAnsi="宋体" w:cs="宋体"/>
                <w:color w:val="000000"/>
                <w:sz w:val="22"/>
                <w:szCs w:val="22"/>
                <w:highlight w:val="none"/>
                <w:lang w:eastAsia="zh-Hans"/>
              </w:rPr>
              <w:t>年）</w:t>
            </w:r>
          </w:p>
        </w:tc>
      </w:tr>
      <w:tr>
        <w:tblPrEx>
          <w:tblLayout w:type="fixed"/>
          <w:tblCellMar>
            <w:top w:w="0" w:type="dxa"/>
            <w:left w:w="108" w:type="dxa"/>
            <w:bottom w:w="0" w:type="dxa"/>
            <w:right w:w="108" w:type="dxa"/>
          </w:tblCellMar>
        </w:tblPrEx>
        <w:trPr>
          <w:trHeight w:val="602"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660"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Layout w:type="fixed"/>
          <w:tblCellMar>
            <w:top w:w="0" w:type="dxa"/>
            <w:left w:w="108" w:type="dxa"/>
            <w:bottom w:w="0" w:type="dxa"/>
            <w:right w:w="108" w:type="dxa"/>
          </w:tblCellMar>
        </w:tblPrEx>
        <w:trPr>
          <w:trHeight w:val="602"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7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eastAsia="zh-CN"/>
              </w:rPr>
              <w:t>呼图壁镇202</w:t>
            </w:r>
            <w:r>
              <w:rPr>
                <w:rFonts w:hint="eastAsia" w:ascii="仿宋_GB2312" w:hAnsi="宋体" w:eastAsia="仿宋_GB2312" w:cs="宋体"/>
                <w:color w:val="000000"/>
                <w:sz w:val="20"/>
                <w:szCs w:val="20"/>
                <w:highlight w:val="none"/>
                <w:lang w:val="en-US" w:eastAsia="zh-CN"/>
              </w:rPr>
              <w:t>4</w:t>
            </w:r>
            <w:r>
              <w:rPr>
                <w:rFonts w:hint="eastAsia" w:ascii="仿宋_GB2312" w:hAnsi="宋体" w:eastAsia="仿宋_GB2312" w:cs="宋体"/>
                <w:color w:val="000000"/>
                <w:sz w:val="20"/>
                <w:szCs w:val="20"/>
                <w:highlight w:val="none"/>
                <w:lang w:eastAsia="zh-CN"/>
              </w:rPr>
              <w:t>年社区运转经费</w:t>
            </w:r>
          </w:p>
        </w:tc>
        <w:tc>
          <w:tcPr>
            <w:tcW w:w="221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68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val="en-US" w:eastAsia="zh-CN"/>
              </w:rPr>
              <w:t>柴伟</w:t>
            </w:r>
          </w:p>
        </w:tc>
      </w:tr>
      <w:tr>
        <w:tblPrEx>
          <w:tblLayout w:type="fixed"/>
          <w:tblCellMar>
            <w:top w:w="0" w:type="dxa"/>
            <w:left w:w="108" w:type="dxa"/>
            <w:bottom w:w="0" w:type="dxa"/>
            <w:right w:w="108" w:type="dxa"/>
          </w:tblCellMar>
        </w:tblPrEx>
        <w:trPr>
          <w:trHeight w:val="681"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val="en-US" w:eastAsia="zh-CN"/>
              </w:rPr>
              <w:t>365</w:t>
            </w:r>
          </w:p>
        </w:tc>
        <w:tc>
          <w:tcPr>
            <w:tcW w:w="1315"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val="en-US" w:eastAsia="zh-CN"/>
              </w:rPr>
              <w:t>365</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68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997"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660" w:type="dxa"/>
            <w:gridSpan w:val="7"/>
            <w:tcBorders>
              <w:top w:val="single" w:color="000000" w:sz="4" w:space="0"/>
              <w:left w:val="nil"/>
              <w:bottom w:val="single" w:color="000000" w:sz="4" w:space="0"/>
              <w:right w:val="single" w:color="000000" w:sz="4" w:space="0"/>
            </w:tcBorders>
            <w:noWrap w:val="0"/>
            <w:vAlign w:val="top"/>
          </w:tcPr>
          <w:p>
            <w:pPr>
              <w:numPr>
                <w:ilvl w:val="0"/>
                <w:numId w:val="1"/>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保障18个社区各项工作正常运转；</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提升社区运转能力，为群众提供更好更高质量的公共服务；</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提高城镇辖区居民对社区公共服务的满意度。</w:t>
            </w:r>
          </w:p>
        </w:tc>
      </w:tr>
      <w:tr>
        <w:tblPrEx>
          <w:tblLayout w:type="fixed"/>
          <w:tblCellMar>
            <w:top w:w="0" w:type="dxa"/>
            <w:left w:w="108" w:type="dxa"/>
            <w:bottom w:w="0" w:type="dxa"/>
            <w:right w:w="108" w:type="dxa"/>
          </w:tblCellMar>
        </w:tblPrEx>
        <w:trPr>
          <w:trHeight w:val="626" w:hRule="atLeast"/>
        </w:trPr>
        <w:tc>
          <w:tcPr>
            <w:tcW w:w="84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Layout w:type="fixed"/>
          <w:tblCellMar>
            <w:top w:w="0" w:type="dxa"/>
            <w:left w:w="108" w:type="dxa"/>
            <w:bottom w:w="0" w:type="dxa"/>
            <w:right w:w="108" w:type="dxa"/>
          </w:tblCellMar>
        </w:tblPrEx>
        <w:trPr>
          <w:trHeight w:val="602" w:hRule="atLeast"/>
        </w:trPr>
        <w:tc>
          <w:tcPr>
            <w:tcW w:w="84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保障社区运转时间</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4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365万元</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42"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571" w:hRule="atLeast"/>
        </w:trPr>
        <w:tc>
          <w:tcPr>
            <w:tcW w:w="84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4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16" w:hRule="atLeast"/>
        </w:trPr>
        <w:tc>
          <w:tcPr>
            <w:tcW w:w="10216" w:type="dxa"/>
            <w:gridSpan w:val="9"/>
            <w:tcBorders>
              <w:top w:val="nil"/>
              <w:left w:val="nil"/>
              <w:bottom w:val="nil"/>
              <w:right w:val="nil"/>
            </w:tcBorders>
            <w:noWrap w:val="0"/>
            <w:vAlign w:val="center"/>
          </w:tcPr>
          <w:p>
            <w:pPr>
              <w:widowControl/>
              <w:jc w:val="center"/>
              <w:textAlignment w:val="center"/>
              <w:rPr>
                <w:rFonts w:hint="eastAsia" w:ascii="仿宋_GB2312" w:hAnsi="宋体" w:eastAsia="仿宋_GB2312" w:cs="仿宋_GB2312"/>
                <w:b/>
                <w:color w:val="000000"/>
                <w:kern w:val="0"/>
                <w:sz w:val="32"/>
                <w:szCs w:val="32"/>
                <w:highlight w:val="none"/>
                <w:lang w:bidi="ar"/>
              </w:rPr>
            </w:pPr>
          </w:p>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  目  支  出  绩  效  目  标  表</w:t>
            </w:r>
          </w:p>
        </w:tc>
      </w:tr>
      <w:tr>
        <w:tblPrEx>
          <w:tblLayout w:type="fixed"/>
          <w:tblCellMar>
            <w:top w:w="0" w:type="dxa"/>
            <w:left w:w="108" w:type="dxa"/>
            <w:bottom w:w="0" w:type="dxa"/>
            <w:right w:w="108" w:type="dxa"/>
          </w:tblCellMar>
        </w:tblPrEx>
        <w:trPr>
          <w:trHeight w:val="356" w:hRule="atLeast"/>
        </w:trPr>
        <w:tc>
          <w:tcPr>
            <w:tcW w:w="10216"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4</w:t>
            </w:r>
            <w:r>
              <w:rPr>
                <w:rFonts w:hint="eastAsia" w:ascii="宋体" w:hAnsi="宋体" w:cs="宋体"/>
                <w:color w:val="000000"/>
                <w:sz w:val="22"/>
                <w:szCs w:val="22"/>
                <w:highlight w:val="none"/>
                <w:lang w:eastAsia="zh-Hans"/>
              </w:rPr>
              <w:t>年）</w:t>
            </w:r>
          </w:p>
        </w:tc>
      </w:tr>
      <w:tr>
        <w:tblPrEx>
          <w:tblLayout w:type="fixed"/>
          <w:tblCellMar>
            <w:top w:w="0" w:type="dxa"/>
            <w:left w:w="108" w:type="dxa"/>
            <w:bottom w:w="0" w:type="dxa"/>
            <w:right w:w="108" w:type="dxa"/>
          </w:tblCellMar>
        </w:tblPrEx>
        <w:trPr>
          <w:trHeight w:val="602"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660"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Layout w:type="fixed"/>
          <w:tblCellMar>
            <w:top w:w="0" w:type="dxa"/>
            <w:left w:w="108" w:type="dxa"/>
            <w:bottom w:w="0" w:type="dxa"/>
            <w:right w:w="108" w:type="dxa"/>
          </w:tblCellMar>
        </w:tblPrEx>
        <w:trPr>
          <w:trHeight w:val="602"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7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eastAsia="zh-CN"/>
              </w:rPr>
              <w:t>呼图壁镇202</w:t>
            </w:r>
            <w:r>
              <w:rPr>
                <w:rFonts w:hint="eastAsia" w:ascii="仿宋_GB2312" w:hAnsi="宋体" w:eastAsia="仿宋_GB2312" w:cs="宋体"/>
                <w:color w:val="000000"/>
                <w:sz w:val="20"/>
                <w:szCs w:val="20"/>
                <w:highlight w:val="none"/>
                <w:lang w:val="en-US" w:eastAsia="zh-CN"/>
              </w:rPr>
              <w:t>4</w:t>
            </w:r>
            <w:r>
              <w:rPr>
                <w:rFonts w:hint="eastAsia" w:ascii="仿宋_GB2312" w:hAnsi="宋体" w:eastAsia="仿宋_GB2312" w:cs="宋体"/>
                <w:color w:val="000000"/>
                <w:sz w:val="20"/>
                <w:szCs w:val="20"/>
                <w:highlight w:val="none"/>
                <w:lang w:eastAsia="zh-CN"/>
              </w:rPr>
              <w:t>年乡镇人大微事实资金</w:t>
            </w:r>
          </w:p>
        </w:tc>
        <w:tc>
          <w:tcPr>
            <w:tcW w:w="221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68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王飞</w:t>
            </w:r>
          </w:p>
        </w:tc>
      </w:tr>
      <w:tr>
        <w:tblPrEx>
          <w:tblLayout w:type="fixed"/>
          <w:tblCellMar>
            <w:top w:w="0" w:type="dxa"/>
            <w:left w:w="108" w:type="dxa"/>
            <w:bottom w:w="0" w:type="dxa"/>
            <w:right w:w="108" w:type="dxa"/>
          </w:tblCellMar>
        </w:tblPrEx>
        <w:trPr>
          <w:trHeight w:val="681"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仿宋_GB2312" w:hAnsi="宋体" w:eastAsia="仿宋_GB2312" w:cs="宋体"/>
                <w:color w:val="000000"/>
                <w:sz w:val="20"/>
                <w:szCs w:val="20"/>
                <w:highlight w:val="none"/>
                <w:lang w:val="en-US" w:eastAsia="zh-CN"/>
              </w:rPr>
              <w:t>28.5</w:t>
            </w:r>
          </w:p>
        </w:tc>
        <w:tc>
          <w:tcPr>
            <w:tcW w:w="1315"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val="en-US" w:eastAsia="zh-CN"/>
              </w:rPr>
              <w:t>28.5</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68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997"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660"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1.保障人大各项工作正常运转；</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2.提升社区运转能力，为群众提供更好更高质量的公共服务；</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3.提高城镇辖区居民对社区公共服务的满意度。</w:t>
            </w:r>
          </w:p>
        </w:tc>
      </w:tr>
      <w:tr>
        <w:tblPrEx>
          <w:tblLayout w:type="fixed"/>
          <w:tblCellMar>
            <w:top w:w="0" w:type="dxa"/>
            <w:left w:w="108" w:type="dxa"/>
            <w:bottom w:w="0" w:type="dxa"/>
            <w:right w:w="108" w:type="dxa"/>
          </w:tblCellMar>
        </w:tblPrEx>
        <w:trPr>
          <w:trHeight w:val="626" w:hRule="atLeast"/>
        </w:trPr>
        <w:tc>
          <w:tcPr>
            <w:tcW w:w="84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Layout w:type="fixed"/>
          <w:tblCellMar>
            <w:top w:w="0" w:type="dxa"/>
            <w:left w:w="108" w:type="dxa"/>
            <w:bottom w:w="0" w:type="dxa"/>
            <w:right w:w="108" w:type="dxa"/>
          </w:tblCellMar>
        </w:tblPrEx>
        <w:trPr>
          <w:trHeight w:val="602" w:hRule="atLeast"/>
        </w:trPr>
        <w:tc>
          <w:tcPr>
            <w:tcW w:w="84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w:t>
            </w:r>
            <w:r>
              <w:rPr>
                <w:rFonts w:hint="eastAsia" w:ascii="宋体" w:hAnsi="宋体" w:cs="宋体"/>
                <w:color w:val="000000"/>
                <w:sz w:val="18"/>
                <w:szCs w:val="18"/>
                <w:highlight w:val="none"/>
                <w:lang w:val="en-US" w:eastAsia="zh-CN"/>
              </w:rPr>
              <w:t>人大</w:t>
            </w:r>
            <w:r>
              <w:rPr>
                <w:rFonts w:hint="eastAsia" w:ascii="宋体" w:hAnsi="宋体" w:cs="宋体"/>
                <w:color w:val="000000"/>
                <w:sz w:val="18"/>
                <w:szCs w:val="18"/>
                <w:highlight w:val="none"/>
                <w:lang w:eastAsia="zh-CN"/>
              </w:rPr>
              <w:t>运转时间</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4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仿宋_GB2312" w:hAnsi="宋体" w:eastAsia="仿宋_GB2312" w:cs="宋体"/>
                <w:color w:val="000000"/>
                <w:sz w:val="20"/>
                <w:szCs w:val="20"/>
                <w:highlight w:val="none"/>
                <w:lang w:val="en-US" w:eastAsia="zh-CN"/>
              </w:rPr>
              <w:t>28.5</w:t>
            </w:r>
            <w:r>
              <w:rPr>
                <w:rFonts w:hint="eastAsia" w:ascii="宋体" w:hAnsi="宋体" w:cs="宋体"/>
                <w:color w:val="000000"/>
                <w:sz w:val="18"/>
                <w:szCs w:val="18"/>
                <w:highlight w:val="none"/>
                <w:lang w:val="en-US" w:eastAsia="zh-CN"/>
              </w:rPr>
              <w:t>万元</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42"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571" w:hRule="atLeast"/>
        </w:trPr>
        <w:tc>
          <w:tcPr>
            <w:tcW w:w="84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4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16" w:hRule="atLeast"/>
        </w:trPr>
        <w:tc>
          <w:tcPr>
            <w:tcW w:w="10216" w:type="dxa"/>
            <w:gridSpan w:val="9"/>
            <w:tcBorders>
              <w:top w:val="nil"/>
              <w:left w:val="nil"/>
              <w:bottom w:val="nil"/>
              <w:right w:val="nil"/>
            </w:tcBorders>
            <w:noWrap w:val="0"/>
            <w:vAlign w:val="center"/>
          </w:tcPr>
          <w:tbl>
            <w:tblPr>
              <w:tblStyle w:val="8"/>
              <w:tblpPr w:leftFromText="180" w:rightFromText="180" w:vertAnchor="text" w:horzAnchor="page" w:tblpX="1103" w:tblpY="515"/>
              <w:tblOverlap w:val="never"/>
              <w:tblW w:w="10000" w:type="dxa"/>
              <w:tblInd w:w="0" w:type="dxa"/>
              <w:tblLayout w:type="fixed"/>
              <w:tblCellMar>
                <w:top w:w="0" w:type="dxa"/>
                <w:left w:w="108" w:type="dxa"/>
                <w:bottom w:w="0" w:type="dxa"/>
                <w:right w:w="108" w:type="dxa"/>
              </w:tblCellMar>
            </w:tblPr>
            <w:tblGrid>
              <w:gridCol w:w="876"/>
              <w:gridCol w:w="1296"/>
              <w:gridCol w:w="1182"/>
              <w:gridCol w:w="1320"/>
              <w:gridCol w:w="1411"/>
              <w:gridCol w:w="1168"/>
              <w:gridCol w:w="990"/>
              <w:gridCol w:w="772"/>
              <w:gridCol w:w="985"/>
            </w:tblGrid>
            <w:tr>
              <w:tblPrEx>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  目  支  出  绩  效  目  标  表</w:t>
                  </w:r>
                </w:p>
              </w:tc>
            </w:tr>
            <w:tr>
              <w:tblPrEx>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4</w:t>
                  </w:r>
                  <w:r>
                    <w:rPr>
                      <w:rFonts w:hint="eastAsia" w:ascii="宋体" w:hAnsi="宋体" w:cs="宋体"/>
                      <w:color w:val="000000"/>
                      <w:sz w:val="22"/>
                      <w:szCs w:val="22"/>
                      <w:highlight w:val="none"/>
                      <w:lang w:eastAsia="zh-Hans"/>
                    </w:rPr>
                    <w:t>年）</w:t>
                  </w:r>
                </w:p>
              </w:tc>
            </w:tr>
            <w:tr>
              <w:tblPrEx>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202</w:t>
                  </w:r>
                  <w:r>
                    <w:rPr>
                      <w:rFonts w:hint="eastAsia" w:ascii="宋体" w:hAnsi="宋体" w:cs="宋体"/>
                      <w:color w:val="000000"/>
                      <w:sz w:val="18"/>
                      <w:szCs w:val="18"/>
                      <w:highlight w:val="none"/>
                      <w:lang w:val="en-US" w:eastAsia="zh-CN"/>
                    </w:rPr>
                    <w:t>4</w:t>
                  </w:r>
                  <w:r>
                    <w:rPr>
                      <w:rFonts w:hint="eastAsia" w:ascii="宋体" w:hAnsi="宋体" w:cs="宋体"/>
                      <w:color w:val="000000"/>
                      <w:sz w:val="18"/>
                      <w:szCs w:val="18"/>
                      <w:highlight w:val="none"/>
                      <w:lang w:eastAsia="zh-CN"/>
                    </w:rPr>
                    <w:t>年乡镇纪委监察办公室工作经费</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张淑娟</w:t>
                  </w:r>
                </w:p>
              </w:tc>
            </w:tr>
            <w:tr>
              <w:tblPrEx>
                <w:tblLayout w:type="fixed"/>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仿宋_GB2312" w:hAnsi="宋体" w:eastAsia="仿宋_GB2312" w:cs="宋体"/>
                      <w:color w:val="000000"/>
                      <w:sz w:val="20"/>
                      <w:szCs w:val="20"/>
                      <w:highlight w:val="none"/>
                      <w:lang w:val="en-US" w:eastAsia="zh-CN"/>
                    </w:rPr>
                    <w:t>16</w:t>
                  </w:r>
                </w:p>
              </w:tc>
              <w:tc>
                <w:tcPr>
                  <w:tcW w:w="141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val="en-US" w:eastAsia="zh-CN"/>
                    </w:rPr>
                    <w:t>16</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1.保障18个社区各项工作正常运转；</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2.提升社区运转能力，为群众提供更好更高质量的公共服务；</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3.提高城镇辖区居民对社区公共服务的满意度。</w:t>
                  </w:r>
                </w:p>
              </w:tc>
            </w:tr>
            <w:tr>
              <w:tblPrEx>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保障社区运转时间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16万元</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仿宋_GB2312" w:hAnsi="宋体" w:eastAsia="仿宋_GB2312" w:cs="仿宋_GB2312"/>
                      <w:b/>
                      <w:color w:val="000000"/>
                      <w:kern w:val="0"/>
                      <w:sz w:val="32"/>
                      <w:szCs w:val="32"/>
                      <w:highlight w:val="none"/>
                      <w:lang w:bidi="ar"/>
                    </w:rPr>
                  </w:pPr>
                </w:p>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  目  支  出  绩  效  目  标  表</w:t>
                  </w:r>
                </w:p>
              </w:tc>
            </w:tr>
            <w:tr>
              <w:tblPrEx>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4</w:t>
                  </w:r>
                  <w:r>
                    <w:rPr>
                      <w:rFonts w:hint="eastAsia" w:ascii="宋体" w:hAnsi="宋体" w:cs="宋体"/>
                      <w:color w:val="000000"/>
                      <w:sz w:val="22"/>
                      <w:szCs w:val="22"/>
                      <w:highlight w:val="none"/>
                      <w:lang w:eastAsia="zh-Hans"/>
                    </w:rPr>
                    <w:t>年）</w:t>
                  </w:r>
                </w:p>
              </w:tc>
            </w:tr>
            <w:tr>
              <w:tblPrEx>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202</w:t>
                  </w:r>
                  <w:r>
                    <w:rPr>
                      <w:rFonts w:hint="eastAsia" w:ascii="宋体" w:hAnsi="宋体" w:cs="宋体"/>
                      <w:color w:val="000000"/>
                      <w:sz w:val="18"/>
                      <w:szCs w:val="18"/>
                      <w:highlight w:val="none"/>
                      <w:lang w:val="en-US" w:eastAsia="zh-CN"/>
                    </w:rPr>
                    <w:t>4</w:t>
                  </w:r>
                  <w:r>
                    <w:rPr>
                      <w:rFonts w:hint="eastAsia" w:ascii="宋体" w:hAnsi="宋体" w:cs="宋体"/>
                      <w:color w:val="000000"/>
                      <w:sz w:val="18"/>
                      <w:szCs w:val="18"/>
                      <w:highlight w:val="none"/>
                      <w:lang w:eastAsia="zh-CN"/>
                    </w:rPr>
                    <w:t>年乡镇监察信息员工作经费</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val="en-US" w:eastAsia="zh-CN"/>
                    </w:rPr>
                    <w:t>连杰</w:t>
                  </w:r>
                </w:p>
              </w:tc>
            </w:tr>
            <w:tr>
              <w:tblPrEx>
                <w:tblLayout w:type="fixed"/>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eastAsia="宋体" w:cs="宋体"/>
                      <w:color w:val="000000"/>
                      <w:sz w:val="18"/>
                      <w:szCs w:val="18"/>
                      <w:highlight w:val="none"/>
                      <w:lang w:val="en-US" w:eastAsia="zh-CN"/>
                    </w:rPr>
                    <w:t>8.4</w:t>
                  </w:r>
                </w:p>
              </w:tc>
              <w:tc>
                <w:tcPr>
                  <w:tcW w:w="141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eastAsia="宋体" w:cs="宋体"/>
                      <w:color w:val="000000"/>
                      <w:sz w:val="18"/>
                      <w:szCs w:val="18"/>
                      <w:highlight w:val="none"/>
                      <w:lang w:val="en-US" w:eastAsia="zh-CN"/>
                    </w:rPr>
                    <w:t>8.4</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top"/>
                </w:tcPr>
                <w:p>
                  <w:pPr>
                    <w:numPr>
                      <w:ilvl w:val="0"/>
                      <w:numId w:val="1"/>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保障纪检监察各项工作正常运转；</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提升社区运转能力，为群众提供更好更高质量的公共服务；</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提高城镇辖区居民对社区公共服务的满意度。</w:t>
                  </w:r>
                </w:p>
              </w:tc>
            </w:tr>
            <w:tr>
              <w:tblPrEx>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保障社区运转时间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8.4万元</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  目  支  出  绩  效  目  标  表</w:t>
                  </w:r>
                </w:p>
              </w:tc>
            </w:tr>
            <w:tr>
              <w:tblPrEx>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4</w:t>
                  </w:r>
                  <w:r>
                    <w:rPr>
                      <w:rFonts w:hint="eastAsia" w:ascii="宋体" w:hAnsi="宋体" w:cs="宋体"/>
                      <w:color w:val="000000"/>
                      <w:sz w:val="22"/>
                      <w:szCs w:val="22"/>
                      <w:highlight w:val="none"/>
                      <w:lang w:eastAsia="zh-Hans"/>
                    </w:rPr>
                    <w:t>年）</w:t>
                  </w:r>
                </w:p>
              </w:tc>
            </w:tr>
            <w:tr>
              <w:tblPrEx>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2024年乡镇武装工作经费</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许景民</w:t>
                  </w:r>
                </w:p>
              </w:tc>
            </w:tr>
            <w:tr>
              <w:tblPrEx>
                <w:tblLayout w:type="fixed"/>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仿宋_GB2312" w:hAnsi="宋体" w:eastAsia="仿宋_GB2312" w:cs="宋体"/>
                      <w:color w:val="000000"/>
                      <w:sz w:val="20"/>
                      <w:szCs w:val="20"/>
                      <w:highlight w:val="none"/>
                      <w:lang w:val="en-US" w:eastAsia="zh-CN"/>
                    </w:rPr>
                    <w:t>2</w:t>
                  </w:r>
                </w:p>
              </w:tc>
              <w:tc>
                <w:tcPr>
                  <w:tcW w:w="141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val="en-US" w:eastAsia="zh-CN"/>
                    </w:rPr>
                    <w:t>2</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1.保障乡镇武装各项工作正常运转；</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2.提升社区运转能力，为群众提供更好更高质量的公共服务；</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3.提高城镇辖区居民对社区公共服务的满意度。</w:t>
                  </w:r>
                </w:p>
              </w:tc>
            </w:tr>
            <w:tr>
              <w:tblPrEx>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保障社区运转时间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仿宋_GB2312" w:hAnsi="宋体" w:eastAsia="仿宋_GB2312" w:cs="宋体"/>
                      <w:color w:val="000000"/>
                      <w:sz w:val="20"/>
                      <w:szCs w:val="20"/>
                      <w:highlight w:val="none"/>
                      <w:lang w:val="en-US" w:eastAsia="zh-CN"/>
                    </w:rPr>
                    <w:t>2</w:t>
                  </w:r>
                  <w:r>
                    <w:rPr>
                      <w:rFonts w:hint="eastAsia" w:ascii="宋体" w:hAnsi="宋体" w:cs="宋体"/>
                      <w:color w:val="000000"/>
                      <w:sz w:val="18"/>
                      <w:szCs w:val="18"/>
                      <w:highlight w:val="none"/>
                      <w:lang w:val="en-US" w:eastAsia="zh-CN"/>
                    </w:rPr>
                    <w:t>万元</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bl>
          <w:p>
            <w:pPr>
              <w:widowControl/>
              <w:jc w:val="both"/>
              <w:textAlignment w:val="center"/>
              <w:rPr>
                <w:rFonts w:hint="eastAsia" w:ascii="宋体" w:hAnsi="宋体" w:cs="宋体"/>
                <w:b/>
                <w:bCs/>
                <w:color w:val="000000"/>
                <w:sz w:val="32"/>
                <w:szCs w:val="32"/>
                <w:highlight w:val="none"/>
              </w:rPr>
            </w:pPr>
          </w:p>
        </w:tc>
      </w:tr>
    </w:tbl>
    <w:tbl>
      <w:tblPr>
        <w:tblStyle w:val="8"/>
        <w:tblpPr w:leftFromText="180" w:rightFromText="180" w:vertAnchor="text" w:horzAnchor="page" w:tblpX="1103" w:tblpY="1"/>
        <w:tblOverlap w:val="never"/>
        <w:tblW w:w="10000" w:type="dxa"/>
        <w:tblInd w:w="0" w:type="dxa"/>
        <w:tblLayout w:type="fixed"/>
        <w:tblCellMar>
          <w:top w:w="0" w:type="dxa"/>
          <w:left w:w="108" w:type="dxa"/>
          <w:bottom w:w="0" w:type="dxa"/>
          <w:right w:w="108" w:type="dxa"/>
        </w:tblCellMar>
      </w:tblPr>
      <w:tblGrid>
        <w:gridCol w:w="876"/>
        <w:gridCol w:w="1296"/>
        <w:gridCol w:w="1182"/>
        <w:gridCol w:w="1320"/>
        <w:gridCol w:w="1411"/>
        <w:gridCol w:w="1168"/>
        <w:gridCol w:w="990"/>
        <w:gridCol w:w="772"/>
        <w:gridCol w:w="985"/>
      </w:tblGrid>
      <w:tr>
        <w:tblPrEx>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仿宋_GB2312" w:hAnsi="宋体" w:eastAsia="仿宋_GB2312" w:cs="仿宋_GB2312"/>
                <w:b/>
                <w:color w:val="000000"/>
                <w:kern w:val="0"/>
                <w:sz w:val="32"/>
                <w:szCs w:val="32"/>
                <w:highlight w:val="none"/>
                <w:lang w:bidi="ar"/>
              </w:rPr>
            </w:pPr>
          </w:p>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  目  支  出  绩  效  目  标  表</w:t>
            </w:r>
          </w:p>
        </w:tc>
      </w:tr>
      <w:tr>
        <w:tblPrEx>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4</w:t>
            </w:r>
            <w:r>
              <w:rPr>
                <w:rFonts w:hint="eastAsia" w:ascii="宋体" w:hAnsi="宋体" w:cs="宋体"/>
                <w:color w:val="000000"/>
                <w:sz w:val="22"/>
                <w:szCs w:val="22"/>
                <w:highlight w:val="none"/>
                <w:lang w:eastAsia="zh-Hans"/>
              </w:rPr>
              <w:t>年）</w:t>
            </w:r>
          </w:p>
        </w:tc>
      </w:tr>
      <w:tr>
        <w:tblPrEx>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eastAsia="zh-CN"/>
              </w:rPr>
              <w:t>呼图壁镇202</w:t>
            </w:r>
            <w:r>
              <w:rPr>
                <w:rFonts w:hint="eastAsia" w:ascii="仿宋_GB2312" w:hAnsi="宋体" w:eastAsia="仿宋_GB2312" w:cs="宋体"/>
                <w:color w:val="000000"/>
                <w:sz w:val="20"/>
                <w:szCs w:val="20"/>
                <w:highlight w:val="none"/>
                <w:lang w:val="en-US" w:eastAsia="zh-CN"/>
              </w:rPr>
              <w:t>4</w:t>
            </w:r>
            <w:r>
              <w:rPr>
                <w:rFonts w:hint="eastAsia" w:ascii="仿宋_GB2312" w:hAnsi="宋体" w:eastAsia="仿宋_GB2312" w:cs="宋体"/>
                <w:color w:val="000000"/>
                <w:sz w:val="20"/>
                <w:szCs w:val="20"/>
                <w:highlight w:val="none"/>
                <w:lang w:eastAsia="zh-CN"/>
              </w:rPr>
              <w:t>年社区服务群众经费</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val="en-US" w:eastAsia="zh-CN"/>
              </w:rPr>
              <w:t>柴伟</w:t>
            </w:r>
          </w:p>
        </w:tc>
      </w:tr>
      <w:tr>
        <w:tblPrEx>
          <w:tblLayout w:type="fixed"/>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仿宋_GB2312" w:hAnsi="宋体" w:eastAsia="仿宋_GB2312" w:cs="宋体"/>
                <w:color w:val="000000"/>
                <w:sz w:val="20"/>
                <w:szCs w:val="20"/>
                <w:highlight w:val="none"/>
                <w:lang w:val="en-US" w:eastAsia="zh-CN"/>
              </w:rPr>
              <w:t>180</w:t>
            </w:r>
          </w:p>
        </w:tc>
        <w:tc>
          <w:tcPr>
            <w:tcW w:w="141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仿宋_GB2312" w:hAnsi="宋体" w:eastAsia="仿宋_GB2312" w:cs="宋体"/>
                <w:color w:val="000000"/>
                <w:sz w:val="20"/>
                <w:szCs w:val="20"/>
                <w:highlight w:val="none"/>
                <w:lang w:val="en-US" w:eastAsia="zh-CN"/>
              </w:rPr>
              <w:t>180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top"/>
          </w:tcPr>
          <w:p>
            <w:pPr>
              <w:numPr>
                <w:ilvl w:val="0"/>
                <w:numId w:val="1"/>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保障18个社区各项工作正常运转；</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提升社区运转能力，为群众提供更好更高质量的公共服务；</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提高城镇辖区居民对社区公共服务的满意度。</w:t>
            </w:r>
          </w:p>
        </w:tc>
      </w:tr>
      <w:tr>
        <w:tblPrEx>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保障社区运转时间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180万元</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pPr w:leftFromText="180" w:rightFromText="180" w:vertAnchor="text" w:horzAnchor="page" w:tblpX="1103" w:tblpY="515"/>
        <w:tblOverlap w:val="never"/>
        <w:tblW w:w="10000" w:type="dxa"/>
        <w:tblInd w:w="0" w:type="dxa"/>
        <w:tblLayout w:type="fixed"/>
        <w:tblCellMar>
          <w:top w:w="0" w:type="dxa"/>
          <w:left w:w="108" w:type="dxa"/>
          <w:bottom w:w="0" w:type="dxa"/>
          <w:right w:w="108" w:type="dxa"/>
        </w:tblCellMar>
      </w:tblPr>
      <w:tblGrid>
        <w:gridCol w:w="876"/>
        <w:gridCol w:w="1296"/>
        <w:gridCol w:w="1182"/>
        <w:gridCol w:w="1320"/>
        <w:gridCol w:w="1411"/>
        <w:gridCol w:w="1168"/>
        <w:gridCol w:w="990"/>
        <w:gridCol w:w="772"/>
        <w:gridCol w:w="985"/>
      </w:tblGrid>
      <w:tr>
        <w:tblPrEx>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  目  支  出  绩  效  目  标  表</w:t>
            </w:r>
          </w:p>
        </w:tc>
      </w:tr>
      <w:tr>
        <w:tblPrEx>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4</w:t>
            </w:r>
            <w:r>
              <w:rPr>
                <w:rFonts w:hint="eastAsia" w:ascii="宋体" w:hAnsi="宋体" w:cs="宋体"/>
                <w:color w:val="000000"/>
                <w:sz w:val="22"/>
                <w:szCs w:val="22"/>
                <w:highlight w:val="none"/>
                <w:lang w:eastAsia="zh-Hans"/>
              </w:rPr>
              <w:t>年）</w:t>
            </w:r>
          </w:p>
        </w:tc>
      </w:tr>
      <w:tr>
        <w:tblPrEx>
          <w:tblLayout w:type="fixed"/>
          <w:tblCellMar>
            <w:top w:w="0" w:type="dxa"/>
            <w:left w:w="108" w:type="dxa"/>
            <w:bottom w:w="0" w:type="dxa"/>
            <w:right w:w="108" w:type="dxa"/>
          </w:tblCellMar>
        </w:tblPrEx>
        <w:trPr>
          <w:trHeight w:val="414"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Layout w:type="fixed"/>
          <w:tblCellMar>
            <w:top w:w="0" w:type="dxa"/>
            <w:left w:w="108" w:type="dxa"/>
            <w:bottom w:w="0" w:type="dxa"/>
            <w:right w:w="108" w:type="dxa"/>
          </w:tblCellMar>
        </w:tblPrEx>
        <w:trPr>
          <w:trHeight w:val="40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eastAsia="宋体" w:cs="宋体"/>
                <w:i w:val="0"/>
                <w:iCs w:val="0"/>
                <w:caps w:val="0"/>
                <w:color w:val="333333"/>
                <w:spacing w:val="0"/>
                <w:sz w:val="20"/>
                <w:szCs w:val="20"/>
                <w:shd w:val="clear" w:fill="FFFFFF"/>
              </w:rPr>
              <w:t>呼图壁镇2024年人大代表联络站补助经费</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王飞</w:t>
            </w:r>
          </w:p>
        </w:tc>
      </w:tr>
      <w:tr>
        <w:tblPrEx>
          <w:tblLayout w:type="fixed"/>
          <w:tblCellMar>
            <w:top w:w="0" w:type="dxa"/>
            <w:left w:w="108" w:type="dxa"/>
            <w:bottom w:w="0" w:type="dxa"/>
            <w:right w:w="108" w:type="dxa"/>
          </w:tblCellMar>
        </w:tblPrEx>
        <w:trPr>
          <w:trHeight w:val="533"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仿宋_GB2312" w:hAnsi="宋体" w:eastAsia="仿宋_GB2312" w:cs="宋体"/>
                <w:color w:val="000000"/>
                <w:sz w:val="20"/>
                <w:szCs w:val="20"/>
                <w:highlight w:val="none"/>
                <w:lang w:val="en-US" w:eastAsia="zh-CN"/>
              </w:rPr>
              <w:t>16</w:t>
            </w:r>
          </w:p>
        </w:tc>
        <w:tc>
          <w:tcPr>
            <w:tcW w:w="141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val="en-US" w:eastAsia="zh-CN"/>
              </w:rPr>
              <w:t>16</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Layout w:type="fixed"/>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 人大代表个数63个；</w:t>
            </w:r>
          </w:p>
          <w:p>
            <w:pPr>
              <w:numPr>
                <w:ilvl w:val="0"/>
                <w:numId w:val="0"/>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2. 项目按计划完成率达到90% ；</w:t>
            </w:r>
          </w:p>
          <w:p>
            <w:pPr>
              <w:numPr>
                <w:ilvl w:val="0"/>
                <w:numId w:val="0"/>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3. 项目开展及时率达到80% ；</w:t>
            </w:r>
          </w:p>
          <w:p>
            <w:pPr>
              <w:numPr>
                <w:ilvl w:val="0"/>
                <w:numId w:val="0"/>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4. 资金成本控制率小于90%；</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5. 有效组织代表开展活动 ；</w:t>
            </w:r>
          </w:p>
        </w:tc>
      </w:tr>
      <w:tr>
        <w:tblPrEx>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Layout w:type="fixed"/>
          <w:tblCellMar>
            <w:top w:w="0" w:type="dxa"/>
            <w:left w:w="108" w:type="dxa"/>
            <w:bottom w:w="0" w:type="dxa"/>
            <w:right w:w="108" w:type="dxa"/>
          </w:tblCellMar>
        </w:tblPrEx>
        <w:trPr>
          <w:trHeight w:val="735" w:hRule="atLeast"/>
        </w:trPr>
        <w:tc>
          <w:tcPr>
            <w:tcW w:w="876"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活动参与人次</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≥60人</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731" w:hRule="atLeast"/>
        </w:trPr>
        <w:tc>
          <w:tcPr>
            <w:tcW w:w="876"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rPr>
              <w:t>项目按计划完成率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项目开展及时率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≥100%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highlight w:val="none"/>
                <w:lang w:bidi="ar"/>
              </w:rPr>
            </w:pP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项目结束时间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2024年底</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资金成本控制率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default" w:ascii="宋体" w:hAnsi="宋体" w:eastAsia="宋体" w:cs="宋体"/>
                <w:color w:val="000000"/>
                <w:sz w:val="18"/>
                <w:szCs w:val="18"/>
                <w:highlight w:val="none"/>
                <w:lang w:val="en-US" w:eastAsia="zh-CN"/>
              </w:rPr>
              <w:t>&lt;=100%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20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提升居民幸福感</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default" w:ascii="宋体" w:hAnsi="宋体" w:cs="宋体"/>
                <w:color w:val="000000"/>
                <w:sz w:val="18"/>
                <w:szCs w:val="18"/>
                <w:highlight w:val="none"/>
                <w:lang w:val="en-US"/>
              </w:rPr>
              <w:t>有效提升</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20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1000</w:t>
      </w:r>
      <w:r>
        <w:rPr>
          <w:rFonts w:hint="eastAsia" w:ascii="仿宋_GB2312" w:hAnsi="仿宋_GB2312" w:eastAsia="仿宋_GB2312" w:cs="仿宋_GB2312"/>
          <w:color w:val="auto"/>
          <w:kern w:val="0"/>
          <w:sz w:val="32"/>
          <w:szCs w:val="32"/>
          <w:highlight w:val="none"/>
        </w:rPr>
        <w:t>万元。</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4798" w:leftChars="304" w:hanging="4160" w:hangingChars="13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lang w:eastAsia="zh-CN"/>
        </w:rPr>
        <w:t>呼图壁县呼图壁镇人民政府</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- 2 -</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p>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- 56 -</w:t>
                    </w:r>
                    <w: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7FDEF"/>
    <w:multiLevelType w:val="singleLevel"/>
    <w:tmpl w:val="2527FDEF"/>
    <w:lvl w:ilvl="0" w:tentative="0">
      <w:start w:val="1"/>
      <w:numFmt w:val="decimal"/>
      <w:lvlText w:val="%1."/>
      <w:lvlJc w:val="left"/>
      <w:pPr>
        <w:tabs>
          <w:tab w:val="left" w:pos="312"/>
        </w:tabs>
      </w:p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10532D"/>
    <w:rsid w:val="00EE2224"/>
    <w:rsid w:val="010C1E74"/>
    <w:rsid w:val="014D2999"/>
    <w:rsid w:val="016F63D8"/>
    <w:rsid w:val="0372435A"/>
    <w:rsid w:val="04015D06"/>
    <w:rsid w:val="04267B2D"/>
    <w:rsid w:val="05397FD9"/>
    <w:rsid w:val="054D5DA9"/>
    <w:rsid w:val="054D74AB"/>
    <w:rsid w:val="058113E6"/>
    <w:rsid w:val="05AA6E09"/>
    <w:rsid w:val="060C3CC7"/>
    <w:rsid w:val="070E6657"/>
    <w:rsid w:val="07E26113"/>
    <w:rsid w:val="08185679"/>
    <w:rsid w:val="08450B28"/>
    <w:rsid w:val="085C1EB8"/>
    <w:rsid w:val="08A83515"/>
    <w:rsid w:val="08B62A9E"/>
    <w:rsid w:val="091C6348"/>
    <w:rsid w:val="091E0C1B"/>
    <w:rsid w:val="092176C9"/>
    <w:rsid w:val="09261DDC"/>
    <w:rsid w:val="092E1402"/>
    <w:rsid w:val="094722C2"/>
    <w:rsid w:val="0A2E7910"/>
    <w:rsid w:val="0A441346"/>
    <w:rsid w:val="0A6C4E73"/>
    <w:rsid w:val="0A8B09A9"/>
    <w:rsid w:val="0AAA60F8"/>
    <w:rsid w:val="0B247F12"/>
    <w:rsid w:val="0B503342"/>
    <w:rsid w:val="0B9A61FB"/>
    <w:rsid w:val="0CA67E58"/>
    <w:rsid w:val="0CCE0073"/>
    <w:rsid w:val="0D4E5253"/>
    <w:rsid w:val="0D6E5FD0"/>
    <w:rsid w:val="0DDD29C8"/>
    <w:rsid w:val="0E476D20"/>
    <w:rsid w:val="0E8E1A0C"/>
    <w:rsid w:val="0E9208E7"/>
    <w:rsid w:val="0F215F8B"/>
    <w:rsid w:val="0F495473"/>
    <w:rsid w:val="100E170C"/>
    <w:rsid w:val="10587512"/>
    <w:rsid w:val="10916BDA"/>
    <w:rsid w:val="10BD0D17"/>
    <w:rsid w:val="10C302D4"/>
    <w:rsid w:val="11381DBF"/>
    <w:rsid w:val="1163714D"/>
    <w:rsid w:val="118B1ECC"/>
    <w:rsid w:val="11B56CEF"/>
    <w:rsid w:val="11CB4D7A"/>
    <w:rsid w:val="11D077DF"/>
    <w:rsid w:val="12AA6D3F"/>
    <w:rsid w:val="1300106C"/>
    <w:rsid w:val="13BE3F5B"/>
    <w:rsid w:val="142F2138"/>
    <w:rsid w:val="147C555B"/>
    <w:rsid w:val="14F02D24"/>
    <w:rsid w:val="14F25C6C"/>
    <w:rsid w:val="159F70ED"/>
    <w:rsid w:val="16276561"/>
    <w:rsid w:val="1697741D"/>
    <w:rsid w:val="16D41859"/>
    <w:rsid w:val="16F93D08"/>
    <w:rsid w:val="172A693E"/>
    <w:rsid w:val="1732414C"/>
    <w:rsid w:val="17630765"/>
    <w:rsid w:val="17B8560E"/>
    <w:rsid w:val="17E4207F"/>
    <w:rsid w:val="187B33B8"/>
    <w:rsid w:val="18F336FC"/>
    <w:rsid w:val="19550CA2"/>
    <w:rsid w:val="19D42EC7"/>
    <w:rsid w:val="1A066A7B"/>
    <w:rsid w:val="1A1826EB"/>
    <w:rsid w:val="1A372667"/>
    <w:rsid w:val="1A3738E6"/>
    <w:rsid w:val="1A3C3DB8"/>
    <w:rsid w:val="1A835C66"/>
    <w:rsid w:val="1A954E59"/>
    <w:rsid w:val="1B0B3D1A"/>
    <w:rsid w:val="1BEB54C3"/>
    <w:rsid w:val="1C041B2D"/>
    <w:rsid w:val="1C1206B4"/>
    <w:rsid w:val="1C243C37"/>
    <w:rsid w:val="1C3C6084"/>
    <w:rsid w:val="1CE96653"/>
    <w:rsid w:val="1CEB6DC6"/>
    <w:rsid w:val="1D3E1AFE"/>
    <w:rsid w:val="1D5E1341"/>
    <w:rsid w:val="1EA446AE"/>
    <w:rsid w:val="1EB61656"/>
    <w:rsid w:val="1F171981"/>
    <w:rsid w:val="1F6E766B"/>
    <w:rsid w:val="1FF22577"/>
    <w:rsid w:val="2099734E"/>
    <w:rsid w:val="20D83BB3"/>
    <w:rsid w:val="20DD55C0"/>
    <w:rsid w:val="21B2201C"/>
    <w:rsid w:val="21B47721"/>
    <w:rsid w:val="21C902EC"/>
    <w:rsid w:val="22121441"/>
    <w:rsid w:val="22307981"/>
    <w:rsid w:val="22DB78DD"/>
    <w:rsid w:val="22F70BDE"/>
    <w:rsid w:val="23106572"/>
    <w:rsid w:val="24014209"/>
    <w:rsid w:val="244D65B8"/>
    <w:rsid w:val="245505E8"/>
    <w:rsid w:val="2492221D"/>
    <w:rsid w:val="24B7513B"/>
    <w:rsid w:val="255A071A"/>
    <w:rsid w:val="256D6EEB"/>
    <w:rsid w:val="25941269"/>
    <w:rsid w:val="26B4291F"/>
    <w:rsid w:val="26C82298"/>
    <w:rsid w:val="26E769FA"/>
    <w:rsid w:val="27462930"/>
    <w:rsid w:val="276F0E3C"/>
    <w:rsid w:val="27D66693"/>
    <w:rsid w:val="288B7E6E"/>
    <w:rsid w:val="293B2E83"/>
    <w:rsid w:val="29610EF6"/>
    <w:rsid w:val="296F67FF"/>
    <w:rsid w:val="2A012DF7"/>
    <w:rsid w:val="2A7775F8"/>
    <w:rsid w:val="2A8521FC"/>
    <w:rsid w:val="2A8F0999"/>
    <w:rsid w:val="2AFC4894"/>
    <w:rsid w:val="2B176B62"/>
    <w:rsid w:val="2BD93B18"/>
    <w:rsid w:val="2C4F7F98"/>
    <w:rsid w:val="2CF82F6F"/>
    <w:rsid w:val="2D480265"/>
    <w:rsid w:val="2D501579"/>
    <w:rsid w:val="2D933C94"/>
    <w:rsid w:val="2D977453"/>
    <w:rsid w:val="2E7F1BB0"/>
    <w:rsid w:val="2EF22236"/>
    <w:rsid w:val="2FA51BEC"/>
    <w:rsid w:val="2FBF1ED0"/>
    <w:rsid w:val="3026013F"/>
    <w:rsid w:val="303D1870"/>
    <w:rsid w:val="30EE38ED"/>
    <w:rsid w:val="31156719"/>
    <w:rsid w:val="311E6CDC"/>
    <w:rsid w:val="316B2D10"/>
    <w:rsid w:val="316C6B9D"/>
    <w:rsid w:val="31B9374B"/>
    <w:rsid w:val="32DF6C00"/>
    <w:rsid w:val="34F82D7F"/>
    <w:rsid w:val="35103DBD"/>
    <w:rsid w:val="357138C8"/>
    <w:rsid w:val="361D0A53"/>
    <w:rsid w:val="362A54E0"/>
    <w:rsid w:val="363D5D91"/>
    <w:rsid w:val="37431ABC"/>
    <w:rsid w:val="37A42FB8"/>
    <w:rsid w:val="37C71F44"/>
    <w:rsid w:val="38264213"/>
    <w:rsid w:val="387B7059"/>
    <w:rsid w:val="393A1245"/>
    <w:rsid w:val="39F3176D"/>
    <w:rsid w:val="3A335088"/>
    <w:rsid w:val="3A471BD0"/>
    <w:rsid w:val="3A8A2F9B"/>
    <w:rsid w:val="3B6F66FE"/>
    <w:rsid w:val="3BC018C3"/>
    <w:rsid w:val="3D480C18"/>
    <w:rsid w:val="3DF270D7"/>
    <w:rsid w:val="3EDC12C9"/>
    <w:rsid w:val="3F347B15"/>
    <w:rsid w:val="3FAD48D2"/>
    <w:rsid w:val="3FDF4D23"/>
    <w:rsid w:val="3FFD0FC1"/>
    <w:rsid w:val="40AD74CB"/>
    <w:rsid w:val="41C43465"/>
    <w:rsid w:val="41D22D8C"/>
    <w:rsid w:val="427639AF"/>
    <w:rsid w:val="43C26223"/>
    <w:rsid w:val="43D8307E"/>
    <w:rsid w:val="43FB35A7"/>
    <w:rsid w:val="442441CD"/>
    <w:rsid w:val="44531D31"/>
    <w:rsid w:val="450225F3"/>
    <w:rsid w:val="45920CA4"/>
    <w:rsid w:val="45BA2186"/>
    <w:rsid w:val="45C250A6"/>
    <w:rsid w:val="46C94947"/>
    <w:rsid w:val="46CE3131"/>
    <w:rsid w:val="478141ED"/>
    <w:rsid w:val="48AB14B8"/>
    <w:rsid w:val="48C90075"/>
    <w:rsid w:val="4921308D"/>
    <w:rsid w:val="494F7907"/>
    <w:rsid w:val="49674C4E"/>
    <w:rsid w:val="49C64C8B"/>
    <w:rsid w:val="4A94089C"/>
    <w:rsid w:val="4AF4431E"/>
    <w:rsid w:val="4B70679A"/>
    <w:rsid w:val="4B99069B"/>
    <w:rsid w:val="4BC66DB5"/>
    <w:rsid w:val="4BE853D2"/>
    <w:rsid w:val="4BF31F6F"/>
    <w:rsid w:val="4C0055E5"/>
    <w:rsid w:val="4C1C648F"/>
    <w:rsid w:val="4C3677AE"/>
    <w:rsid w:val="4C706B3A"/>
    <w:rsid w:val="4CF32554"/>
    <w:rsid w:val="4D5D111F"/>
    <w:rsid w:val="4D8F30C3"/>
    <w:rsid w:val="4EAF240E"/>
    <w:rsid w:val="4F266992"/>
    <w:rsid w:val="4F552113"/>
    <w:rsid w:val="50063D96"/>
    <w:rsid w:val="500C3AA5"/>
    <w:rsid w:val="51413178"/>
    <w:rsid w:val="51992AE5"/>
    <w:rsid w:val="51C15CED"/>
    <w:rsid w:val="52285DEB"/>
    <w:rsid w:val="52336431"/>
    <w:rsid w:val="52A52021"/>
    <w:rsid w:val="52AD62F0"/>
    <w:rsid w:val="52EA080B"/>
    <w:rsid w:val="52F27555"/>
    <w:rsid w:val="53467946"/>
    <w:rsid w:val="538C3F38"/>
    <w:rsid w:val="53E15DB4"/>
    <w:rsid w:val="54426062"/>
    <w:rsid w:val="546308FE"/>
    <w:rsid w:val="54DF59BE"/>
    <w:rsid w:val="552C37D7"/>
    <w:rsid w:val="55DA5908"/>
    <w:rsid w:val="562B6448"/>
    <w:rsid w:val="56557A2A"/>
    <w:rsid w:val="572A4A30"/>
    <w:rsid w:val="57BC5ABC"/>
    <w:rsid w:val="58461A9E"/>
    <w:rsid w:val="5857557F"/>
    <w:rsid w:val="58A51EC0"/>
    <w:rsid w:val="58C21CCC"/>
    <w:rsid w:val="58CE4869"/>
    <w:rsid w:val="58F97D79"/>
    <w:rsid w:val="5A864A47"/>
    <w:rsid w:val="5ABD061A"/>
    <w:rsid w:val="5AC5534C"/>
    <w:rsid w:val="5AE0725F"/>
    <w:rsid w:val="5B6970DF"/>
    <w:rsid w:val="5BD72AD3"/>
    <w:rsid w:val="5C6F6B74"/>
    <w:rsid w:val="5CA956F8"/>
    <w:rsid w:val="5CDD7D68"/>
    <w:rsid w:val="5CE77C13"/>
    <w:rsid w:val="5D493B69"/>
    <w:rsid w:val="5DDC38E0"/>
    <w:rsid w:val="5DE118BC"/>
    <w:rsid w:val="5DE52929"/>
    <w:rsid w:val="5E7D2CF4"/>
    <w:rsid w:val="5EE6264D"/>
    <w:rsid w:val="5F2346ED"/>
    <w:rsid w:val="5F5A43C5"/>
    <w:rsid w:val="5FC03660"/>
    <w:rsid w:val="60B0761F"/>
    <w:rsid w:val="61086613"/>
    <w:rsid w:val="611D124C"/>
    <w:rsid w:val="613E392F"/>
    <w:rsid w:val="61700969"/>
    <w:rsid w:val="6172562B"/>
    <w:rsid w:val="61BF1C36"/>
    <w:rsid w:val="629D2388"/>
    <w:rsid w:val="62C70F89"/>
    <w:rsid w:val="63B90717"/>
    <w:rsid w:val="64047076"/>
    <w:rsid w:val="6408782B"/>
    <w:rsid w:val="65322CBF"/>
    <w:rsid w:val="66757D6B"/>
    <w:rsid w:val="66890A8F"/>
    <w:rsid w:val="66E47112"/>
    <w:rsid w:val="673F60B1"/>
    <w:rsid w:val="67614648"/>
    <w:rsid w:val="679A673B"/>
    <w:rsid w:val="681D6931"/>
    <w:rsid w:val="682E6505"/>
    <w:rsid w:val="683425E6"/>
    <w:rsid w:val="6847675B"/>
    <w:rsid w:val="68CC52CB"/>
    <w:rsid w:val="68DE4FFE"/>
    <w:rsid w:val="694B58D7"/>
    <w:rsid w:val="69955E3F"/>
    <w:rsid w:val="69CE4E15"/>
    <w:rsid w:val="69E2256F"/>
    <w:rsid w:val="69ED00E6"/>
    <w:rsid w:val="6A3B56E3"/>
    <w:rsid w:val="6B7F3246"/>
    <w:rsid w:val="6BB151D1"/>
    <w:rsid w:val="6BB97273"/>
    <w:rsid w:val="6D486875"/>
    <w:rsid w:val="6DE667DE"/>
    <w:rsid w:val="6DF45F2E"/>
    <w:rsid w:val="6E0B5AAA"/>
    <w:rsid w:val="6E4B5D85"/>
    <w:rsid w:val="6E695846"/>
    <w:rsid w:val="6EC4302F"/>
    <w:rsid w:val="6EF07839"/>
    <w:rsid w:val="6F2810E4"/>
    <w:rsid w:val="6F63000B"/>
    <w:rsid w:val="6F9271AE"/>
    <w:rsid w:val="708025CE"/>
    <w:rsid w:val="70A2305B"/>
    <w:rsid w:val="71244AD9"/>
    <w:rsid w:val="717C256D"/>
    <w:rsid w:val="724A6FE7"/>
    <w:rsid w:val="72787316"/>
    <w:rsid w:val="72B56DCF"/>
    <w:rsid w:val="72D363AB"/>
    <w:rsid w:val="73022151"/>
    <w:rsid w:val="73987EE1"/>
    <w:rsid w:val="742874DE"/>
    <w:rsid w:val="746136CF"/>
    <w:rsid w:val="746466C4"/>
    <w:rsid w:val="74AD073D"/>
    <w:rsid w:val="74BE555C"/>
    <w:rsid w:val="75B570E6"/>
    <w:rsid w:val="769F25DC"/>
    <w:rsid w:val="76F87C6B"/>
    <w:rsid w:val="77A20809"/>
    <w:rsid w:val="780A1873"/>
    <w:rsid w:val="781957F4"/>
    <w:rsid w:val="78314A9B"/>
    <w:rsid w:val="787D11B8"/>
    <w:rsid w:val="78C05B96"/>
    <w:rsid w:val="78FE2810"/>
    <w:rsid w:val="792C5912"/>
    <w:rsid w:val="7A3A21D0"/>
    <w:rsid w:val="7B8D1E76"/>
    <w:rsid w:val="7B945B6B"/>
    <w:rsid w:val="7BDD6724"/>
    <w:rsid w:val="7C761555"/>
    <w:rsid w:val="7CC2518E"/>
    <w:rsid w:val="7CD82EE6"/>
    <w:rsid w:val="7D366ECC"/>
    <w:rsid w:val="7E8B30DA"/>
    <w:rsid w:val="7E962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hint="eastAsia" w:ascii="Arial" w:hAnsi="Arial" w:eastAsia="黑体"/>
      <w:b/>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2024-07-25T10:40:52Z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