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499062A">
      <w:pPr>
        <w:ind w:firstLine="0" w:firstLineChars="0"/>
        <w:jc w:val="both"/>
        <w:rPr>
          <w:rFonts w:hint="eastAsia" w:ascii="宋体" w:hAnsi="宋体" w:eastAsia="宋体" w:cs="Arial"/>
          <w:b/>
          <w:bCs/>
          <w:color w:val="auto"/>
          <w:sz w:val="36"/>
          <w:szCs w:val="36"/>
        </w:rPr>
      </w:pPr>
      <w:r>
        <w:rPr>
          <w:rFonts w:hint="eastAsia" w:ascii="仿宋" w:hAnsi="仿宋" w:eastAsia="仿宋" w:cs="宋体"/>
          <w:kern w:val="0"/>
          <w:sz w:val="32"/>
          <w:szCs w:val="32"/>
        </w:rPr>
        <w:t>附件2：</w:t>
      </w:r>
    </w:p>
    <w:p w14:paraId="6B2528BB">
      <w:pPr>
        <w:ind w:firstLine="0" w:firstLineChars="0"/>
        <w:jc w:val="center"/>
        <w:rPr>
          <w:rFonts w:hint="eastAsia" w:ascii="宋体" w:hAnsi="宋体" w:eastAsia="宋体" w:cs="Arial"/>
          <w:b/>
          <w:bCs/>
          <w:color w:val="auto"/>
          <w:sz w:val="36"/>
          <w:szCs w:val="36"/>
        </w:rPr>
      </w:pPr>
    </w:p>
    <w:p w14:paraId="30950445">
      <w:pPr>
        <w:ind w:firstLine="0" w:firstLineChars="0"/>
        <w:jc w:val="center"/>
        <w:rPr>
          <w:rFonts w:hint="eastAsia" w:ascii="宋体" w:hAnsi="宋体" w:eastAsia="宋体" w:cs="Arial"/>
          <w:b/>
          <w:bCs/>
          <w:color w:val="auto"/>
          <w:sz w:val="36"/>
          <w:szCs w:val="36"/>
        </w:rPr>
      </w:pPr>
    </w:p>
    <w:p w14:paraId="0382A1F7">
      <w:pPr>
        <w:spacing w:line="240" w:lineRule="atLeast"/>
        <w:ind w:firstLine="0" w:firstLineChars="0"/>
        <w:jc w:val="center"/>
        <w:outlineLvl w:val="0"/>
        <w:rPr>
          <w:rFonts w:hint="eastAsia" w:ascii="黑体" w:hAnsi="黑体" w:eastAsia="黑体" w:cs="黑体"/>
          <w:b/>
          <w:bCs/>
          <w:color w:val="auto"/>
          <w:sz w:val="40"/>
          <w:szCs w:val="40"/>
        </w:rPr>
      </w:pPr>
      <w:r>
        <w:rPr>
          <w:rFonts w:hint="eastAsia" w:ascii="方正小标宋_GBK" w:hAnsi="华文中宋" w:eastAsia="方正小标宋_GBK" w:cs="宋体"/>
          <w:b/>
          <w:kern w:val="0"/>
          <w:sz w:val="48"/>
          <w:szCs w:val="48"/>
        </w:rPr>
        <w:t>项目支出绩效自评报告</w:t>
      </w:r>
    </w:p>
    <w:p w14:paraId="6EE54158">
      <w:pPr>
        <w:spacing w:line="240" w:lineRule="atLeast"/>
        <w:ind w:firstLine="0" w:firstLineChars="0"/>
        <w:jc w:val="center"/>
        <w:rPr>
          <w:rFonts w:hint="eastAsia" w:ascii="宋体" w:hAnsi="宋体" w:eastAsia="宋体" w:cs="Arial"/>
          <w:b/>
          <w:bCs/>
          <w:color w:val="auto"/>
          <w:sz w:val="36"/>
          <w:szCs w:val="36"/>
        </w:rPr>
      </w:pPr>
      <w:r>
        <w:rPr>
          <w:rFonts w:hint="eastAsia" w:hAnsi="宋体" w:eastAsia="仿宋_GB2312" w:cs="宋体"/>
          <w:kern w:val="0"/>
          <w:sz w:val="36"/>
          <w:szCs w:val="36"/>
        </w:rPr>
        <w:t xml:space="preserve">（   </w:t>
      </w:r>
      <w:r>
        <w:rPr>
          <w:rStyle w:val="16"/>
          <w:rFonts w:hint="eastAsia" w:ascii="楷体" w:hAnsi="楷体" w:eastAsia="楷体"/>
          <w:spacing w:val="-4"/>
          <w:sz w:val="32"/>
          <w:szCs w:val="32"/>
        </w:rPr>
        <w:t>2024</w:t>
      </w:r>
      <w:r>
        <w:rPr>
          <w:rFonts w:hint="eastAsia" w:hAnsi="宋体" w:eastAsia="仿宋_GB2312" w:cs="宋体"/>
          <w:kern w:val="0"/>
          <w:sz w:val="36"/>
          <w:szCs w:val="36"/>
        </w:rPr>
        <w:t xml:space="preserve">  年度）</w:t>
      </w:r>
    </w:p>
    <w:p w14:paraId="129A0765">
      <w:pPr>
        <w:spacing w:line="240" w:lineRule="atLeast"/>
        <w:ind w:firstLine="0" w:firstLineChars="0"/>
        <w:jc w:val="center"/>
        <w:rPr>
          <w:rFonts w:hint="eastAsia" w:ascii="宋体" w:hAnsi="宋体" w:eastAsia="宋体" w:cs="Arial"/>
          <w:b/>
          <w:bCs/>
          <w:color w:val="auto"/>
          <w:sz w:val="36"/>
          <w:szCs w:val="36"/>
        </w:rPr>
      </w:pPr>
    </w:p>
    <w:p w14:paraId="3D020D60">
      <w:pPr>
        <w:spacing w:line="240" w:lineRule="atLeast"/>
        <w:ind w:firstLine="0" w:firstLineChars="0"/>
        <w:jc w:val="center"/>
        <w:rPr>
          <w:rFonts w:hint="eastAsia" w:ascii="宋体" w:hAnsi="宋体" w:eastAsia="宋体" w:cs="Arial"/>
          <w:b/>
          <w:bCs/>
          <w:color w:val="auto"/>
          <w:sz w:val="36"/>
          <w:szCs w:val="36"/>
        </w:rPr>
      </w:pPr>
    </w:p>
    <w:p w14:paraId="4C4808B0">
      <w:pPr>
        <w:spacing w:line="240" w:lineRule="atLeast"/>
        <w:ind w:firstLine="0" w:firstLineChars="0"/>
        <w:jc w:val="center"/>
        <w:rPr>
          <w:rFonts w:hint="eastAsia" w:ascii="宋体" w:hAnsi="宋体" w:eastAsia="宋体" w:cs="Arial"/>
          <w:b/>
          <w:bCs/>
          <w:color w:val="auto"/>
          <w:sz w:val="36"/>
          <w:szCs w:val="36"/>
        </w:rPr>
      </w:pPr>
    </w:p>
    <w:p w14:paraId="6BBC5A58">
      <w:pPr>
        <w:spacing w:line="240" w:lineRule="atLeast"/>
        <w:ind w:firstLine="0" w:firstLineChars="0"/>
        <w:jc w:val="center"/>
        <w:rPr>
          <w:rFonts w:hint="eastAsia" w:ascii="宋体" w:hAnsi="宋体" w:eastAsia="宋体" w:cs="Arial"/>
          <w:b/>
          <w:bCs/>
          <w:color w:val="auto"/>
          <w:sz w:val="36"/>
          <w:szCs w:val="36"/>
        </w:rPr>
      </w:pPr>
    </w:p>
    <w:p w14:paraId="06F120A7">
      <w:pPr>
        <w:spacing w:line="240" w:lineRule="atLeast"/>
        <w:ind w:firstLine="0" w:firstLineChars="0"/>
        <w:jc w:val="center"/>
        <w:rPr>
          <w:rFonts w:hint="eastAsia" w:ascii="宋体" w:hAnsi="宋体" w:eastAsia="宋体" w:cs="Arial"/>
          <w:b/>
          <w:bCs/>
          <w:color w:val="auto"/>
          <w:sz w:val="36"/>
          <w:szCs w:val="36"/>
        </w:rPr>
      </w:pPr>
    </w:p>
    <w:p w14:paraId="44606EF6">
      <w:pPr>
        <w:ind w:firstLine="0" w:firstLineChars="0"/>
        <w:rPr>
          <w:rFonts w:hint="eastAsia"/>
          <w:color w:val="auto"/>
        </w:rPr>
      </w:pPr>
    </w:p>
    <w:p w14:paraId="63E52A89">
      <w:pPr>
        <w:spacing w:line="360" w:lineRule="auto"/>
        <w:ind w:firstLine="602"/>
        <w:jc w:val="left"/>
        <w:rPr>
          <w:rFonts w:hint="eastAsia" w:ascii="黑体" w:hAnsi="Times New Roman" w:eastAsia="黑体"/>
          <w:b/>
          <w:color w:val="auto"/>
          <w:sz w:val="30"/>
          <w:szCs w:val="30"/>
        </w:rPr>
      </w:pPr>
      <w:r>
        <w:rPr>
          <w:rFonts w:hint="eastAsia" w:hAnsi="宋体" w:eastAsia="仿宋_GB2312" w:cs="宋体"/>
          <w:kern w:val="0"/>
          <w:sz w:val="36"/>
          <w:szCs w:val="36"/>
        </w:rPr>
        <w:t>项目名称：</w:t>
      </w:r>
      <w:r>
        <w:rPr>
          <w:rStyle w:val="16"/>
          <w:rFonts w:hint="eastAsia" w:ascii="楷体" w:hAnsi="楷体" w:eastAsia="楷体" w:cs="Times New Roman"/>
          <w:spacing w:val="-4"/>
          <w:sz w:val="32"/>
          <w:szCs w:val="32"/>
          <w:lang w:val="en-US" w:eastAsia="zh-CN"/>
        </w:rPr>
        <w:t>2025年党报党刊</w:t>
      </w:r>
    </w:p>
    <w:p w14:paraId="776D9D6D">
      <w:pPr>
        <w:spacing w:line="360" w:lineRule="auto"/>
        <w:ind w:firstLine="602"/>
        <w:jc w:val="left"/>
        <w:rPr>
          <w:rFonts w:ascii="黑体" w:hAnsi="Times New Roman" w:eastAsia="黑体"/>
          <w:b/>
          <w:color w:val="auto"/>
          <w:sz w:val="30"/>
          <w:szCs w:val="30"/>
        </w:rPr>
      </w:pPr>
      <w:r>
        <w:rPr>
          <w:rFonts w:hint="eastAsia" w:hAnsi="宋体" w:eastAsia="仿宋_GB2312" w:cs="宋体"/>
          <w:kern w:val="0"/>
          <w:sz w:val="36"/>
          <w:szCs w:val="36"/>
        </w:rPr>
        <w:t>实施单位（公章）：</w:t>
      </w:r>
      <w:r>
        <w:rPr>
          <w:rStyle w:val="16"/>
          <w:rFonts w:hint="default" w:ascii="楷体" w:hAnsi="楷体" w:eastAsia="楷体" w:cs="Times New Roman"/>
          <w:spacing w:val="-4"/>
          <w:sz w:val="32"/>
          <w:szCs w:val="32"/>
          <w:lang w:val="en-US" w:eastAsia="zh-CN"/>
        </w:rPr>
        <w:t>中共呼图壁县委员会宣传部</w:t>
      </w:r>
    </w:p>
    <w:p w14:paraId="5B529630">
      <w:pPr>
        <w:spacing w:line="360" w:lineRule="auto"/>
        <w:ind w:firstLine="602"/>
        <w:jc w:val="left"/>
        <w:rPr>
          <w:rFonts w:ascii="黑体" w:hAnsi="Times New Roman" w:eastAsia="黑体"/>
          <w:b/>
          <w:color w:val="auto"/>
          <w:sz w:val="30"/>
          <w:szCs w:val="30"/>
        </w:rPr>
      </w:pPr>
      <w:r>
        <w:rPr>
          <w:rFonts w:hint="eastAsia" w:hAnsi="宋体" w:eastAsia="仿宋_GB2312" w:cs="宋体"/>
          <w:kern w:val="0"/>
          <w:sz w:val="36"/>
          <w:szCs w:val="36"/>
        </w:rPr>
        <w:t>主管部门（公章）：</w:t>
      </w:r>
      <w:r>
        <w:rPr>
          <w:rStyle w:val="16"/>
          <w:rFonts w:hint="default" w:ascii="楷体" w:hAnsi="楷体" w:eastAsia="楷体" w:cs="Times New Roman"/>
          <w:spacing w:val="-4"/>
          <w:sz w:val="32"/>
          <w:szCs w:val="32"/>
          <w:lang w:val="en-US" w:eastAsia="zh-CN"/>
        </w:rPr>
        <w:t>中共呼图壁县委员会宣传部</w:t>
      </w:r>
    </w:p>
    <w:p w14:paraId="07A12DCF">
      <w:pPr>
        <w:spacing w:line="360" w:lineRule="auto"/>
        <w:ind w:firstLine="602"/>
        <w:jc w:val="left"/>
        <w:rPr>
          <w:rFonts w:ascii="黑体" w:hAnsi="Times New Roman" w:eastAsia="黑体"/>
          <w:b/>
          <w:color w:val="auto"/>
          <w:sz w:val="30"/>
          <w:szCs w:val="30"/>
        </w:rPr>
      </w:pPr>
      <w:r>
        <w:rPr>
          <w:rFonts w:hint="eastAsia" w:hAnsi="宋体" w:eastAsia="仿宋_GB2312" w:cs="宋体"/>
          <w:kern w:val="0"/>
          <w:sz w:val="36"/>
          <w:szCs w:val="36"/>
        </w:rPr>
        <w:t>项目负责人（签章）：</w:t>
      </w:r>
      <w:r>
        <w:rPr>
          <w:rStyle w:val="16"/>
          <w:rFonts w:hint="eastAsia" w:ascii="楷体" w:hAnsi="楷体" w:eastAsia="楷体" w:cs="Times New Roman"/>
          <w:spacing w:val="-4"/>
          <w:sz w:val="32"/>
          <w:szCs w:val="32"/>
          <w:lang w:val="en-US" w:eastAsia="zh-CN"/>
        </w:rPr>
        <w:t>摆新海</w:t>
      </w:r>
    </w:p>
    <w:p w14:paraId="35810134">
      <w:pPr>
        <w:spacing w:line="360" w:lineRule="auto"/>
        <w:ind w:firstLine="602"/>
        <w:jc w:val="left"/>
        <w:rPr>
          <w:rFonts w:hint="eastAsia" w:ascii="Times New Roman" w:hAnsi="Times New Roman" w:eastAsia="方正仿宋_GBK" w:cs="Times New Roman"/>
          <w:color w:val="auto"/>
          <w:sz w:val="32"/>
          <w:szCs w:val="32"/>
        </w:rPr>
      </w:pPr>
      <w:r>
        <w:rPr>
          <w:rFonts w:hint="eastAsia" w:hAnsi="宋体" w:eastAsia="仿宋_GB2312" w:cs="宋体"/>
          <w:kern w:val="0"/>
          <w:sz w:val="36"/>
          <w:szCs w:val="36"/>
        </w:rPr>
        <w:t>填报时间：</w:t>
      </w:r>
      <w:r>
        <w:rPr>
          <w:rStyle w:val="16"/>
          <w:rFonts w:hint="eastAsia" w:ascii="楷体" w:hAnsi="楷体" w:eastAsia="楷体" w:cs="Times New Roman"/>
          <w:spacing w:val="-4"/>
          <w:sz w:val="32"/>
          <w:szCs w:val="32"/>
          <w:lang w:val="en-US" w:eastAsia="zh-CN"/>
        </w:rPr>
        <w:t>2025年3月25日</w:t>
      </w:r>
    </w:p>
    <w:p w14:paraId="1F04A106">
      <w:pPr>
        <w:ind w:firstLine="0" w:firstLineChars="0"/>
        <w:jc w:val="center"/>
        <w:rPr>
          <w:rFonts w:hint="eastAsia"/>
          <w:b/>
          <w:bCs/>
          <w:color w:val="auto"/>
          <w:sz w:val="32"/>
          <w:szCs w:val="28"/>
        </w:rPr>
      </w:pPr>
    </w:p>
    <w:p w14:paraId="3DD79B0B">
      <w:pPr>
        <w:ind w:firstLine="0" w:firstLineChars="0"/>
        <w:jc w:val="center"/>
        <w:rPr>
          <w:rFonts w:hint="eastAsia"/>
          <w:b/>
          <w:bCs/>
          <w:color w:val="auto"/>
          <w:sz w:val="32"/>
          <w:szCs w:val="28"/>
        </w:rPr>
      </w:pPr>
    </w:p>
    <w:p w14:paraId="04214B6D">
      <w:pPr>
        <w:spacing w:line="540" w:lineRule="exact"/>
        <w:ind w:firstLine="640" w:firstLineChars="0"/>
        <w:rPr>
          <w:color w:val="auto"/>
        </w:rPr>
      </w:pPr>
      <w:r>
        <w:rPr>
          <w:rStyle w:val="16"/>
          <w:rFonts w:hint="eastAsia" w:ascii="黑体" w:hAnsi="黑体" w:eastAsia="黑体" w:cs="Times New Roman"/>
          <w:b w:val="0"/>
          <w:spacing w:val="-4"/>
          <w:sz w:val="32"/>
          <w:szCs w:val="32"/>
        </w:rPr>
        <w:t>一、基本情况</w:t>
      </w:r>
    </w:p>
    <w:p w14:paraId="36264A9C">
      <w:pPr>
        <w:spacing w:line="540" w:lineRule="exact"/>
        <w:ind w:firstLine="567" w:firstLineChars="0"/>
        <w:rPr>
          <w:color w:val="auto"/>
        </w:rPr>
      </w:pPr>
      <w:r>
        <w:rPr>
          <w:rStyle w:val="16"/>
          <w:rFonts w:hint="eastAsia" w:ascii="楷体" w:hAnsi="楷体" w:eastAsia="楷体" w:cs="Times New Roman"/>
          <w:spacing w:val="-4"/>
          <w:sz w:val="32"/>
          <w:szCs w:val="32"/>
        </w:rPr>
        <w:t>（一）项目概况</w:t>
      </w:r>
    </w:p>
    <w:p w14:paraId="5CE2F7C1">
      <w:pPr>
        <w:pStyle w:val="4"/>
        <w:ind w:firstLine="562"/>
        <w:rPr>
          <w:rFonts w:hint="eastAsia"/>
          <w:color w:val="auto"/>
        </w:rPr>
      </w:pPr>
      <w:r>
        <w:rPr>
          <w:rStyle w:val="16"/>
          <w:rFonts w:hint="eastAsia" w:ascii="楷体" w:hAnsi="楷体" w:eastAsia="楷体" w:cs="Times New Roman"/>
          <w:b w:val="0"/>
          <w:bCs w:val="0"/>
          <w:spacing w:val="-4"/>
          <w:kern w:val="2"/>
          <w:sz w:val="32"/>
          <w:szCs w:val="32"/>
          <w:lang w:val="en-US" w:eastAsia="zh-CN" w:bidi="ar-SA"/>
        </w:rPr>
        <w:t>1.项目背景</w:t>
      </w:r>
    </w:p>
    <w:p w14:paraId="6CA2D330">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default" w:ascii="Times New Roman" w:hAnsi="Times New Roman" w:eastAsia="方正仿宋_GBK" w:cs="Times New Roman"/>
          <w:color w:val="auto"/>
          <w:sz w:val="32"/>
          <w:szCs w:val="32"/>
        </w:rPr>
      </w:pPr>
      <w:r>
        <w:rPr>
          <w:rStyle w:val="16"/>
          <w:rFonts w:hint="default" w:ascii="楷体" w:hAnsi="楷体" w:eastAsia="楷体" w:cs="Times New Roman"/>
          <w:b w:val="0"/>
          <w:bCs w:val="0"/>
          <w:spacing w:val="-4"/>
          <w:kern w:val="2"/>
          <w:sz w:val="32"/>
          <w:szCs w:val="32"/>
          <w:lang w:val="en-US" w:eastAsia="zh-CN" w:bidi="ar-SA"/>
        </w:rPr>
        <w:t>呼图壁县2025年党报党刊项目的实施背景基于《呼图壁县2025年〈政府工作报告〉责任分解方案》（呼县政办〔2025〕14号）的总体要求，该文件明确提出要“完整准确全面贯彻新时代党的治疆方略”，并将意识形态阵地建设作为重点工作之一，同时强调全县需实现“城镇居民人均可支配收入增长7%左右，农村居民增长8%左右”的发展目标。实施必要性在于党报党刊是传递党的政策、巩固主流舆论的关键载体，如新疆维吾尔自治区</w:t>
      </w:r>
      <w:bookmarkStart w:id="15" w:name="_GoBack"/>
      <w:bookmarkEnd w:id="15"/>
      <w:r>
        <w:rPr>
          <w:rStyle w:val="16"/>
          <w:rFonts w:hint="default" w:ascii="楷体" w:hAnsi="楷体" w:eastAsia="楷体" w:cs="Times New Roman"/>
          <w:b w:val="0"/>
          <w:bCs w:val="0"/>
          <w:spacing w:val="-4"/>
          <w:kern w:val="2"/>
          <w:sz w:val="32"/>
          <w:szCs w:val="32"/>
          <w:lang w:val="en-US" w:eastAsia="zh-CN" w:bidi="ar-SA"/>
        </w:rPr>
        <w:t>会议指出，其发行工作直接关系到“意识形态领导权”的把握和基层政策落实的有效性，而舒城县委宣传部的案例也表明，规范报刊订阅管理是减轻基层负担、落实厉行节约政策的必要举措。通过该项目，呼图壁县可达成三项目标：一是确保《人民日报》《新疆日报》等重点刊物覆盖全县党政机关，强化政策宣导；二是通过党报党刊学习提升党员干部理论水平，助力“治本攻坚三年行动”等重点工作；三是优化经费使用效率，严格遵循“集订分送”原则，避免重复订阅，实现政治效益与财政约束的平衡。</w:t>
      </w:r>
    </w:p>
    <w:p w14:paraId="1A9FA395">
      <w:pPr>
        <w:pStyle w:val="4"/>
        <w:ind w:firstLine="562"/>
        <w:rPr>
          <w:rFonts w:hint="eastAsia"/>
          <w:color w:val="auto"/>
        </w:rPr>
      </w:pPr>
      <w:r>
        <w:rPr>
          <w:rStyle w:val="16"/>
          <w:rFonts w:hint="eastAsia" w:ascii="楷体" w:hAnsi="楷体" w:eastAsia="楷体" w:cs="Times New Roman"/>
          <w:b w:val="0"/>
          <w:bCs w:val="0"/>
          <w:spacing w:val="-4"/>
          <w:kern w:val="2"/>
          <w:sz w:val="32"/>
          <w:szCs w:val="32"/>
          <w:lang w:val="en-US" w:eastAsia="zh-CN" w:bidi="ar-SA"/>
        </w:rPr>
        <w:t>2.主要内容</w:t>
      </w:r>
    </w:p>
    <w:p w14:paraId="505A2D7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default" w:ascii="Times New Roman" w:hAnsi="Times New Roman" w:eastAsia="方正仿宋_GBK" w:cs="Times New Roman"/>
          <w:color w:val="auto"/>
          <w:sz w:val="32"/>
          <w:szCs w:val="32"/>
        </w:rPr>
      </w:pPr>
      <w:r>
        <w:rPr>
          <w:rStyle w:val="16"/>
          <w:rFonts w:hint="default" w:ascii="楷体" w:hAnsi="楷体" w:eastAsia="楷体" w:cs="Times New Roman"/>
          <w:b w:val="0"/>
          <w:bCs w:val="0"/>
          <w:spacing w:val="-4"/>
          <w:kern w:val="2"/>
          <w:sz w:val="32"/>
          <w:szCs w:val="32"/>
          <w:lang w:val="en-US" w:eastAsia="zh-CN" w:bidi="ar-SA"/>
        </w:rPr>
        <w:t>（1）项目名称：</w:t>
      </w:r>
      <w:r>
        <w:rPr>
          <w:rStyle w:val="16"/>
          <w:rFonts w:hint="eastAsia" w:ascii="楷体" w:hAnsi="楷体" w:eastAsia="楷体" w:cs="Times New Roman"/>
          <w:b w:val="0"/>
          <w:bCs w:val="0"/>
          <w:spacing w:val="-4"/>
          <w:kern w:val="2"/>
          <w:sz w:val="32"/>
          <w:szCs w:val="32"/>
          <w:lang w:val="en-US" w:eastAsia="zh-CN" w:bidi="ar-SA"/>
        </w:rPr>
        <w:t>2025年</w:t>
      </w:r>
      <w:r>
        <w:rPr>
          <w:rStyle w:val="16"/>
          <w:rFonts w:hint="default" w:ascii="楷体" w:hAnsi="楷体" w:eastAsia="楷体" w:cs="Times New Roman"/>
          <w:b w:val="0"/>
          <w:bCs w:val="0"/>
          <w:spacing w:val="-4"/>
          <w:kern w:val="2"/>
          <w:sz w:val="32"/>
          <w:szCs w:val="32"/>
          <w:lang w:val="en-US" w:eastAsia="zh-CN" w:bidi="ar-SA"/>
        </w:rPr>
        <w:t>党报党刊项目（以下简称“该项目”或“项目”）</w:t>
      </w:r>
    </w:p>
    <w:p w14:paraId="4B42FE50">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项目主要内容：本项目围绕2025年度党报党刊的征订、发行与宣传工作展开，涵盖《人民日报》《求是》杂志、《新疆日报》《今日新疆》杂志、《昌吉日报》等重点党报党刊，覆盖全县109个财政负担单位，包括74个机关单位、7个乡镇、28所学校。通过“集订分送”方式确保党政机关、学校、基层单位（如农村“家庭党校”）等订阅需求，同时开展理论学习活动、专题讲座等提升党员干部及群众对党的政策理论的学习掌握，强化意识形态阵地建设。</w:t>
      </w:r>
    </w:p>
    <w:p w14:paraId="49D8E671">
      <w:pPr>
        <w:pStyle w:val="4"/>
        <w:ind w:firstLine="562"/>
        <w:jc w:val="left"/>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3.实施情况</w:t>
      </w:r>
    </w:p>
    <w:p w14:paraId="11EAB2A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实施主体：中共呼图壁县委员会宣传部。</w:t>
      </w:r>
    </w:p>
    <w:p w14:paraId="2DFCBA2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实施时间：本项目实施周期为202</w:t>
      </w:r>
      <w:r>
        <w:rPr>
          <w:rStyle w:val="16"/>
          <w:rFonts w:hint="eastAsia" w:ascii="楷体" w:hAnsi="楷体" w:eastAsia="楷体" w:cs="Times New Roman"/>
          <w:b w:val="0"/>
          <w:bCs w:val="0"/>
          <w:spacing w:val="-4"/>
          <w:kern w:val="2"/>
          <w:sz w:val="32"/>
          <w:szCs w:val="32"/>
          <w:lang w:val="en-US" w:eastAsia="zh-CN" w:bidi="ar-SA"/>
        </w:rPr>
        <w:t>4</w:t>
      </w:r>
      <w:r>
        <w:rPr>
          <w:rStyle w:val="16"/>
          <w:rFonts w:hint="default" w:ascii="楷体" w:hAnsi="楷体" w:eastAsia="楷体" w:cs="Times New Roman"/>
          <w:b w:val="0"/>
          <w:bCs w:val="0"/>
          <w:spacing w:val="-4"/>
          <w:kern w:val="2"/>
          <w:sz w:val="32"/>
          <w:szCs w:val="32"/>
          <w:lang w:val="en-US" w:eastAsia="zh-CN" w:bidi="ar-SA"/>
        </w:rPr>
        <w:t>年1月-202</w:t>
      </w:r>
      <w:r>
        <w:rPr>
          <w:rStyle w:val="16"/>
          <w:rFonts w:hint="eastAsia" w:ascii="楷体" w:hAnsi="楷体" w:eastAsia="楷体" w:cs="Times New Roman"/>
          <w:b w:val="0"/>
          <w:bCs w:val="0"/>
          <w:spacing w:val="-4"/>
          <w:kern w:val="2"/>
          <w:sz w:val="32"/>
          <w:szCs w:val="32"/>
          <w:lang w:val="en-US" w:eastAsia="zh-CN" w:bidi="ar-SA"/>
        </w:rPr>
        <w:t>4</w:t>
      </w:r>
      <w:r>
        <w:rPr>
          <w:rStyle w:val="16"/>
          <w:rFonts w:hint="default" w:ascii="楷体" w:hAnsi="楷体" w:eastAsia="楷体" w:cs="Times New Roman"/>
          <w:b w:val="0"/>
          <w:bCs w:val="0"/>
          <w:spacing w:val="-4"/>
          <w:kern w:val="2"/>
          <w:sz w:val="32"/>
          <w:szCs w:val="32"/>
          <w:lang w:val="en-US" w:eastAsia="zh-CN" w:bidi="ar-SA"/>
        </w:rPr>
        <w:t>年12月。</w:t>
      </w:r>
    </w:p>
    <w:p w14:paraId="00D8CEE6">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default" w:ascii="Times New Roman" w:hAnsi="Times New Roman" w:eastAsia="方正仿宋_GBK" w:cs="Times New Roman"/>
          <w:color w:val="auto"/>
          <w:sz w:val="32"/>
          <w:szCs w:val="32"/>
        </w:rPr>
      </w:pPr>
      <w:r>
        <w:rPr>
          <w:rStyle w:val="16"/>
          <w:rFonts w:hint="default" w:ascii="楷体" w:hAnsi="楷体" w:eastAsia="楷体" w:cs="Times New Roman"/>
          <w:b w:val="0"/>
          <w:bCs w:val="0"/>
          <w:spacing w:val="-4"/>
          <w:kern w:val="2"/>
          <w:sz w:val="32"/>
          <w:szCs w:val="32"/>
          <w:lang w:val="en-US" w:eastAsia="zh-CN" w:bidi="ar-SA"/>
        </w:rPr>
        <w:t>实施情况：呼图壁县委宣传部2025年度党报党刊项目从前期规划阶段即明确了以《人民日报》《新疆日报》等重点报刊为核心订阅范围，并依据上级要求制定了详细的征订计划，通过单一来源采购方式确定中国邮政集团有限公司陕西省留坝县分公司为服务供应商，中标金额为156.42</w:t>
      </w:r>
      <w:r>
        <w:rPr>
          <w:rStyle w:val="16"/>
          <w:rFonts w:hint="eastAsia" w:ascii="楷体" w:hAnsi="楷体" w:eastAsia="楷体" w:cs="Times New Roman"/>
          <w:b w:val="0"/>
          <w:bCs w:val="0"/>
          <w:spacing w:val="-4"/>
          <w:kern w:val="2"/>
          <w:sz w:val="32"/>
          <w:szCs w:val="32"/>
          <w:lang w:val="en-US" w:eastAsia="zh-CN" w:bidi="ar-SA"/>
        </w:rPr>
        <w:t>万</w:t>
      </w:r>
      <w:r>
        <w:rPr>
          <w:rStyle w:val="16"/>
          <w:rFonts w:hint="default" w:ascii="楷体" w:hAnsi="楷体" w:eastAsia="楷体" w:cs="Times New Roman"/>
          <w:b w:val="0"/>
          <w:bCs w:val="0"/>
          <w:spacing w:val="-4"/>
          <w:kern w:val="2"/>
          <w:sz w:val="32"/>
          <w:szCs w:val="32"/>
          <w:lang w:val="en-US" w:eastAsia="zh-CN" w:bidi="ar-SA"/>
        </w:rPr>
        <w:t>元，涵盖报刊订阅、配送等全流程服务。项目实施过程中，采购代理机构严格按照政府采购政策审核供应商资质，确保其符合信用、财务及履约能力要求，评审环节由采购人代表及专家组成的团队监督完成。项目验收后，党报党刊按期投入分发使用，有效覆盖县域内党政机关、学校及基层单位（如农村“家庭党校”），成为宣传党的政策、强化意识形态阵地的重要载体。整体流程规范高效，实现了资源精准配置与政策落地的双重目标。</w:t>
      </w:r>
    </w:p>
    <w:p w14:paraId="0DAD7F1B">
      <w:pPr>
        <w:pStyle w:val="4"/>
        <w:ind w:firstLine="562"/>
        <w:jc w:val="left"/>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4.项目实施主体</w:t>
      </w:r>
    </w:p>
    <w:p w14:paraId="5072DA36">
      <w:pPr>
        <w:pStyle w:val="6"/>
        <w:numPr>
          <w:ilvl w:val="0"/>
          <w:numId w:val="2"/>
        </w:num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主要职能</w:t>
      </w:r>
    </w:p>
    <w:p w14:paraId="73B325E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①负责指导全县理论学习、理论宣传、理论研究工作；负责县哲学家和社会科学联合会办公室的日常工作。</w:t>
      </w:r>
    </w:p>
    <w:p w14:paraId="524A08C2">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②负责引导社会舆论，指导、协调新闻单位紧紧围绕党的中心任务和重点工作，组织战役性宣传；对广播电视局等单位的工作实施方针政策的指导和宏观管理；负责全县对外宣传工作的组织、指导、协调；负责指导新闻工作者协会办公室的工作。</w:t>
      </w:r>
    </w:p>
    <w:p w14:paraId="5E9E217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③负责规划、部署全县的思想政治工作任务；负责指导、协调全县各行业思想政治工作研究会工作，负责全县企业职工思想政治工作研究会的日常工作；负责全县民族团结教育工作；配合县委组织部作好党员教育工作；编写党员教育材料；会同有关单位研究和改进群众思想教育工作。</w:t>
      </w:r>
    </w:p>
    <w:p w14:paraId="3110AA79">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④负责指导全县精神文明建设指导委员会办公室的工作；负责规划、部署全县群众性的社会主义精神文明建设活动；负责全县“三大创建”活动的规划、指导、督查、评验工作和全县精神文明建设大型活动的协调、组织工作；负责全县《公民道德建设实施纲要》的学习宣传、贯彻落实。</w:t>
      </w:r>
    </w:p>
    <w:p w14:paraId="6690DEF8">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⑤负责从宏观上指导全县精神产品的生产和文化市场的管理以及体育工作的开展，对全县文化、体育、文联工作在政治方向和方针政策方面实施指导。</w:t>
      </w:r>
    </w:p>
    <w:p w14:paraId="1FB751A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⑥负责提出全县宣传思想文化事业发展的指导方针，指导宣传文化系统制定有关政策、法规，协调宣传文化系统各单位工作；负责宣传思想工作的督查，及时向县委反映重要情况，提出建议；配合组织单位做好宣传文化系统干部的考察工作；</w:t>
      </w:r>
    </w:p>
    <w:p w14:paraId="5E97416A">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⑦负责组织、协调重大节日、纪念日的宣传和庆祝活动；负责组织、协调全县大型文体活动和社会宣传工作。</w:t>
      </w:r>
    </w:p>
    <w:p w14:paraId="161CE47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⑧指导县委干部理论教育讲师团的工作。</w:t>
      </w:r>
    </w:p>
    <w:p w14:paraId="0FA3CA48">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⑨负责县文学艺术联合会的工作。</w:t>
      </w:r>
    </w:p>
    <w:p w14:paraId="725C8A82">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eastAsia" w:ascii="仿宋_GB2312" w:hAnsi="仿宋_GB2312" w:eastAsia="仿宋_GB2312"/>
          <w:color w:val="auto"/>
        </w:rPr>
      </w:pPr>
      <w:r>
        <w:rPr>
          <w:rStyle w:val="16"/>
          <w:rFonts w:hint="default" w:ascii="楷体" w:hAnsi="楷体" w:eastAsia="楷体" w:cs="Times New Roman"/>
          <w:b w:val="0"/>
          <w:bCs w:val="0"/>
          <w:spacing w:val="-4"/>
          <w:kern w:val="2"/>
          <w:sz w:val="32"/>
          <w:szCs w:val="32"/>
          <w:lang w:val="en-US" w:eastAsia="zh-CN" w:bidi="ar-SA"/>
        </w:rPr>
        <w:t>⑩完成县委、县人民政府交办的其它任务。</w:t>
      </w:r>
    </w:p>
    <w:p w14:paraId="6ABE8956">
      <w:pPr>
        <w:pStyle w:val="7"/>
        <w:spacing w:after="0" w:line="560" w:lineRule="exact"/>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（2）机构设置情况</w:t>
      </w:r>
    </w:p>
    <w:p w14:paraId="23F7978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从预算单位构成看，中共呼图壁县委员会宣传部的预算包括：中共呼图壁县委员会宣传部本级预算及下属2家预算单位在内的汇总预算。</w:t>
      </w:r>
    </w:p>
    <w:p w14:paraId="2BDB158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中共呼图壁县委员会宣传部本级下设5个科室，分别是：办公室、理论科、新闻科、文明建设科、宣传文化科。</w:t>
      </w:r>
    </w:p>
    <w:p w14:paraId="132E5E1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本单位中，行政单位1家，事业单位2家，纳入中共呼图壁县委员会宣传部2024年度预算编制范围的下属预算单位包括：</w:t>
      </w:r>
    </w:p>
    <w:p w14:paraId="55AD0CC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①呼图壁县宣传工作服务中心</w:t>
      </w:r>
    </w:p>
    <w:p w14:paraId="3389447C">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②呼图壁县电影放映中心</w:t>
      </w:r>
    </w:p>
    <w:p w14:paraId="1848B88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eastAsia" w:ascii="仿宋_GB2312" w:hAnsi="仿宋_GB2312" w:eastAsia="仿宋_GB2312"/>
          <w:color w:val="auto"/>
        </w:rPr>
      </w:pPr>
      <w:r>
        <w:rPr>
          <w:rStyle w:val="16"/>
          <w:rFonts w:hint="default" w:ascii="楷体" w:hAnsi="楷体" w:eastAsia="楷体" w:cs="Times New Roman"/>
          <w:b w:val="0"/>
          <w:bCs w:val="0"/>
          <w:spacing w:val="-4"/>
          <w:kern w:val="2"/>
          <w:sz w:val="32"/>
          <w:szCs w:val="32"/>
          <w:lang w:val="en-US" w:eastAsia="zh-CN" w:bidi="ar-SA"/>
        </w:rPr>
        <w:t>中共呼图壁县委员会宣传部编制数29，实有人数46人，其中：在职31人，增加2人；退休15人；离休0人。</w:t>
      </w:r>
    </w:p>
    <w:p w14:paraId="1351C142">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5.资金投入和使用情况</w:t>
      </w:r>
    </w:p>
    <w:p w14:paraId="776C83A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（1）项目资金安排落实、总投入等情况分析</w:t>
      </w:r>
    </w:p>
    <w:p w14:paraId="5008A7D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本项目预算安排总额为156.4</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万元，资金来源为财政资金，其中：财政资金156.4</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万元，其他资金0万元，2024年实际收到预算资金156.4</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万元，预算资金到位率为100.</w:t>
      </w:r>
      <w:r>
        <w:rPr>
          <w:rStyle w:val="16"/>
          <w:rFonts w:hint="eastAsia" w:ascii="楷体" w:hAnsi="楷体" w:eastAsia="楷体" w:cs="Times New Roman"/>
          <w:b w:val="0"/>
          <w:bCs w:val="0"/>
          <w:spacing w:val="-4"/>
          <w:kern w:val="2"/>
          <w:sz w:val="32"/>
          <w:szCs w:val="32"/>
          <w:lang w:val="en-US" w:eastAsia="zh-CN" w:bidi="ar-SA"/>
        </w:rPr>
        <w:t>0</w:t>
      </w:r>
      <w:r>
        <w:rPr>
          <w:rStyle w:val="16"/>
          <w:rFonts w:hint="default" w:ascii="楷体" w:hAnsi="楷体" w:eastAsia="楷体" w:cs="Times New Roman"/>
          <w:b w:val="0"/>
          <w:bCs w:val="0"/>
          <w:spacing w:val="-4"/>
          <w:kern w:val="2"/>
          <w:sz w:val="32"/>
          <w:szCs w:val="32"/>
          <w:lang w:val="en-US" w:eastAsia="zh-CN" w:bidi="ar-SA"/>
        </w:rPr>
        <w:t>0%。</w:t>
      </w:r>
    </w:p>
    <w:p w14:paraId="1CE179D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（2）项目资金实际使用情况分析</w:t>
      </w:r>
    </w:p>
    <w:p w14:paraId="50E19F35">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default" w:ascii="Times New Roman" w:hAnsi="Times New Roman" w:eastAsia="方正仿宋_GBK" w:cs="Times New Roman"/>
          <w:color w:val="auto"/>
          <w:sz w:val="32"/>
          <w:szCs w:val="32"/>
        </w:rPr>
      </w:pPr>
      <w:r>
        <w:rPr>
          <w:rStyle w:val="16"/>
          <w:rFonts w:hint="default" w:ascii="楷体" w:hAnsi="楷体" w:eastAsia="楷体" w:cs="Times New Roman"/>
          <w:b w:val="0"/>
          <w:bCs w:val="0"/>
          <w:spacing w:val="-4"/>
          <w:kern w:val="2"/>
          <w:sz w:val="32"/>
          <w:szCs w:val="32"/>
          <w:lang w:val="en-US" w:eastAsia="zh-CN" w:bidi="ar-SA"/>
        </w:rPr>
        <w:t>截至2024年12月31日，本项目实际支付资金156.4</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万元，预算执行率100.</w:t>
      </w:r>
      <w:r>
        <w:rPr>
          <w:rStyle w:val="16"/>
          <w:rFonts w:hint="eastAsia" w:ascii="楷体" w:hAnsi="楷体" w:eastAsia="楷体" w:cs="Times New Roman"/>
          <w:b w:val="0"/>
          <w:bCs w:val="0"/>
          <w:spacing w:val="-4"/>
          <w:kern w:val="2"/>
          <w:sz w:val="32"/>
          <w:szCs w:val="32"/>
          <w:lang w:val="en-US" w:eastAsia="zh-CN" w:bidi="ar-SA"/>
        </w:rPr>
        <w:t>0</w:t>
      </w:r>
      <w:r>
        <w:rPr>
          <w:rStyle w:val="16"/>
          <w:rFonts w:hint="default" w:ascii="楷体" w:hAnsi="楷体" w:eastAsia="楷体" w:cs="Times New Roman"/>
          <w:b w:val="0"/>
          <w:bCs w:val="0"/>
          <w:spacing w:val="-4"/>
          <w:kern w:val="2"/>
          <w:sz w:val="32"/>
          <w:szCs w:val="32"/>
          <w:lang w:val="en-US" w:eastAsia="zh-CN" w:bidi="ar-SA"/>
        </w:rPr>
        <w:t>0%。本项目资金主要用于支付2025年党报党刊费用156.4</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万元。</w:t>
      </w:r>
    </w:p>
    <w:p w14:paraId="3137B6D3">
      <w:pPr>
        <w:spacing w:line="540" w:lineRule="exact"/>
        <w:ind w:firstLine="567" w:firstLineChars="0"/>
        <w:rPr>
          <w:color w:val="auto"/>
        </w:rPr>
      </w:pPr>
      <w:r>
        <w:rPr>
          <w:rStyle w:val="16"/>
          <w:rFonts w:hint="eastAsia" w:ascii="楷体" w:hAnsi="楷体" w:eastAsia="楷体"/>
          <w:spacing w:val="-4"/>
          <w:sz w:val="32"/>
          <w:szCs w:val="32"/>
        </w:rPr>
        <w:t>（二）</w:t>
      </w:r>
      <w:r>
        <w:rPr>
          <w:rStyle w:val="16"/>
          <w:rFonts w:hint="eastAsia" w:ascii="楷体" w:hAnsi="楷体" w:eastAsia="楷体" w:cs="Times New Roman"/>
          <w:spacing w:val="-4"/>
          <w:sz w:val="32"/>
          <w:szCs w:val="32"/>
        </w:rPr>
        <w:t>项目绩效目标</w:t>
      </w:r>
    </w:p>
    <w:p w14:paraId="63601C08">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1.总体目标</w:t>
      </w:r>
    </w:p>
    <w:p w14:paraId="456D316C">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呼图壁县委宣传部2025年度党报党刊项目的总体目标是通过确保重点党报党刊如人民日报、求是杂志、新疆日报等的高效发行与覆盖，巩固党的意识形态阵地，强化主流思想舆论引导。三级指标中，数量指标</w:t>
      </w:r>
      <w:r>
        <w:rPr>
          <w:rStyle w:val="16"/>
          <w:rFonts w:hint="eastAsia" w:ascii="楷体" w:hAnsi="楷体" w:eastAsia="楷体" w:cs="Times New Roman"/>
          <w:b w:val="0"/>
          <w:bCs w:val="0"/>
          <w:spacing w:val="-4"/>
          <w:kern w:val="2"/>
          <w:sz w:val="32"/>
          <w:szCs w:val="32"/>
          <w:lang w:val="en-US" w:eastAsia="zh-CN" w:bidi="ar-SA"/>
        </w:rPr>
        <w:t>有购买党报党刊数量；</w:t>
      </w:r>
      <w:r>
        <w:rPr>
          <w:rStyle w:val="16"/>
          <w:rFonts w:hint="default" w:ascii="楷体" w:hAnsi="楷体" w:eastAsia="楷体" w:cs="Times New Roman"/>
          <w:b w:val="0"/>
          <w:bCs w:val="0"/>
          <w:spacing w:val="-4"/>
          <w:kern w:val="2"/>
          <w:sz w:val="32"/>
          <w:szCs w:val="32"/>
          <w:lang w:val="en-US" w:eastAsia="zh-CN" w:bidi="ar-SA"/>
        </w:rPr>
        <w:t>质量指标</w:t>
      </w:r>
      <w:r>
        <w:rPr>
          <w:rStyle w:val="16"/>
          <w:rFonts w:hint="eastAsia" w:ascii="楷体" w:hAnsi="楷体" w:eastAsia="楷体" w:cs="Times New Roman"/>
          <w:b w:val="0"/>
          <w:bCs w:val="0"/>
          <w:spacing w:val="-4"/>
          <w:kern w:val="2"/>
          <w:sz w:val="32"/>
          <w:szCs w:val="32"/>
          <w:lang w:val="en-US" w:eastAsia="zh-CN" w:bidi="ar-SA"/>
        </w:rPr>
        <w:t>购买党报党刊质量；</w:t>
      </w:r>
      <w:r>
        <w:rPr>
          <w:rStyle w:val="16"/>
          <w:rFonts w:hint="default" w:ascii="楷体" w:hAnsi="楷体" w:eastAsia="楷体" w:cs="Times New Roman"/>
          <w:b w:val="0"/>
          <w:bCs w:val="0"/>
          <w:spacing w:val="-4"/>
          <w:kern w:val="2"/>
          <w:sz w:val="32"/>
          <w:szCs w:val="32"/>
          <w:lang w:val="en-US" w:eastAsia="zh-CN" w:bidi="ar-SA"/>
        </w:rPr>
        <w:t>时效指标</w:t>
      </w:r>
      <w:r>
        <w:rPr>
          <w:rStyle w:val="16"/>
          <w:rFonts w:hint="eastAsia" w:ascii="楷体" w:hAnsi="楷体" w:eastAsia="楷体" w:cs="Times New Roman"/>
          <w:b w:val="0"/>
          <w:bCs w:val="0"/>
          <w:spacing w:val="-4"/>
          <w:kern w:val="2"/>
          <w:sz w:val="32"/>
          <w:szCs w:val="32"/>
          <w:lang w:val="en-US" w:eastAsia="zh-CN" w:bidi="ar-SA"/>
        </w:rPr>
        <w:t>有购买党报党刊及时率等。</w:t>
      </w:r>
      <w:r>
        <w:rPr>
          <w:rStyle w:val="16"/>
          <w:rFonts w:hint="default" w:ascii="楷体" w:hAnsi="楷体" w:eastAsia="楷体" w:cs="Times New Roman"/>
          <w:b w:val="0"/>
          <w:bCs w:val="0"/>
          <w:spacing w:val="-4"/>
          <w:kern w:val="2"/>
          <w:sz w:val="32"/>
          <w:szCs w:val="32"/>
          <w:lang w:val="en-US" w:eastAsia="zh-CN" w:bidi="ar-SA"/>
        </w:rPr>
        <w:t>该项目旨在通过稳定发行数量与提升服务质量，推动党的二十届三中全会精神深入基层，增强党群联系，为县域高质量发展提供思想保障和舆论支持。</w:t>
      </w:r>
    </w:p>
    <w:p w14:paraId="68F881C9">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2.阶段性目标</w:t>
      </w:r>
    </w:p>
    <w:p w14:paraId="38991267">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p>
    <w:p w14:paraId="4303CB21">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（1）项目产出指标</w:t>
      </w:r>
    </w:p>
    <w:p w14:paraId="34620D40">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①数量指标</w:t>
      </w:r>
    </w:p>
    <w:p w14:paraId="67F7AD95">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购买党报党刊数量</w:t>
      </w:r>
      <w:r>
        <w:rPr>
          <w:rStyle w:val="16"/>
          <w:rFonts w:hint="default" w:ascii="楷体" w:hAnsi="楷体" w:eastAsia="楷体" w:cs="Times New Roman"/>
          <w:b w:val="0"/>
          <w:bCs w:val="0"/>
          <w:spacing w:val="-4"/>
          <w:kern w:val="2"/>
          <w:sz w:val="32"/>
          <w:szCs w:val="32"/>
          <w:lang w:val="en-US" w:eastAsia="zh-CN" w:bidi="ar-SA"/>
        </w:rPr>
        <w:t>”指标，预期指标值为“</w:t>
      </w:r>
      <w:r>
        <w:rPr>
          <w:rStyle w:val="16"/>
          <w:rFonts w:hint="eastAsia" w:ascii="楷体" w:hAnsi="楷体" w:eastAsia="楷体" w:cs="Times New Roman"/>
          <w:b w:val="0"/>
          <w:bCs w:val="0"/>
          <w:spacing w:val="-4"/>
          <w:kern w:val="2"/>
          <w:sz w:val="32"/>
          <w:szCs w:val="32"/>
          <w:lang w:val="en-US" w:eastAsia="zh-CN" w:bidi="ar-SA"/>
        </w:rPr>
        <w:t>&lt;=10346本</w:t>
      </w:r>
      <w:r>
        <w:rPr>
          <w:rStyle w:val="16"/>
          <w:rFonts w:hint="default" w:ascii="楷体" w:hAnsi="楷体" w:eastAsia="楷体" w:cs="Times New Roman"/>
          <w:b w:val="0"/>
          <w:bCs w:val="0"/>
          <w:spacing w:val="-4"/>
          <w:kern w:val="2"/>
          <w:sz w:val="32"/>
          <w:szCs w:val="32"/>
          <w:lang w:val="en-US" w:eastAsia="zh-CN" w:bidi="ar-SA"/>
        </w:rPr>
        <w:t>”；</w:t>
      </w:r>
    </w:p>
    <w:p w14:paraId="521E94B7">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②质量指标</w:t>
      </w:r>
    </w:p>
    <w:p w14:paraId="7518392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购买党报党刊质量</w:t>
      </w:r>
      <w:r>
        <w:rPr>
          <w:rStyle w:val="16"/>
          <w:rFonts w:hint="default" w:ascii="楷体" w:hAnsi="楷体" w:eastAsia="楷体" w:cs="Times New Roman"/>
          <w:b w:val="0"/>
          <w:bCs w:val="0"/>
          <w:spacing w:val="-4"/>
          <w:kern w:val="2"/>
          <w:sz w:val="32"/>
          <w:szCs w:val="32"/>
          <w:lang w:val="en-US" w:eastAsia="zh-CN" w:bidi="ar-SA"/>
        </w:rPr>
        <w:t>”指标，预期指标值为“</w:t>
      </w:r>
      <w:r>
        <w:rPr>
          <w:rStyle w:val="16"/>
          <w:rFonts w:hint="eastAsia" w:ascii="楷体" w:hAnsi="楷体" w:eastAsia="楷体" w:cs="Times New Roman"/>
          <w:b w:val="0"/>
          <w:bCs w:val="0"/>
          <w:spacing w:val="-4"/>
          <w:kern w:val="2"/>
          <w:sz w:val="32"/>
          <w:szCs w:val="32"/>
          <w:lang w:val="en-US" w:eastAsia="zh-CN" w:bidi="ar-SA"/>
        </w:rPr>
        <w:t>&gt;=</w:t>
      </w:r>
      <w:r>
        <w:rPr>
          <w:rStyle w:val="16"/>
          <w:rFonts w:hint="default" w:ascii="楷体" w:hAnsi="楷体" w:eastAsia="楷体" w:cs="Times New Roman"/>
          <w:b w:val="0"/>
          <w:bCs w:val="0"/>
          <w:spacing w:val="-4"/>
          <w:kern w:val="2"/>
          <w:sz w:val="32"/>
          <w:szCs w:val="32"/>
          <w:lang w:val="en-US" w:eastAsia="zh-CN" w:bidi="ar-SA"/>
        </w:rPr>
        <w:t>95%”；</w:t>
      </w:r>
    </w:p>
    <w:p w14:paraId="57E2BFE9">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③时效指标</w:t>
      </w:r>
    </w:p>
    <w:p w14:paraId="3000F176">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购买党报党刊及时率</w:t>
      </w:r>
      <w:r>
        <w:rPr>
          <w:rStyle w:val="16"/>
          <w:rFonts w:hint="default" w:ascii="楷体" w:hAnsi="楷体" w:eastAsia="楷体" w:cs="Times New Roman"/>
          <w:b w:val="0"/>
          <w:bCs w:val="0"/>
          <w:spacing w:val="-4"/>
          <w:kern w:val="2"/>
          <w:sz w:val="32"/>
          <w:szCs w:val="32"/>
          <w:lang w:val="en-US" w:eastAsia="zh-CN" w:bidi="ar-SA"/>
        </w:rPr>
        <w:t>”指标，预期指标值为“</w:t>
      </w:r>
      <w:r>
        <w:rPr>
          <w:rStyle w:val="16"/>
          <w:rFonts w:hint="eastAsia" w:ascii="楷体" w:hAnsi="楷体" w:eastAsia="楷体" w:cs="Times New Roman"/>
          <w:b w:val="0"/>
          <w:bCs w:val="0"/>
          <w:spacing w:val="-4"/>
          <w:kern w:val="2"/>
          <w:sz w:val="32"/>
          <w:szCs w:val="32"/>
          <w:lang w:val="en-US" w:eastAsia="zh-CN" w:bidi="ar-SA"/>
        </w:rPr>
        <w:t>&gt;=</w:t>
      </w:r>
      <w:r>
        <w:rPr>
          <w:rStyle w:val="16"/>
          <w:rFonts w:hint="default" w:ascii="楷体" w:hAnsi="楷体" w:eastAsia="楷体" w:cs="Times New Roman"/>
          <w:b w:val="0"/>
          <w:bCs w:val="0"/>
          <w:spacing w:val="-4"/>
          <w:kern w:val="2"/>
          <w:sz w:val="32"/>
          <w:szCs w:val="32"/>
          <w:lang w:val="en-US" w:eastAsia="zh-CN" w:bidi="ar-SA"/>
        </w:rPr>
        <w:t>95%”；</w:t>
      </w:r>
    </w:p>
    <w:p w14:paraId="1F06CAE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（2）项目成本指标</w:t>
      </w:r>
    </w:p>
    <w:p w14:paraId="6464787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①经济成本指标</w:t>
      </w:r>
    </w:p>
    <w:p w14:paraId="41DD8D39">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人民日报成本标准</w:t>
      </w:r>
      <w:r>
        <w:rPr>
          <w:rStyle w:val="16"/>
          <w:rFonts w:hint="default" w:ascii="楷体" w:hAnsi="楷体" w:eastAsia="楷体" w:cs="Times New Roman"/>
          <w:b w:val="0"/>
          <w:bCs w:val="0"/>
          <w:spacing w:val="-4"/>
          <w:kern w:val="2"/>
          <w:sz w:val="32"/>
          <w:szCs w:val="32"/>
          <w:lang w:val="en-US" w:eastAsia="zh-CN" w:bidi="ar-SA"/>
        </w:rPr>
        <w:t>”指标，预期指标值为“</w:t>
      </w:r>
      <w:r>
        <w:rPr>
          <w:rStyle w:val="16"/>
          <w:rFonts w:hint="eastAsia" w:ascii="楷体" w:hAnsi="楷体" w:eastAsia="楷体" w:cs="Times New Roman"/>
          <w:b w:val="0"/>
          <w:bCs w:val="0"/>
          <w:spacing w:val="-4"/>
          <w:kern w:val="2"/>
          <w:sz w:val="32"/>
          <w:szCs w:val="32"/>
          <w:lang w:val="en-US" w:eastAsia="zh-CN" w:bidi="ar-SA"/>
        </w:rPr>
        <w:t>&lt;=288元/本</w:t>
      </w:r>
      <w:r>
        <w:rPr>
          <w:rStyle w:val="16"/>
          <w:rFonts w:hint="default" w:ascii="楷体" w:hAnsi="楷体" w:eastAsia="楷体" w:cs="Times New Roman"/>
          <w:b w:val="0"/>
          <w:bCs w:val="0"/>
          <w:spacing w:val="-4"/>
          <w:kern w:val="2"/>
          <w:sz w:val="32"/>
          <w:szCs w:val="32"/>
          <w:lang w:val="en-US" w:eastAsia="zh-CN" w:bidi="ar-SA"/>
        </w:rPr>
        <w:t>”；</w:t>
      </w:r>
    </w:p>
    <w:p w14:paraId="1B2C6A5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“求是杂志成本标准</w:t>
      </w:r>
      <w:r>
        <w:rPr>
          <w:rStyle w:val="16"/>
          <w:rFonts w:hint="default" w:ascii="楷体" w:hAnsi="楷体" w:eastAsia="楷体" w:cs="Times New Roman"/>
          <w:b w:val="0"/>
          <w:bCs w:val="0"/>
          <w:spacing w:val="-4"/>
          <w:kern w:val="2"/>
          <w:sz w:val="32"/>
          <w:szCs w:val="32"/>
          <w:lang w:val="en-US" w:eastAsia="zh-CN" w:bidi="ar-SA"/>
        </w:rPr>
        <w:t>”指标，预期指标值为“</w:t>
      </w:r>
      <w:r>
        <w:rPr>
          <w:rStyle w:val="16"/>
          <w:rFonts w:hint="eastAsia" w:ascii="楷体" w:hAnsi="楷体" w:eastAsia="楷体" w:cs="Times New Roman"/>
          <w:b w:val="0"/>
          <w:bCs w:val="0"/>
          <w:spacing w:val="-4"/>
          <w:kern w:val="2"/>
          <w:sz w:val="32"/>
          <w:szCs w:val="32"/>
          <w:lang w:val="en-US" w:eastAsia="zh-CN" w:bidi="ar-SA"/>
        </w:rPr>
        <w:t>&lt;=264元/本</w:t>
      </w:r>
      <w:r>
        <w:rPr>
          <w:rStyle w:val="16"/>
          <w:rFonts w:hint="default" w:ascii="楷体" w:hAnsi="楷体" w:eastAsia="楷体" w:cs="Times New Roman"/>
          <w:b w:val="0"/>
          <w:bCs w:val="0"/>
          <w:spacing w:val="-4"/>
          <w:kern w:val="2"/>
          <w:sz w:val="32"/>
          <w:szCs w:val="32"/>
          <w:lang w:val="en-US" w:eastAsia="zh-CN" w:bidi="ar-SA"/>
        </w:rPr>
        <w:t>”；</w:t>
      </w:r>
    </w:p>
    <w:p w14:paraId="5B5D722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②社会成本指标</w:t>
      </w:r>
    </w:p>
    <w:p w14:paraId="2CD1C157">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无此类指标。</w:t>
      </w:r>
    </w:p>
    <w:p w14:paraId="16F20CE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③生态环境成本指标</w:t>
      </w:r>
    </w:p>
    <w:p w14:paraId="56420045">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无此类指标。</w:t>
      </w:r>
    </w:p>
    <w:p w14:paraId="2E11B1C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（3）项目效益指标</w:t>
      </w:r>
    </w:p>
    <w:p w14:paraId="76C5B90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①经济效益指标</w:t>
      </w:r>
    </w:p>
    <w:p w14:paraId="3EAA38B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无此类指标。</w:t>
      </w:r>
    </w:p>
    <w:p w14:paraId="6AB57BA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②社会效益指标</w:t>
      </w:r>
    </w:p>
    <w:p w14:paraId="161296B6">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提升党员政治素养</w:t>
      </w:r>
      <w:r>
        <w:rPr>
          <w:rStyle w:val="16"/>
          <w:rFonts w:hint="default" w:ascii="楷体" w:hAnsi="楷体" w:eastAsia="楷体" w:cs="Times New Roman"/>
          <w:b w:val="0"/>
          <w:bCs w:val="0"/>
          <w:spacing w:val="-4"/>
          <w:kern w:val="2"/>
          <w:sz w:val="32"/>
          <w:szCs w:val="32"/>
          <w:lang w:val="en-US" w:eastAsia="zh-CN" w:bidi="ar-SA"/>
        </w:rPr>
        <w:t>”指标，预期指标值为“</w:t>
      </w:r>
      <w:r>
        <w:rPr>
          <w:rStyle w:val="16"/>
          <w:rFonts w:hint="eastAsia" w:ascii="楷体" w:hAnsi="楷体" w:eastAsia="楷体" w:cs="Times New Roman"/>
          <w:b w:val="0"/>
          <w:bCs w:val="0"/>
          <w:spacing w:val="-4"/>
          <w:kern w:val="2"/>
          <w:sz w:val="32"/>
          <w:szCs w:val="32"/>
          <w:lang w:val="en-US" w:eastAsia="zh-CN" w:bidi="ar-SA"/>
        </w:rPr>
        <w:t>稳步提升</w:t>
      </w:r>
      <w:r>
        <w:rPr>
          <w:rStyle w:val="16"/>
          <w:rFonts w:hint="default" w:ascii="楷体" w:hAnsi="楷体" w:eastAsia="楷体" w:cs="Times New Roman"/>
          <w:b w:val="0"/>
          <w:bCs w:val="0"/>
          <w:spacing w:val="-4"/>
          <w:kern w:val="2"/>
          <w:sz w:val="32"/>
          <w:szCs w:val="32"/>
          <w:lang w:val="en-US" w:eastAsia="zh-CN" w:bidi="ar-SA"/>
        </w:rPr>
        <w:t>”；</w:t>
      </w:r>
    </w:p>
    <w:p w14:paraId="7F311BE9">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③生态效益指标</w:t>
      </w:r>
    </w:p>
    <w:p w14:paraId="050A346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无此类指标。</w:t>
      </w:r>
    </w:p>
    <w:p w14:paraId="54F9A8D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（4）项目满意度指标</w:t>
      </w:r>
    </w:p>
    <w:p w14:paraId="0F6E83D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①满意度指标</w:t>
      </w:r>
    </w:p>
    <w:p w14:paraId="38F1DD0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default" w:ascii="Times New Roman" w:hAnsi="Times New Roman" w:eastAsia="方正仿宋_GBK" w:cs="Times New Roman"/>
          <w:color w:val="auto"/>
          <w:sz w:val="32"/>
          <w:szCs w:val="32"/>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各单位满意度</w:t>
      </w:r>
      <w:r>
        <w:rPr>
          <w:rStyle w:val="16"/>
          <w:rFonts w:hint="default" w:ascii="楷体" w:hAnsi="楷体" w:eastAsia="楷体" w:cs="Times New Roman"/>
          <w:b w:val="0"/>
          <w:bCs w:val="0"/>
          <w:spacing w:val="-4"/>
          <w:kern w:val="2"/>
          <w:sz w:val="32"/>
          <w:szCs w:val="32"/>
          <w:lang w:val="en-US" w:eastAsia="zh-CN" w:bidi="ar-SA"/>
        </w:rPr>
        <w:t>”指标，预期指标值为“</w:t>
      </w:r>
      <w:r>
        <w:rPr>
          <w:rStyle w:val="16"/>
          <w:rFonts w:hint="eastAsia" w:ascii="楷体" w:hAnsi="楷体" w:eastAsia="楷体" w:cs="Times New Roman"/>
          <w:b w:val="0"/>
          <w:bCs w:val="0"/>
          <w:spacing w:val="-4"/>
          <w:kern w:val="2"/>
          <w:sz w:val="32"/>
          <w:szCs w:val="32"/>
          <w:lang w:val="en-US" w:eastAsia="zh-CN" w:bidi="ar-SA"/>
        </w:rPr>
        <w:t>&gt;=</w:t>
      </w:r>
      <w:r>
        <w:rPr>
          <w:rStyle w:val="16"/>
          <w:rFonts w:hint="default" w:ascii="楷体" w:hAnsi="楷体" w:eastAsia="楷体" w:cs="Times New Roman"/>
          <w:b w:val="0"/>
          <w:bCs w:val="0"/>
          <w:spacing w:val="-4"/>
          <w:kern w:val="2"/>
          <w:sz w:val="32"/>
          <w:szCs w:val="32"/>
          <w:lang w:val="en-US" w:eastAsia="zh-CN" w:bidi="ar-SA"/>
        </w:rPr>
        <w:t>9</w:t>
      </w:r>
      <w:r>
        <w:rPr>
          <w:rStyle w:val="16"/>
          <w:rFonts w:hint="eastAsia" w:ascii="楷体" w:hAnsi="楷体" w:eastAsia="楷体" w:cs="Times New Roman"/>
          <w:b w:val="0"/>
          <w:bCs w:val="0"/>
          <w:spacing w:val="-4"/>
          <w:kern w:val="2"/>
          <w:sz w:val="32"/>
          <w:szCs w:val="32"/>
          <w:lang w:val="en-US" w:eastAsia="zh-CN" w:bidi="ar-SA"/>
        </w:rPr>
        <w:t>5</w:t>
      </w:r>
      <w:r>
        <w:rPr>
          <w:rStyle w:val="16"/>
          <w:rFonts w:hint="default" w:ascii="楷体" w:hAnsi="楷体" w:eastAsia="楷体" w:cs="Times New Roman"/>
          <w:b w:val="0"/>
          <w:bCs w:val="0"/>
          <w:spacing w:val="-4"/>
          <w:kern w:val="2"/>
          <w:sz w:val="32"/>
          <w:szCs w:val="32"/>
          <w:lang w:val="en-US" w:eastAsia="zh-CN" w:bidi="ar-SA"/>
        </w:rPr>
        <w:t>%”。</w:t>
      </w:r>
    </w:p>
    <w:p w14:paraId="2ED575A8">
      <w:pPr>
        <w:spacing w:line="540" w:lineRule="exact"/>
        <w:ind w:firstLine="640" w:firstLineChars="0"/>
        <w:rPr>
          <w:color w:val="auto"/>
        </w:rPr>
      </w:pPr>
      <w:r>
        <w:rPr>
          <w:rStyle w:val="16"/>
          <w:rFonts w:hint="eastAsia" w:ascii="黑体" w:hAnsi="黑体" w:eastAsia="黑体" w:cs="Times New Roman"/>
          <w:b w:val="0"/>
          <w:spacing w:val="-4"/>
          <w:sz w:val="32"/>
          <w:szCs w:val="32"/>
        </w:rPr>
        <w:t>二、绩效评价工作开展情况</w:t>
      </w:r>
    </w:p>
    <w:p w14:paraId="47BDF1F3">
      <w:pPr>
        <w:spacing w:line="540" w:lineRule="exact"/>
        <w:ind w:firstLine="567" w:firstLineChars="181"/>
        <w:rPr>
          <w:color w:val="auto"/>
        </w:rPr>
      </w:pPr>
      <w:bookmarkStart w:id="0" w:name="_Toc12868"/>
      <w:bookmarkStart w:id="1" w:name="_Toc26632"/>
      <w:bookmarkStart w:id="2" w:name="_Toc22169_WPSOffice_Level2"/>
      <w:bookmarkStart w:id="3" w:name="_Toc21664"/>
      <w:bookmarkStart w:id="4" w:name="_Toc5462343"/>
      <w:bookmarkStart w:id="5" w:name="_Toc480473081"/>
      <w:bookmarkStart w:id="6" w:name="_Toc5258"/>
      <w:bookmarkStart w:id="7" w:name="_Toc22922"/>
      <w:r>
        <w:rPr>
          <w:rStyle w:val="16"/>
          <w:rFonts w:hint="eastAsia" w:ascii="楷体" w:hAnsi="楷体" w:eastAsia="楷体" w:cs="Times New Roman"/>
          <w:spacing w:val="-4"/>
          <w:sz w:val="32"/>
          <w:szCs w:val="32"/>
        </w:rPr>
        <w:t>（一）绩效评价的目的</w:t>
      </w:r>
      <w:bookmarkEnd w:id="0"/>
      <w:bookmarkEnd w:id="1"/>
      <w:bookmarkEnd w:id="2"/>
      <w:bookmarkEnd w:id="3"/>
      <w:bookmarkEnd w:id="4"/>
      <w:bookmarkEnd w:id="5"/>
      <w:bookmarkEnd w:id="6"/>
      <w:bookmarkEnd w:id="7"/>
      <w:r>
        <w:rPr>
          <w:rStyle w:val="16"/>
          <w:rFonts w:hint="eastAsia" w:ascii="楷体" w:hAnsi="楷体" w:eastAsia="楷体" w:cs="Times New Roman"/>
          <w:spacing w:val="-4"/>
          <w:sz w:val="32"/>
          <w:szCs w:val="32"/>
        </w:rPr>
        <w:t>、对象和范围</w:t>
      </w:r>
    </w:p>
    <w:p w14:paraId="02B4C229">
      <w:pPr>
        <w:pStyle w:val="4"/>
        <w:ind w:firstLine="562"/>
        <w:rPr>
          <w:rFonts w:hint="eastAsia"/>
          <w:color w:val="auto"/>
        </w:rPr>
      </w:pPr>
      <w:r>
        <w:rPr>
          <w:rStyle w:val="16"/>
          <w:rFonts w:hint="eastAsia" w:ascii="楷体" w:hAnsi="楷体" w:eastAsia="楷体" w:cs="Times New Roman"/>
          <w:b w:val="0"/>
          <w:bCs w:val="0"/>
          <w:spacing w:val="-4"/>
          <w:kern w:val="2"/>
          <w:sz w:val="32"/>
          <w:szCs w:val="32"/>
          <w:lang w:val="en-US" w:eastAsia="zh-CN" w:bidi="ar-SA"/>
        </w:rPr>
        <w:t>1.绩效评价的目的</w:t>
      </w:r>
    </w:p>
    <w:p w14:paraId="1421F9F6">
      <w:pPr>
        <w:ind w:firstLine="560"/>
        <w:rPr>
          <w:rFonts w:hint="eastAsia"/>
          <w:b/>
          <w:bCs/>
          <w:color w:val="auto"/>
        </w:rPr>
      </w:pPr>
      <w:r>
        <w:rPr>
          <w:rStyle w:val="16"/>
          <w:rFonts w:hint="eastAsia" w:ascii="楷体" w:hAnsi="楷体" w:eastAsia="楷体" w:cs="Times New Roman"/>
          <w:b w:val="0"/>
          <w:bCs w:val="0"/>
          <w:spacing w:val="-4"/>
          <w:sz w:val="32"/>
          <w:szCs w:val="32"/>
        </w:rPr>
        <w:t>本次绩效评价遵循财政部《项目支出绩效评价管理办法》（财预〔2020〕10号）和自治区财政厅《自治区财政支出绩效评价管理暂行办法》（新财预〔2018〕189号）等相关政策文件与规定，旨在评价财政项目实施前期、过程及效果，评价财政预算资金使用的效率及效益。通过绩效评价，促进本单位总结经验、发现问题、改进工作，旨在评价本项目前期审批、实施过程及实施效果，促进预算管理不断完善，加快绩效目标的实现，保证财政资金有效、合理使用。</w:t>
      </w:r>
    </w:p>
    <w:p w14:paraId="2CDB8997">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2.绩效评价对象</w:t>
      </w:r>
    </w:p>
    <w:p w14:paraId="63A342F7">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此次我单位根据《财政支出绩效评价管理暂行办法》（财预〔2020〕10号）文件要求实施评价工作，本次评价对象为2025年党报党刊项目，评价核心为项目资金、项目产出、项目效益。</w:t>
      </w:r>
    </w:p>
    <w:p w14:paraId="7611F5A9">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3.绩效评价范围</w:t>
      </w:r>
    </w:p>
    <w:p w14:paraId="0362165D">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14:paraId="6804BBC1">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4.绩效评价依据</w:t>
      </w:r>
    </w:p>
    <w:p w14:paraId="5BD33278">
      <w:pPr>
        <w:pStyle w:val="4"/>
        <w:ind w:firstLine="562"/>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（1）《中华人民共和国预算法》；</w:t>
      </w:r>
    </w:p>
    <w:p w14:paraId="3717BA7B">
      <w:pPr>
        <w:pStyle w:val="4"/>
        <w:ind w:firstLine="562"/>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（2）《中共中央国务院关于全面实施预算绩效管理的意见》（中发〔2018〕34号）；</w:t>
      </w:r>
    </w:p>
    <w:p w14:paraId="76658F12">
      <w:pPr>
        <w:pStyle w:val="4"/>
        <w:ind w:firstLine="562"/>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（3）《项目支出绩效评价管理办法》（财预〔2020〕10号）；</w:t>
      </w:r>
    </w:p>
    <w:p w14:paraId="06FD2CFF">
      <w:pPr>
        <w:pStyle w:val="4"/>
        <w:ind w:firstLine="562"/>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（4）《自治区财政支出绩效评价管理暂行办法》（新财预〔2018〕189号）；</w:t>
      </w:r>
    </w:p>
    <w:p w14:paraId="7795C947">
      <w:pPr>
        <w:pStyle w:val="4"/>
        <w:ind w:firstLine="562"/>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（5）《关于进一步厉行节约习惯过紧日子的若干举措》（六办发〔2024〕3号）；</w:t>
      </w:r>
    </w:p>
    <w:p w14:paraId="0928446B">
      <w:pPr>
        <w:pStyle w:val="4"/>
        <w:ind w:firstLine="562"/>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（6）自治区党报党刊发行工作会议精神；</w:t>
      </w:r>
    </w:p>
    <w:p w14:paraId="0E923296">
      <w:pPr>
        <w:pStyle w:val="4"/>
        <w:ind w:firstLine="562"/>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（7）《呼图壁县2025年〈政府工作报告〉责任分解方案》；</w:t>
      </w:r>
    </w:p>
    <w:p w14:paraId="38EB99B8">
      <w:pPr>
        <w:pStyle w:val="4"/>
        <w:ind w:firstLine="562"/>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（8）《中国共产党宣传工作条例》和新疆党委关于“党建引领基层治理”的部署（如“1+8”工作体系）。</w:t>
      </w:r>
    </w:p>
    <w:p w14:paraId="3BA61069">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（二）绩效评价原则、评价指标体系</w:t>
      </w:r>
    </w:p>
    <w:p w14:paraId="6B22400C">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1.绩效评价原则</w:t>
      </w:r>
    </w:p>
    <w:p w14:paraId="05E05B11">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依据《中华人民共和国预算法》《中共中央国务院关于全面实施预算绩效管理的意见》（中发〔2018〕34号）、《项目支出绩效评价管理办法》（财预〔2020〕10号）等要求，本次绩效评价秉承科学规范、公正公开、分级分类、绩效相关等原则，按照从投入、过程到产出效果和影响的绩效逻辑路径，通过绩效评价反思项目实施和管理中的问题，总结经验和教训，为提升财政资金使用效益，提供可行性参考建议。绩效评价应遵循如下原则：</w:t>
      </w:r>
    </w:p>
    <w:p w14:paraId="74E0DF93">
      <w:pPr>
        <w:ind w:firstLine="560"/>
        <w:rPr>
          <w:rStyle w:val="16"/>
          <w:rFonts w:hint="eastAsia" w:ascii="楷体" w:hAnsi="楷体" w:eastAsia="楷体" w:cs="Times New Roman"/>
          <w:b w:val="0"/>
          <w:bCs w:val="0"/>
          <w:spacing w:val="-4"/>
          <w:kern w:val="2"/>
          <w:sz w:val="32"/>
          <w:szCs w:val="32"/>
          <w:lang w:val="en-US" w:eastAsia="zh-CN" w:bidi="ar-SA"/>
        </w:rPr>
      </w:pPr>
      <w:bookmarkStart w:id="8" w:name="_Toc419984722"/>
      <w:bookmarkStart w:id="9" w:name="_Toc26131"/>
      <w:bookmarkStart w:id="10" w:name="_Toc428278230"/>
      <w:bookmarkStart w:id="11" w:name="_Toc1913"/>
      <w:r>
        <w:rPr>
          <w:rStyle w:val="16"/>
          <w:rFonts w:hint="eastAsia" w:ascii="楷体" w:hAnsi="楷体" w:eastAsia="楷体" w:cs="Times New Roman"/>
          <w:b w:val="0"/>
          <w:bCs w:val="0"/>
          <w:spacing w:val="-4"/>
          <w:kern w:val="2"/>
          <w:sz w:val="32"/>
          <w:szCs w:val="32"/>
          <w:lang w:val="en-US" w:eastAsia="zh-CN" w:bidi="ar-SA"/>
        </w:rPr>
        <w:t>（1）科学公正。绩效评价应当运用科学合理的方法，按照规范的程序，对项目绩效进行客观、公正的反映。</w:t>
      </w:r>
    </w:p>
    <w:p w14:paraId="5719328B">
      <w:pPr>
        <w:snapToGrid w:val="0"/>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统筹兼顾。单位自评、部门评价和财政评价应职责明确，各有侧重，相互衔接。单位自评应由项目单位自主实施，即“谁支出、谁自评”。部门评价和财政评价应在单位自评的基础上开展，必要时可委托第三方机构实施。</w:t>
      </w:r>
    </w:p>
    <w:p w14:paraId="783F7289">
      <w:pPr>
        <w:snapToGrid w:val="0"/>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（3）激励约束。绩效评价结果应与预算安排、政策调整、改进管理实质性挂钩，体现奖优罚劣和激励相容导向，有效要安排、低效要压减、无效要问责。</w:t>
      </w:r>
    </w:p>
    <w:p w14:paraId="14689E22">
      <w:pPr>
        <w:snapToGrid w:val="0"/>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（4）公开透明。绩效评价结果应依法依规公开，并自觉接受社会监督。</w:t>
      </w:r>
    </w:p>
    <w:p w14:paraId="4B904C97">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2.绩效评价指标体系</w:t>
      </w:r>
      <w:bookmarkEnd w:id="8"/>
      <w:bookmarkEnd w:id="9"/>
      <w:bookmarkEnd w:id="10"/>
      <w:bookmarkEnd w:id="11"/>
    </w:p>
    <w:p w14:paraId="2E43185C">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default" w:ascii="Times New Roman" w:hAnsi="Times New Roman" w:eastAsia="方正仿宋_GBK" w:cs="Times New Roman"/>
          <w:color w:val="auto"/>
          <w:sz w:val="32"/>
          <w:szCs w:val="32"/>
        </w:rPr>
      </w:pPr>
      <w:r>
        <w:rPr>
          <w:rStyle w:val="16"/>
          <w:rFonts w:hint="default" w:ascii="楷体" w:hAnsi="楷体" w:eastAsia="楷体" w:cs="Times New Roman"/>
          <w:b w:val="0"/>
          <w:bCs w:val="0"/>
          <w:spacing w:val="-4"/>
          <w:kern w:val="2"/>
          <w:sz w:val="32"/>
          <w:szCs w:val="32"/>
          <w:lang w:val="en-US" w:eastAsia="zh-CN" w:bidi="ar-SA"/>
        </w:rPr>
        <w:t>我单位通过实施资料研读及前期调研，结合项目的实际开展情况，按照《项目支出绩效评价管理办法》（财预〔2020〕10号）文件要求，全面反映项目决策、项目和资金管理、产出和效益，优先选取最具代表性、最能直接反映产出和效益的核心指标，精简实用，绩效评价小组结合项目的实际情况，综合考虑相关性、重要性、可衡量性、可操作性和可实现性，按照逻辑分析法设计本次绩效评价指标体系，绩效评价指标的权重设计突出结果导向，设置指标体系结构如下：设置一级指标共5个，包括：决策指标（21.0%）、过程指标（19.0%）、产出</w:t>
      </w:r>
      <w:r>
        <w:rPr>
          <w:rStyle w:val="16"/>
          <w:rFonts w:hint="eastAsia" w:ascii="楷体" w:hAnsi="楷体" w:eastAsia="楷体" w:cs="Times New Roman"/>
          <w:b w:val="0"/>
          <w:bCs w:val="0"/>
          <w:spacing w:val="-4"/>
          <w:kern w:val="2"/>
          <w:sz w:val="32"/>
          <w:szCs w:val="32"/>
          <w:lang w:val="en-US" w:eastAsia="zh-CN" w:bidi="ar-SA"/>
        </w:rPr>
        <w:t>指标</w:t>
      </w:r>
      <w:r>
        <w:rPr>
          <w:rStyle w:val="16"/>
          <w:rFonts w:hint="default" w:ascii="楷体" w:hAnsi="楷体" w:eastAsia="楷体" w:cs="Times New Roman"/>
          <w:b w:val="0"/>
          <w:bCs w:val="0"/>
          <w:spacing w:val="-4"/>
          <w:kern w:val="2"/>
          <w:sz w:val="32"/>
          <w:szCs w:val="32"/>
          <w:lang w:val="en-US" w:eastAsia="zh-CN" w:bidi="ar-SA"/>
        </w:rPr>
        <w:t>（20.0%）、成本指标（10.0%）、效益指标（30.0%）五类指标；二级和三级指标根据各项指标在评价体系中的重要程度确定，考虑项目实施和管理对项目绩效的影响等因素赋予相应的权重分值。绩效评价小组围绕项目总体绩效目标，将梳理后的年度绩效目标细化分解为个性化产出和效益指标，与共性指标共同构成该项目绩效评价指标体系详见“附件1：项目支出绩效评价绩效评价体系”。</w:t>
      </w:r>
    </w:p>
    <w:p w14:paraId="0C171F5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3.评价方法</w:t>
      </w:r>
    </w:p>
    <w:p w14:paraId="16AD745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正确的评价方法是评价工作顺利开展的保障，在结合实际经验的情况下，绩效评价小组根据该项目资金的性质和特点，选用成本效益分析法、标杆对比法以及社会投资回报率法对项目进行评价，旨在通过综合分析影响绩效目标实现、实施效果的内外部因素，从而评价本项目绩效。三级指标分析环节：成本效益分析法、标杆对比法以及社会投资回报率法。</w:t>
      </w:r>
    </w:p>
    <w:p w14:paraId="268F7309">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成本效益分析法：通过比较项目的总成本与总收益，评估奖励金拨付的经济合理性，判断投入是否产生足够的正向回报。</w:t>
      </w:r>
    </w:p>
    <w:p w14:paraId="1118C43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标杆对比法：将受奖励企业的绩效与行业标杆或未受奖励同类企业对比，分析奖励金的实际激励作用。</w:t>
      </w:r>
    </w:p>
    <w:p w14:paraId="30A0DF6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社会投资回报率法：量化奖励金项目的社会价值，如就业率提升、环境改善等，衡量其非经济性公共效益</w:t>
      </w:r>
      <w:r>
        <w:rPr>
          <w:rStyle w:val="16"/>
          <w:rFonts w:hint="default" w:ascii="楷体" w:hAnsi="楷体" w:eastAsia="楷体" w:cs="Times New Roman"/>
          <w:b w:val="0"/>
          <w:bCs w:val="0"/>
          <w:spacing w:val="-4"/>
          <w:kern w:val="2"/>
          <w:sz w:val="32"/>
          <w:szCs w:val="32"/>
          <w:lang w:val="en-US" w:eastAsia="zh-CN" w:bidi="ar-SA"/>
        </w:rPr>
        <w:t>。</w:t>
      </w:r>
    </w:p>
    <w:p w14:paraId="26E42568">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4.评价标准</w:t>
      </w:r>
    </w:p>
    <w:p w14:paraId="0B7A338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14:paraId="57382C39">
      <w:pPr>
        <w:pStyle w:val="3"/>
        <w:ind w:firstLine="643"/>
        <w:rPr>
          <w:color w:val="auto"/>
        </w:rPr>
      </w:pPr>
      <w:r>
        <w:rPr>
          <w:rFonts w:hint="eastAsia"/>
          <w:color w:val="auto"/>
        </w:rPr>
        <w:t>（三）绩效评价工作过程</w:t>
      </w:r>
    </w:p>
    <w:p w14:paraId="263B9148">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1.前期准备</w:t>
      </w:r>
    </w:p>
    <w:p w14:paraId="5C9CFDAE">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p>
    <w:p w14:paraId="0111A76C">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摆新海（评价小组组长）：主要负责项目策划和监督，全面负责项目绩效评价办稿的最终质量，对评估人员出具的最终报告质量进行复核，确保评估结果的客观性；</w:t>
      </w:r>
    </w:p>
    <w:p w14:paraId="5F7F5E06">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王俊伟（评价小组组员）：主要负责资料的收集，取证、数据统计分析；</w:t>
      </w:r>
    </w:p>
    <w:p w14:paraId="4FBF0E8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罗振兴（评价小组组员）：主要负责主要负责项目报告的制定，指标的研判，数据分析及报告撰写。</w:t>
      </w:r>
    </w:p>
    <w:p w14:paraId="1ECC9B9A">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2.组织实施</w:t>
      </w:r>
    </w:p>
    <w:p w14:paraId="633E9C6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2025年</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月</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日-</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月</w:t>
      </w:r>
      <w:r>
        <w:rPr>
          <w:rStyle w:val="16"/>
          <w:rFonts w:hint="eastAsia" w:ascii="楷体" w:hAnsi="楷体" w:eastAsia="楷体" w:cs="Times New Roman"/>
          <w:b w:val="0"/>
          <w:bCs w:val="0"/>
          <w:spacing w:val="-4"/>
          <w:kern w:val="2"/>
          <w:sz w:val="32"/>
          <w:szCs w:val="32"/>
          <w:lang w:val="en-US" w:eastAsia="zh-CN" w:bidi="ar-SA"/>
        </w:rPr>
        <w:t>10</w:t>
      </w:r>
      <w:r>
        <w:rPr>
          <w:rStyle w:val="16"/>
          <w:rFonts w:hint="default" w:ascii="楷体" w:hAnsi="楷体" w:eastAsia="楷体" w:cs="Times New Roman"/>
          <w:b w:val="0"/>
          <w:bCs w:val="0"/>
          <w:spacing w:val="-4"/>
          <w:kern w:val="2"/>
          <w:sz w:val="32"/>
          <w:szCs w:val="32"/>
          <w:lang w:val="en-US" w:eastAsia="zh-CN" w:bidi="ar-SA"/>
        </w:rPr>
        <w:t>日，评价工作进入实施阶段。</w:t>
      </w:r>
    </w:p>
    <w:p w14:paraId="4DFE90D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在数据采集方面，评价小组项目负责人、财务人员进行访谈沟通，全面了解项目实施的目的、预算安排、实施内容、组织管理、实施结果等方面的内容；全面收集项目决策过程、资金使用管理、制度建设与执行情况、</w:t>
      </w:r>
    </w:p>
    <w:p w14:paraId="64EE7AD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质量管理、项目建设及验收等相关资料，完成绩效评价内容所需的印证资料整理，所有数据经核查后统计汇总。</w:t>
      </w:r>
    </w:p>
    <w:p w14:paraId="627E6AD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经调研了解，该项目主要受益群体包括基层单位。我们根据绩效评价目标和绩效指标体系，设计满意度调查问卷进行问卷调查，其中</w:t>
      </w:r>
      <w:r>
        <w:rPr>
          <w:rStyle w:val="16"/>
          <w:rFonts w:hint="eastAsia" w:ascii="楷体" w:hAnsi="楷体" w:eastAsia="楷体" w:cs="Times New Roman"/>
          <w:b w:val="0"/>
          <w:bCs w:val="0"/>
          <w:spacing w:val="-4"/>
          <w:kern w:val="2"/>
          <w:sz w:val="32"/>
          <w:szCs w:val="32"/>
          <w:lang w:val="en-US" w:eastAsia="zh-CN" w:bidi="ar-SA"/>
        </w:rPr>
        <w:t>基层单位</w:t>
      </w:r>
      <w:r>
        <w:rPr>
          <w:rStyle w:val="16"/>
          <w:rFonts w:hint="default" w:ascii="楷体" w:hAnsi="楷体" w:eastAsia="楷体" w:cs="Times New Roman"/>
          <w:b w:val="0"/>
          <w:bCs w:val="0"/>
          <w:spacing w:val="-4"/>
          <w:kern w:val="2"/>
          <w:sz w:val="32"/>
          <w:szCs w:val="32"/>
          <w:lang w:val="en-US" w:eastAsia="zh-CN" w:bidi="ar-SA"/>
        </w:rPr>
        <w:t>受益对象共选取样本</w:t>
      </w:r>
      <w:r>
        <w:rPr>
          <w:rStyle w:val="16"/>
          <w:rFonts w:hint="eastAsia" w:ascii="楷体" w:hAnsi="楷体" w:eastAsia="楷体" w:cs="Times New Roman"/>
          <w:b w:val="0"/>
          <w:bCs w:val="0"/>
          <w:spacing w:val="-4"/>
          <w:kern w:val="2"/>
          <w:sz w:val="32"/>
          <w:szCs w:val="32"/>
          <w:lang w:val="en-US" w:eastAsia="zh-CN" w:bidi="ar-SA"/>
        </w:rPr>
        <w:t>34</w:t>
      </w:r>
      <w:r>
        <w:rPr>
          <w:rStyle w:val="16"/>
          <w:rFonts w:hint="default" w:ascii="楷体" w:hAnsi="楷体" w:eastAsia="楷体" w:cs="Times New Roman"/>
          <w:b w:val="0"/>
          <w:bCs w:val="0"/>
          <w:spacing w:val="-4"/>
          <w:kern w:val="2"/>
          <w:sz w:val="32"/>
          <w:szCs w:val="32"/>
          <w:lang w:val="en-US" w:eastAsia="zh-CN" w:bidi="ar-SA"/>
        </w:rPr>
        <w:t>人，共发放问卷</w:t>
      </w:r>
      <w:r>
        <w:rPr>
          <w:rStyle w:val="16"/>
          <w:rFonts w:hint="eastAsia" w:ascii="楷体" w:hAnsi="楷体" w:eastAsia="楷体" w:cs="Times New Roman"/>
          <w:b w:val="0"/>
          <w:bCs w:val="0"/>
          <w:spacing w:val="-4"/>
          <w:kern w:val="2"/>
          <w:sz w:val="32"/>
          <w:szCs w:val="32"/>
          <w:lang w:val="en-US" w:eastAsia="zh-CN" w:bidi="ar-SA"/>
        </w:rPr>
        <w:t>34</w:t>
      </w:r>
      <w:r>
        <w:rPr>
          <w:rStyle w:val="16"/>
          <w:rFonts w:hint="default" w:ascii="楷体" w:hAnsi="楷体" w:eastAsia="楷体" w:cs="Times New Roman"/>
          <w:b w:val="0"/>
          <w:bCs w:val="0"/>
          <w:spacing w:val="-4"/>
          <w:kern w:val="2"/>
          <w:sz w:val="32"/>
          <w:szCs w:val="32"/>
          <w:lang w:val="en-US" w:eastAsia="zh-CN" w:bidi="ar-SA"/>
        </w:rPr>
        <w:t>份，最终收回</w:t>
      </w:r>
      <w:r>
        <w:rPr>
          <w:rStyle w:val="16"/>
          <w:rFonts w:hint="eastAsia" w:ascii="楷体" w:hAnsi="楷体" w:eastAsia="楷体" w:cs="Times New Roman"/>
          <w:b w:val="0"/>
          <w:bCs w:val="0"/>
          <w:spacing w:val="-4"/>
          <w:kern w:val="2"/>
          <w:sz w:val="32"/>
          <w:szCs w:val="32"/>
          <w:lang w:val="en-US" w:eastAsia="zh-CN" w:bidi="ar-SA"/>
        </w:rPr>
        <w:t>34</w:t>
      </w:r>
      <w:r>
        <w:rPr>
          <w:rStyle w:val="16"/>
          <w:rFonts w:hint="default" w:ascii="楷体" w:hAnsi="楷体" w:eastAsia="楷体" w:cs="Times New Roman"/>
          <w:b w:val="0"/>
          <w:bCs w:val="0"/>
          <w:spacing w:val="-4"/>
          <w:kern w:val="2"/>
          <w:sz w:val="32"/>
          <w:szCs w:val="32"/>
          <w:lang w:val="en-US" w:eastAsia="zh-CN" w:bidi="ar-SA"/>
        </w:rPr>
        <w:t>份。</w:t>
      </w:r>
    </w:p>
    <w:p w14:paraId="0EC2D05C">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3.分析评价</w:t>
      </w:r>
    </w:p>
    <w:p w14:paraId="651AA686">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2025年</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月1</w:t>
      </w:r>
      <w:r>
        <w:rPr>
          <w:rStyle w:val="16"/>
          <w:rFonts w:hint="eastAsia" w:ascii="楷体" w:hAnsi="楷体" w:eastAsia="楷体" w:cs="Times New Roman"/>
          <w:b w:val="0"/>
          <w:bCs w:val="0"/>
          <w:spacing w:val="-4"/>
          <w:kern w:val="2"/>
          <w:sz w:val="32"/>
          <w:szCs w:val="32"/>
          <w:lang w:val="en-US" w:eastAsia="zh-CN" w:bidi="ar-SA"/>
        </w:rPr>
        <w:t>1</w:t>
      </w:r>
      <w:r>
        <w:rPr>
          <w:rStyle w:val="16"/>
          <w:rFonts w:hint="default" w:ascii="楷体" w:hAnsi="楷体" w:eastAsia="楷体" w:cs="Times New Roman"/>
          <w:b w:val="0"/>
          <w:bCs w:val="0"/>
          <w:spacing w:val="-4"/>
          <w:kern w:val="2"/>
          <w:sz w:val="32"/>
          <w:szCs w:val="32"/>
          <w:lang w:val="en-US" w:eastAsia="zh-CN" w:bidi="ar-SA"/>
        </w:rPr>
        <w:t>日-</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月</w:t>
      </w:r>
      <w:r>
        <w:rPr>
          <w:rStyle w:val="16"/>
          <w:rFonts w:hint="eastAsia" w:ascii="楷体" w:hAnsi="楷体" w:eastAsia="楷体" w:cs="Times New Roman"/>
          <w:b w:val="0"/>
          <w:bCs w:val="0"/>
          <w:spacing w:val="-4"/>
          <w:kern w:val="2"/>
          <w:sz w:val="32"/>
          <w:szCs w:val="32"/>
          <w:lang w:val="en-US" w:eastAsia="zh-CN" w:bidi="ar-SA"/>
        </w:rPr>
        <w:t>20</w:t>
      </w:r>
      <w:r>
        <w:rPr>
          <w:rStyle w:val="16"/>
          <w:rFonts w:hint="default" w:ascii="楷体" w:hAnsi="楷体" w:eastAsia="楷体" w:cs="Times New Roman"/>
          <w:b w:val="0"/>
          <w:bCs w:val="0"/>
          <w:spacing w:val="-4"/>
          <w:kern w:val="2"/>
          <w:sz w:val="32"/>
          <w:szCs w:val="32"/>
          <w:lang w:val="en-US" w:eastAsia="zh-CN" w:bidi="ar-SA"/>
        </w:rPr>
        <w:t>日</w:t>
      </w:r>
      <w:r>
        <w:rPr>
          <w:rStyle w:val="16"/>
          <w:rFonts w:hint="eastAsia" w:ascii="楷体" w:hAnsi="楷体" w:eastAsia="楷体" w:cs="Times New Roman"/>
          <w:b w:val="0"/>
          <w:bCs w:val="0"/>
          <w:spacing w:val="-4"/>
          <w:kern w:val="2"/>
          <w:sz w:val="32"/>
          <w:szCs w:val="32"/>
          <w:lang w:val="en-US" w:eastAsia="zh-CN" w:bidi="ar-SA"/>
        </w:rPr>
        <w:t>，评价小组按照绩效评价的原则和规范，对取得的资料进行审查核实，对采集的数据进行分析，按照绩效评价指标评分表逐项进行打分、分析、汇总各方评价结果。　</w:t>
      </w:r>
    </w:p>
    <w:p w14:paraId="7B30DA02">
      <w:pPr>
        <w:pStyle w:val="6"/>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4.撰写与提交评价报告</w:t>
      </w:r>
    </w:p>
    <w:p w14:paraId="1F29C8CF">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2025年</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月</w:t>
      </w:r>
      <w:r>
        <w:rPr>
          <w:rStyle w:val="16"/>
          <w:rFonts w:hint="eastAsia" w:ascii="楷体" w:hAnsi="楷体" w:eastAsia="楷体" w:cs="Times New Roman"/>
          <w:b w:val="0"/>
          <w:bCs w:val="0"/>
          <w:spacing w:val="-4"/>
          <w:kern w:val="2"/>
          <w:sz w:val="32"/>
          <w:szCs w:val="32"/>
          <w:lang w:val="en-US" w:eastAsia="zh-CN" w:bidi="ar-SA"/>
        </w:rPr>
        <w:t>20</w:t>
      </w:r>
      <w:r>
        <w:rPr>
          <w:rStyle w:val="16"/>
          <w:rFonts w:hint="default" w:ascii="楷体" w:hAnsi="楷体" w:eastAsia="楷体" w:cs="Times New Roman"/>
          <w:b w:val="0"/>
          <w:bCs w:val="0"/>
          <w:spacing w:val="-4"/>
          <w:kern w:val="2"/>
          <w:sz w:val="32"/>
          <w:szCs w:val="32"/>
          <w:lang w:val="en-US" w:eastAsia="zh-CN" w:bidi="ar-SA"/>
        </w:rPr>
        <w:t>日-</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月</w:t>
      </w:r>
      <w:r>
        <w:rPr>
          <w:rStyle w:val="16"/>
          <w:rFonts w:hint="eastAsia" w:ascii="楷体" w:hAnsi="楷体" w:eastAsia="楷体" w:cs="Times New Roman"/>
          <w:b w:val="0"/>
          <w:bCs w:val="0"/>
          <w:spacing w:val="-4"/>
          <w:kern w:val="2"/>
          <w:sz w:val="32"/>
          <w:szCs w:val="32"/>
          <w:lang w:val="en-US" w:eastAsia="zh-CN" w:bidi="ar-SA"/>
        </w:rPr>
        <w:t>25</w:t>
      </w:r>
      <w:r>
        <w:rPr>
          <w:rStyle w:val="16"/>
          <w:rFonts w:hint="default" w:ascii="楷体" w:hAnsi="楷体" w:eastAsia="楷体" w:cs="Times New Roman"/>
          <w:b w:val="0"/>
          <w:bCs w:val="0"/>
          <w:spacing w:val="-4"/>
          <w:kern w:val="2"/>
          <w:sz w:val="32"/>
          <w:szCs w:val="32"/>
          <w:lang w:val="en-US" w:eastAsia="zh-CN" w:bidi="ar-SA"/>
        </w:rPr>
        <w:t>日</w:t>
      </w:r>
      <w:r>
        <w:rPr>
          <w:rStyle w:val="16"/>
          <w:rFonts w:hint="eastAsia" w:ascii="楷体" w:hAnsi="楷体" w:eastAsia="楷体" w:cs="Times New Roman"/>
          <w:b w:val="0"/>
          <w:bCs w:val="0"/>
          <w:spacing w:val="-4"/>
          <w:kern w:val="2"/>
          <w:sz w:val="32"/>
          <w:szCs w:val="32"/>
          <w:lang w:val="en-US" w:eastAsia="zh-CN" w:bidi="ar-SA"/>
        </w:rPr>
        <w:t>，评价小组撰写绩效评价报告，按照新疆维吾尔自治区财政绩效管理信息系统绩效评价模块中统一格式和文本框架撰写绩效评价报告并提交审核。</w:t>
      </w:r>
    </w:p>
    <w:p w14:paraId="494DBE42">
      <w:pPr>
        <w:pStyle w:val="6"/>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5.问题整改</w:t>
      </w:r>
    </w:p>
    <w:p w14:paraId="65A5D784">
      <w:pPr>
        <w:ind w:firstLine="56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经审核通过后，由评价小组将报告推送至项目实施人员，由项目实施人员根据报告评价结论、存在的问题以及改进建议落实问题整改，并形成整改报告，由评价小组负责监督和核查整改落实情况，确保绩效评价落到实处。</w:t>
      </w:r>
    </w:p>
    <w:p w14:paraId="423FEA01">
      <w:pPr>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6.档案整理</w:t>
      </w:r>
    </w:p>
    <w:p w14:paraId="00FD9012">
      <w:pPr>
        <w:ind w:firstLine="560"/>
        <w:rPr>
          <w:rFonts w:hint="eastAsia"/>
          <w:color w:val="auto"/>
        </w:rPr>
      </w:pPr>
      <w:r>
        <w:rPr>
          <w:rStyle w:val="16"/>
          <w:rFonts w:hint="eastAsia" w:ascii="楷体" w:hAnsi="楷体" w:eastAsia="楷体" w:cs="Times New Roman"/>
          <w:b w:val="0"/>
          <w:bCs w:val="0"/>
          <w:spacing w:val="-4"/>
          <w:kern w:val="2"/>
          <w:sz w:val="32"/>
          <w:szCs w:val="32"/>
          <w:lang w:val="en-US" w:eastAsia="zh-CN" w:bidi="ar-SA"/>
        </w:rPr>
        <w:t>建立和落实档案管理制度，将项目相关资料存档，包括但不限于：评价项目基本情况和相关文件、评价实施方案、项目支付资料等相关档案。</w:t>
      </w:r>
    </w:p>
    <w:p w14:paraId="5562D131">
      <w:pPr>
        <w:spacing w:line="540" w:lineRule="exact"/>
        <w:ind w:firstLine="640" w:firstLineChars="0"/>
        <w:rPr>
          <w:rStyle w:val="16"/>
          <w:rFonts w:hint="eastAsia" w:ascii="黑体" w:hAnsi="黑体" w:eastAsia="黑体" w:cs="Times New Roman"/>
          <w:b w:val="0"/>
          <w:spacing w:val="-4"/>
          <w:sz w:val="32"/>
          <w:szCs w:val="32"/>
        </w:rPr>
      </w:pPr>
      <w:r>
        <w:rPr>
          <w:rStyle w:val="16"/>
          <w:rFonts w:hint="eastAsia" w:ascii="黑体" w:hAnsi="黑体" w:eastAsia="黑体"/>
          <w:b w:val="0"/>
          <w:spacing w:val="-4"/>
          <w:sz w:val="32"/>
          <w:szCs w:val="32"/>
        </w:rPr>
        <w:t>三、</w:t>
      </w:r>
      <w:r>
        <w:rPr>
          <w:rStyle w:val="16"/>
          <w:rFonts w:hint="eastAsia" w:ascii="黑体" w:hAnsi="黑体" w:eastAsia="黑体" w:cs="Times New Roman"/>
          <w:b w:val="0"/>
          <w:spacing w:val="-4"/>
          <w:sz w:val="32"/>
          <w:szCs w:val="32"/>
        </w:rPr>
        <w:t>综合评价情况及评价结论</w:t>
      </w:r>
    </w:p>
    <w:p w14:paraId="4CDE0F02">
      <w:pPr>
        <w:pStyle w:val="3"/>
        <w:ind w:firstLine="643"/>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（一）综合评价情况</w:t>
      </w:r>
    </w:p>
    <w:p w14:paraId="51DBB659">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经评价，本项目达成年初设立的绩效目标，在实施过程中取得了良好的成效，具体表现在：通过项目的实施，</w:t>
      </w:r>
      <w:r>
        <w:rPr>
          <w:rStyle w:val="16"/>
          <w:rFonts w:hint="eastAsia" w:ascii="楷体" w:hAnsi="楷体" w:eastAsia="楷体" w:cs="Times New Roman"/>
          <w:b w:val="0"/>
          <w:bCs w:val="0"/>
          <w:spacing w:val="-4"/>
          <w:kern w:val="2"/>
          <w:sz w:val="32"/>
          <w:szCs w:val="32"/>
          <w:lang w:val="en-US" w:eastAsia="zh-CN" w:bidi="ar-SA"/>
        </w:rPr>
        <w:t>党员政治素质稳步提升</w:t>
      </w: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购买党报党刊</w:t>
      </w:r>
      <w:r>
        <w:rPr>
          <w:rStyle w:val="16"/>
          <w:rFonts w:hint="default" w:ascii="楷体" w:hAnsi="楷体" w:eastAsia="楷体" w:cs="Times New Roman"/>
          <w:b w:val="0"/>
          <w:bCs w:val="0"/>
          <w:spacing w:val="-4"/>
          <w:kern w:val="2"/>
          <w:sz w:val="32"/>
          <w:szCs w:val="32"/>
          <w:lang w:val="en-US" w:eastAsia="zh-CN" w:bidi="ar-SA"/>
        </w:rPr>
        <w:t>及时率达</w:t>
      </w:r>
      <w:r>
        <w:rPr>
          <w:rStyle w:val="16"/>
          <w:rFonts w:hint="eastAsia" w:ascii="楷体" w:hAnsi="楷体" w:eastAsia="楷体" w:cs="Times New Roman"/>
          <w:b w:val="0"/>
          <w:bCs w:val="0"/>
          <w:spacing w:val="-4"/>
          <w:kern w:val="2"/>
          <w:sz w:val="32"/>
          <w:szCs w:val="32"/>
          <w:lang w:val="en-US" w:eastAsia="zh-CN" w:bidi="ar-SA"/>
        </w:rPr>
        <w:t>95</w:t>
      </w: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各单位</w:t>
      </w:r>
      <w:r>
        <w:rPr>
          <w:rStyle w:val="16"/>
          <w:rFonts w:hint="default" w:ascii="楷体" w:hAnsi="楷体" w:eastAsia="楷体" w:cs="Times New Roman"/>
          <w:b w:val="0"/>
          <w:bCs w:val="0"/>
          <w:spacing w:val="-4"/>
          <w:kern w:val="2"/>
          <w:sz w:val="32"/>
          <w:szCs w:val="32"/>
          <w:lang w:val="en-US" w:eastAsia="zh-CN" w:bidi="ar-SA"/>
        </w:rPr>
        <w:t>满意度达</w:t>
      </w:r>
      <w:r>
        <w:rPr>
          <w:rStyle w:val="16"/>
          <w:rFonts w:hint="eastAsia" w:ascii="楷体" w:hAnsi="楷体" w:eastAsia="楷体" w:cs="Times New Roman"/>
          <w:b w:val="0"/>
          <w:bCs w:val="0"/>
          <w:spacing w:val="-4"/>
          <w:kern w:val="2"/>
          <w:sz w:val="32"/>
          <w:szCs w:val="32"/>
          <w:lang w:val="en-US" w:eastAsia="zh-CN" w:bidi="ar-SA"/>
        </w:rPr>
        <w:t>100</w:t>
      </w:r>
      <w:r>
        <w:rPr>
          <w:rStyle w:val="16"/>
          <w:rFonts w:hint="default" w:ascii="楷体" w:hAnsi="楷体" w:eastAsia="楷体" w:cs="Times New Roman"/>
          <w:b w:val="0"/>
          <w:bCs w:val="0"/>
          <w:spacing w:val="-4"/>
          <w:kern w:val="2"/>
          <w:sz w:val="32"/>
          <w:szCs w:val="32"/>
          <w:lang w:val="en-US" w:eastAsia="zh-CN" w:bidi="ar-SA"/>
        </w:rPr>
        <w:t>%，有效巩固了意识形态阵地，提升了党员干部理论水平和群众政策知晓率。但在实施过程中也存在一些不足：</w:t>
      </w:r>
      <w:r>
        <w:rPr>
          <w:rStyle w:val="16"/>
          <w:rFonts w:hint="eastAsia" w:ascii="楷体" w:hAnsi="楷体" w:eastAsia="楷体" w:cs="Times New Roman"/>
          <w:b w:val="0"/>
          <w:bCs w:val="0"/>
          <w:spacing w:val="-4"/>
          <w:kern w:val="2"/>
          <w:sz w:val="32"/>
          <w:szCs w:val="32"/>
          <w:lang w:val="en-US" w:eastAsia="zh-CN" w:bidi="ar-SA"/>
        </w:rPr>
        <w:t>党报党刊</w:t>
      </w:r>
      <w:r>
        <w:rPr>
          <w:rStyle w:val="16"/>
          <w:rFonts w:hint="default" w:ascii="楷体" w:hAnsi="楷体" w:eastAsia="楷体" w:cs="Times New Roman"/>
          <w:b w:val="0"/>
          <w:bCs w:val="0"/>
          <w:spacing w:val="-4"/>
          <w:kern w:val="2"/>
          <w:sz w:val="32"/>
          <w:szCs w:val="32"/>
          <w:lang w:val="en-US" w:eastAsia="zh-CN" w:bidi="ar-SA"/>
        </w:rPr>
        <w:t>内容创新力度有待加强，跨部门协作机制需进一步完善。</w:t>
      </w:r>
    </w:p>
    <w:p w14:paraId="6B8F05A9">
      <w:pPr>
        <w:pStyle w:val="3"/>
        <w:ind w:left="560" w:leftChars="200" w:firstLine="0" w:firstLineChars="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（二）评价结论</w:t>
      </w:r>
    </w:p>
    <w:p w14:paraId="4090C52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此次绩效评价通过绩效评价小组论证的评价指标体系及评分标准，采用因素分析法和比较法对本项目绩效进行客观评价，本项目共设置三级指标数量</w:t>
      </w:r>
      <w:r>
        <w:rPr>
          <w:rStyle w:val="16"/>
          <w:rFonts w:hint="eastAsia" w:ascii="楷体" w:hAnsi="楷体" w:eastAsia="楷体" w:cs="Times New Roman"/>
          <w:b w:val="0"/>
          <w:bCs w:val="0"/>
          <w:spacing w:val="-4"/>
          <w:kern w:val="2"/>
          <w:sz w:val="32"/>
          <w:szCs w:val="32"/>
          <w:lang w:val="en-US" w:eastAsia="zh-CN" w:bidi="ar-SA"/>
        </w:rPr>
        <w:t>18</w:t>
      </w:r>
      <w:r>
        <w:rPr>
          <w:rStyle w:val="16"/>
          <w:rFonts w:hint="default" w:ascii="楷体" w:hAnsi="楷体" w:eastAsia="楷体" w:cs="Times New Roman"/>
          <w:b w:val="0"/>
          <w:bCs w:val="0"/>
          <w:spacing w:val="-4"/>
          <w:kern w:val="2"/>
          <w:sz w:val="32"/>
          <w:szCs w:val="32"/>
          <w:lang w:val="en-US" w:eastAsia="zh-CN" w:bidi="ar-SA"/>
        </w:rPr>
        <w:t>个，实现三级指标数量</w:t>
      </w:r>
      <w:r>
        <w:rPr>
          <w:rStyle w:val="16"/>
          <w:rFonts w:hint="eastAsia" w:ascii="楷体" w:hAnsi="楷体" w:eastAsia="楷体" w:cs="Times New Roman"/>
          <w:b w:val="0"/>
          <w:bCs w:val="0"/>
          <w:spacing w:val="-4"/>
          <w:kern w:val="2"/>
          <w:sz w:val="32"/>
          <w:szCs w:val="32"/>
          <w:lang w:val="en-US" w:eastAsia="zh-CN" w:bidi="ar-SA"/>
        </w:rPr>
        <w:t>18</w:t>
      </w:r>
      <w:r>
        <w:rPr>
          <w:rStyle w:val="16"/>
          <w:rFonts w:hint="default" w:ascii="楷体" w:hAnsi="楷体" w:eastAsia="楷体" w:cs="Times New Roman"/>
          <w:b w:val="0"/>
          <w:bCs w:val="0"/>
          <w:spacing w:val="-4"/>
          <w:kern w:val="2"/>
          <w:sz w:val="32"/>
          <w:szCs w:val="32"/>
          <w:lang w:val="en-US" w:eastAsia="zh-CN" w:bidi="ar-SA"/>
        </w:rPr>
        <w:t>个，总体完成率为</w:t>
      </w:r>
      <w:r>
        <w:rPr>
          <w:rStyle w:val="16"/>
          <w:rFonts w:hint="eastAsia" w:ascii="楷体" w:hAnsi="楷体" w:eastAsia="楷体" w:cs="Times New Roman"/>
          <w:b w:val="0"/>
          <w:bCs w:val="0"/>
          <w:spacing w:val="-4"/>
          <w:kern w:val="2"/>
          <w:sz w:val="32"/>
          <w:szCs w:val="32"/>
          <w:lang w:val="en-US" w:eastAsia="zh-CN" w:bidi="ar-SA"/>
        </w:rPr>
        <w:t>100.00</w:t>
      </w:r>
      <w:r>
        <w:rPr>
          <w:rStyle w:val="16"/>
          <w:rFonts w:hint="default" w:ascii="楷体" w:hAnsi="楷体" w:eastAsia="楷体" w:cs="Times New Roman"/>
          <w:b w:val="0"/>
          <w:bCs w:val="0"/>
          <w:spacing w:val="-4"/>
          <w:kern w:val="2"/>
          <w:sz w:val="32"/>
          <w:szCs w:val="32"/>
          <w:lang w:val="en-US" w:eastAsia="zh-CN" w:bidi="ar-SA"/>
        </w:rPr>
        <w:t>%。最终评分结果：总分为</w:t>
      </w:r>
      <w:r>
        <w:rPr>
          <w:rStyle w:val="16"/>
          <w:rFonts w:hint="eastAsia" w:ascii="楷体" w:hAnsi="楷体" w:eastAsia="楷体" w:cs="Times New Roman"/>
          <w:b w:val="0"/>
          <w:bCs w:val="0"/>
          <w:spacing w:val="-4"/>
          <w:kern w:val="2"/>
          <w:sz w:val="32"/>
          <w:szCs w:val="32"/>
          <w:lang w:val="en-US" w:eastAsia="zh-CN" w:bidi="ar-SA"/>
        </w:rPr>
        <w:t>100</w:t>
      </w:r>
      <w:r>
        <w:rPr>
          <w:rStyle w:val="16"/>
          <w:rFonts w:hint="default" w:ascii="楷体" w:hAnsi="楷体" w:eastAsia="楷体" w:cs="Times New Roman"/>
          <w:b w:val="0"/>
          <w:bCs w:val="0"/>
          <w:spacing w:val="-4"/>
          <w:kern w:val="2"/>
          <w:sz w:val="32"/>
          <w:szCs w:val="32"/>
          <w:lang w:val="en-US" w:eastAsia="zh-CN" w:bidi="ar-SA"/>
        </w:rPr>
        <w:t>分，绩效评级为“</w:t>
      </w:r>
      <w:r>
        <w:rPr>
          <w:rStyle w:val="16"/>
          <w:rFonts w:hint="eastAsia" w:ascii="楷体" w:hAnsi="楷体" w:eastAsia="楷体" w:cs="Times New Roman"/>
          <w:b w:val="0"/>
          <w:bCs w:val="0"/>
          <w:spacing w:val="-4"/>
          <w:kern w:val="2"/>
          <w:sz w:val="32"/>
          <w:szCs w:val="32"/>
          <w:lang w:val="en-US" w:eastAsia="zh-CN" w:bidi="ar-SA"/>
        </w:rPr>
        <w:t>优</w:t>
      </w:r>
      <w:r>
        <w:rPr>
          <w:rStyle w:val="16"/>
          <w:rFonts w:hint="default" w:ascii="楷体" w:hAnsi="楷体" w:eastAsia="楷体" w:cs="Times New Roman"/>
          <w:b w:val="0"/>
          <w:bCs w:val="0"/>
          <w:spacing w:val="-4"/>
          <w:kern w:val="2"/>
          <w:sz w:val="32"/>
          <w:szCs w:val="32"/>
          <w:lang w:val="en-US" w:eastAsia="zh-CN" w:bidi="ar-SA"/>
        </w:rPr>
        <w:t>”。综合评价结论如下：</w:t>
      </w:r>
    </w:p>
    <w:p w14:paraId="7FE64AD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项目决策类指标共设置</w:t>
      </w:r>
      <w:r>
        <w:rPr>
          <w:rStyle w:val="16"/>
          <w:rFonts w:hint="eastAsia" w:ascii="楷体" w:hAnsi="楷体" w:eastAsia="楷体" w:cs="Times New Roman"/>
          <w:b w:val="0"/>
          <w:bCs w:val="0"/>
          <w:spacing w:val="-4"/>
          <w:kern w:val="2"/>
          <w:sz w:val="32"/>
          <w:szCs w:val="32"/>
          <w:lang w:val="en-US" w:eastAsia="zh-CN" w:bidi="ar-SA"/>
        </w:rPr>
        <w:t>6</w:t>
      </w:r>
      <w:r>
        <w:rPr>
          <w:rStyle w:val="16"/>
          <w:rFonts w:hint="default" w:ascii="楷体" w:hAnsi="楷体" w:eastAsia="楷体" w:cs="Times New Roman"/>
          <w:b w:val="0"/>
          <w:bCs w:val="0"/>
          <w:spacing w:val="-4"/>
          <w:kern w:val="2"/>
          <w:sz w:val="32"/>
          <w:szCs w:val="32"/>
          <w:lang w:val="en-US" w:eastAsia="zh-CN" w:bidi="ar-SA"/>
        </w:rPr>
        <w:t>个，满分指标</w:t>
      </w:r>
      <w:r>
        <w:rPr>
          <w:rStyle w:val="16"/>
          <w:rFonts w:hint="eastAsia" w:ascii="楷体" w:hAnsi="楷体" w:eastAsia="楷体" w:cs="Times New Roman"/>
          <w:b w:val="0"/>
          <w:bCs w:val="0"/>
          <w:spacing w:val="-4"/>
          <w:kern w:val="2"/>
          <w:sz w:val="32"/>
          <w:szCs w:val="32"/>
          <w:lang w:val="en-US" w:eastAsia="zh-CN" w:bidi="ar-SA"/>
        </w:rPr>
        <w:t>6</w:t>
      </w:r>
      <w:r>
        <w:rPr>
          <w:rStyle w:val="16"/>
          <w:rFonts w:hint="default" w:ascii="楷体" w:hAnsi="楷体" w:eastAsia="楷体" w:cs="Times New Roman"/>
          <w:b w:val="0"/>
          <w:bCs w:val="0"/>
          <w:spacing w:val="-4"/>
          <w:kern w:val="2"/>
          <w:sz w:val="32"/>
          <w:szCs w:val="32"/>
          <w:lang w:val="en-US" w:eastAsia="zh-CN" w:bidi="ar-SA"/>
        </w:rPr>
        <w:t>个，得分率</w:t>
      </w:r>
      <w:r>
        <w:rPr>
          <w:rStyle w:val="16"/>
          <w:rFonts w:hint="eastAsia" w:ascii="楷体" w:hAnsi="楷体" w:eastAsia="楷体" w:cs="Times New Roman"/>
          <w:b w:val="0"/>
          <w:bCs w:val="0"/>
          <w:spacing w:val="-4"/>
          <w:kern w:val="2"/>
          <w:sz w:val="32"/>
          <w:szCs w:val="32"/>
          <w:lang w:val="en-US" w:eastAsia="zh-CN" w:bidi="ar-SA"/>
        </w:rPr>
        <w:t>100.0%</w:t>
      </w:r>
      <w:r>
        <w:rPr>
          <w:rStyle w:val="16"/>
          <w:rFonts w:hint="default" w:ascii="楷体" w:hAnsi="楷体" w:eastAsia="楷体" w:cs="Times New Roman"/>
          <w:b w:val="0"/>
          <w:bCs w:val="0"/>
          <w:spacing w:val="-4"/>
          <w:kern w:val="2"/>
          <w:sz w:val="32"/>
          <w:szCs w:val="32"/>
          <w:lang w:val="en-US" w:eastAsia="zh-CN" w:bidi="ar-SA"/>
        </w:rPr>
        <w:t>；</w:t>
      </w:r>
    </w:p>
    <w:p w14:paraId="47D10F2C">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过程管理类指标共设置</w:t>
      </w:r>
      <w:r>
        <w:rPr>
          <w:rStyle w:val="16"/>
          <w:rFonts w:hint="eastAsia" w:ascii="楷体" w:hAnsi="楷体" w:eastAsia="楷体" w:cs="Times New Roman"/>
          <w:b w:val="0"/>
          <w:bCs w:val="0"/>
          <w:spacing w:val="-4"/>
          <w:kern w:val="2"/>
          <w:sz w:val="32"/>
          <w:szCs w:val="32"/>
          <w:lang w:val="en-US" w:eastAsia="zh-CN" w:bidi="ar-SA"/>
        </w:rPr>
        <w:t>5</w:t>
      </w:r>
      <w:r>
        <w:rPr>
          <w:rStyle w:val="16"/>
          <w:rFonts w:hint="default" w:ascii="楷体" w:hAnsi="楷体" w:eastAsia="楷体" w:cs="Times New Roman"/>
          <w:b w:val="0"/>
          <w:bCs w:val="0"/>
          <w:spacing w:val="-4"/>
          <w:kern w:val="2"/>
          <w:sz w:val="32"/>
          <w:szCs w:val="32"/>
          <w:lang w:val="en-US" w:eastAsia="zh-CN" w:bidi="ar-SA"/>
        </w:rPr>
        <w:t>个，满分指标</w:t>
      </w:r>
      <w:r>
        <w:rPr>
          <w:rStyle w:val="16"/>
          <w:rFonts w:hint="eastAsia" w:ascii="楷体" w:hAnsi="楷体" w:eastAsia="楷体" w:cs="Times New Roman"/>
          <w:b w:val="0"/>
          <w:bCs w:val="0"/>
          <w:spacing w:val="-4"/>
          <w:kern w:val="2"/>
          <w:sz w:val="32"/>
          <w:szCs w:val="32"/>
          <w:lang w:val="en-US" w:eastAsia="zh-CN" w:bidi="ar-SA"/>
        </w:rPr>
        <w:t>5</w:t>
      </w:r>
      <w:r>
        <w:rPr>
          <w:rStyle w:val="16"/>
          <w:rFonts w:hint="default" w:ascii="楷体" w:hAnsi="楷体" w:eastAsia="楷体" w:cs="Times New Roman"/>
          <w:b w:val="0"/>
          <w:bCs w:val="0"/>
          <w:spacing w:val="-4"/>
          <w:kern w:val="2"/>
          <w:sz w:val="32"/>
          <w:szCs w:val="32"/>
          <w:lang w:val="en-US" w:eastAsia="zh-CN" w:bidi="ar-SA"/>
        </w:rPr>
        <w:t>个，得分率</w:t>
      </w:r>
      <w:r>
        <w:rPr>
          <w:rStyle w:val="16"/>
          <w:rFonts w:hint="eastAsia" w:ascii="楷体" w:hAnsi="楷体" w:eastAsia="楷体" w:cs="Times New Roman"/>
          <w:b w:val="0"/>
          <w:bCs w:val="0"/>
          <w:spacing w:val="-4"/>
          <w:kern w:val="2"/>
          <w:sz w:val="32"/>
          <w:szCs w:val="32"/>
          <w:lang w:val="en-US" w:eastAsia="zh-CN" w:bidi="ar-SA"/>
        </w:rPr>
        <w:t>100.0%</w:t>
      </w:r>
      <w:r>
        <w:rPr>
          <w:rStyle w:val="16"/>
          <w:rFonts w:hint="default" w:ascii="楷体" w:hAnsi="楷体" w:eastAsia="楷体" w:cs="Times New Roman"/>
          <w:b w:val="0"/>
          <w:bCs w:val="0"/>
          <w:spacing w:val="-4"/>
          <w:kern w:val="2"/>
          <w:sz w:val="32"/>
          <w:szCs w:val="32"/>
          <w:lang w:val="en-US" w:eastAsia="zh-CN" w:bidi="ar-SA"/>
        </w:rPr>
        <w:t>；</w:t>
      </w:r>
    </w:p>
    <w:p w14:paraId="596FF685">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项目产出类指标共设置</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个，满分指标</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个，得分率</w:t>
      </w:r>
      <w:r>
        <w:rPr>
          <w:rStyle w:val="16"/>
          <w:rFonts w:hint="eastAsia" w:ascii="楷体" w:hAnsi="楷体" w:eastAsia="楷体" w:cs="Times New Roman"/>
          <w:b w:val="0"/>
          <w:bCs w:val="0"/>
          <w:spacing w:val="-4"/>
          <w:kern w:val="2"/>
          <w:sz w:val="32"/>
          <w:szCs w:val="32"/>
          <w:lang w:val="en-US" w:eastAsia="zh-CN" w:bidi="ar-SA"/>
        </w:rPr>
        <w:t>100.0</w:t>
      </w:r>
      <w:r>
        <w:rPr>
          <w:rStyle w:val="16"/>
          <w:rFonts w:hint="default" w:ascii="楷体" w:hAnsi="楷体" w:eastAsia="楷体" w:cs="Times New Roman"/>
          <w:b w:val="0"/>
          <w:bCs w:val="0"/>
          <w:spacing w:val="-4"/>
          <w:kern w:val="2"/>
          <w:sz w:val="32"/>
          <w:szCs w:val="32"/>
          <w:lang w:val="en-US" w:eastAsia="zh-CN" w:bidi="ar-SA"/>
        </w:rPr>
        <w:t>%；</w:t>
      </w:r>
    </w:p>
    <w:p w14:paraId="4379A02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项目成本类指标共设置</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个，满分指标</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个，得分率</w:t>
      </w:r>
      <w:r>
        <w:rPr>
          <w:rStyle w:val="16"/>
          <w:rFonts w:hint="eastAsia" w:ascii="楷体" w:hAnsi="楷体" w:eastAsia="楷体" w:cs="Times New Roman"/>
          <w:b w:val="0"/>
          <w:bCs w:val="0"/>
          <w:spacing w:val="-4"/>
          <w:kern w:val="2"/>
          <w:sz w:val="32"/>
          <w:szCs w:val="32"/>
          <w:lang w:val="en-US" w:eastAsia="zh-CN" w:bidi="ar-SA"/>
        </w:rPr>
        <w:t>100.0</w:t>
      </w:r>
      <w:r>
        <w:rPr>
          <w:rStyle w:val="16"/>
          <w:rFonts w:hint="default" w:ascii="楷体" w:hAnsi="楷体" w:eastAsia="楷体" w:cs="Times New Roman"/>
          <w:b w:val="0"/>
          <w:bCs w:val="0"/>
          <w:spacing w:val="-4"/>
          <w:kern w:val="2"/>
          <w:sz w:val="32"/>
          <w:szCs w:val="32"/>
          <w:lang w:val="en-US" w:eastAsia="zh-CN" w:bidi="ar-SA"/>
        </w:rPr>
        <w:t>%；</w:t>
      </w:r>
    </w:p>
    <w:p w14:paraId="6833C02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eastAsia" w:ascii="Times New Roman" w:hAnsi="Times New Roman" w:eastAsia="方正仿宋_GBK" w:cs="Times New Roman"/>
          <w:color w:val="auto"/>
          <w:sz w:val="32"/>
          <w:szCs w:val="32"/>
          <w:lang w:eastAsia="zh-CN"/>
        </w:rPr>
      </w:pPr>
      <w:r>
        <w:rPr>
          <w:rStyle w:val="16"/>
          <w:rFonts w:hint="default" w:ascii="楷体" w:hAnsi="楷体" w:eastAsia="楷体" w:cs="Times New Roman"/>
          <w:b w:val="0"/>
          <w:bCs w:val="0"/>
          <w:spacing w:val="-4"/>
          <w:kern w:val="2"/>
          <w:sz w:val="32"/>
          <w:szCs w:val="32"/>
          <w:lang w:val="en-US" w:eastAsia="zh-CN" w:bidi="ar-SA"/>
        </w:rPr>
        <w:t>项目效益类指标共设置</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个，满分指标</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个，得分率</w:t>
      </w:r>
      <w:r>
        <w:rPr>
          <w:rStyle w:val="16"/>
          <w:rFonts w:hint="eastAsia" w:ascii="楷体" w:hAnsi="楷体" w:eastAsia="楷体" w:cs="Times New Roman"/>
          <w:b w:val="0"/>
          <w:bCs w:val="0"/>
          <w:spacing w:val="-4"/>
          <w:kern w:val="2"/>
          <w:sz w:val="32"/>
          <w:szCs w:val="32"/>
          <w:lang w:val="en-US" w:eastAsia="zh-CN" w:bidi="ar-SA"/>
        </w:rPr>
        <w:t>100.0</w:t>
      </w: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w:t>
      </w:r>
    </w:p>
    <w:p w14:paraId="094DEE00">
      <w:pPr>
        <w:pStyle w:val="2"/>
        <w:numPr>
          <w:ilvl w:val="0"/>
          <w:numId w:val="0"/>
        </w:numPr>
        <w:ind w:firstLine="624" w:firstLineChars="200"/>
        <w:rPr>
          <w:color w:val="auto"/>
        </w:rPr>
      </w:pPr>
      <w:r>
        <w:rPr>
          <w:rStyle w:val="16"/>
          <w:rFonts w:hint="eastAsia" w:ascii="黑体" w:hAnsi="黑体" w:eastAsia="黑体"/>
          <w:b w:val="0"/>
          <w:spacing w:val="-4"/>
          <w:sz w:val="32"/>
          <w:szCs w:val="32"/>
        </w:rPr>
        <w:t>四、绩效评价指标分析</w:t>
      </w:r>
    </w:p>
    <w:p w14:paraId="4C7E8358">
      <w:pPr>
        <w:spacing w:line="540" w:lineRule="exact"/>
        <w:ind w:firstLine="567" w:firstLineChars="181"/>
        <w:rPr>
          <w:color w:val="auto"/>
        </w:rPr>
      </w:pPr>
      <w:r>
        <w:rPr>
          <w:rFonts w:hint="eastAsia" w:ascii="楷体" w:hAnsi="楷体" w:eastAsia="楷体" w:cs="Times New Roman"/>
          <w:b/>
          <w:spacing w:val="-4"/>
          <w:sz w:val="32"/>
          <w:szCs w:val="32"/>
        </w:rPr>
        <w:t>（一）项目决策情况</w:t>
      </w:r>
    </w:p>
    <w:p w14:paraId="167BD87B">
      <w:pPr>
        <w:tabs>
          <w:tab w:val="center" w:pos="4295"/>
        </w:tabs>
        <w:spacing w:line="540" w:lineRule="exact"/>
        <w:ind w:firstLine="567" w:firstLineChars="0"/>
        <w:rPr>
          <w:rStyle w:val="16"/>
          <w:rFonts w:hint="default"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项目决策类指标由3个二级指标和6个三级指标构成，权重分</w:t>
      </w:r>
      <w:r>
        <w:rPr>
          <w:rStyle w:val="16"/>
          <w:rFonts w:hint="default" w:ascii="楷体" w:hAnsi="楷体" w:eastAsia="楷体" w:cs="Times New Roman"/>
          <w:b w:val="0"/>
          <w:bCs w:val="0"/>
          <w:spacing w:val="-4"/>
          <w:sz w:val="32"/>
          <w:szCs w:val="32"/>
        </w:rPr>
        <w:t>21.00</w:t>
      </w:r>
      <w:r>
        <w:rPr>
          <w:rStyle w:val="16"/>
          <w:rFonts w:hint="eastAsia" w:ascii="楷体" w:hAnsi="楷体" w:eastAsia="楷体" w:cs="Times New Roman"/>
          <w:b w:val="0"/>
          <w:bCs w:val="0"/>
          <w:spacing w:val="-4"/>
          <w:sz w:val="32"/>
          <w:szCs w:val="32"/>
        </w:rPr>
        <w:t>分，实际得分21.00分。</w:t>
      </w:r>
    </w:p>
    <w:p w14:paraId="22487381">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1.项目立项情况分析</w:t>
      </w:r>
    </w:p>
    <w:p w14:paraId="209D4167">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rPr>
        <w:t>（1）</w:t>
      </w:r>
      <w:r>
        <w:rPr>
          <w:rStyle w:val="16"/>
          <w:rFonts w:hint="eastAsia" w:ascii="楷体" w:hAnsi="楷体" w:eastAsia="楷体" w:cs="Times New Roman"/>
          <w:b w:val="0"/>
          <w:bCs w:val="0"/>
          <w:spacing w:val="-4"/>
          <w:sz w:val="32"/>
          <w:szCs w:val="32"/>
          <w:lang w:eastAsia="zh-Hans"/>
        </w:rPr>
        <w:t>立项依据充分性</w:t>
      </w:r>
    </w:p>
    <w:p w14:paraId="7400A263">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rPr>
        <w:t>本项目立项符合中共中央颁发的《中国共产党宣传工作条例》（中发〔2019〕32号）中</w:t>
      </w:r>
      <w:r>
        <w:rPr>
          <w:rStyle w:val="16"/>
          <w:rFonts w:hint="eastAsia" w:ascii="楷体" w:hAnsi="楷体" w:eastAsia="楷体" w:cs="Times New Roman"/>
          <w:b w:val="0"/>
          <w:bCs w:val="0"/>
          <w:spacing w:val="-4"/>
          <w:sz w:val="32"/>
          <w:szCs w:val="32"/>
          <w:lang w:eastAsia="zh-CN"/>
        </w:rPr>
        <w:t>：</w:t>
      </w:r>
      <w:r>
        <w:rPr>
          <w:rStyle w:val="16"/>
          <w:rFonts w:hint="eastAsia" w:ascii="楷体" w:hAnsi="楷体" w:eastAsia="楷体" w:cs="Times New Roman"/>
          <w:b w:val="0"/>
          <w:bCs w:val="0"/>
          <w:spacing w:val="-4"/>
          <w:sz w:val="32"/>
          <w:szCs w:val="32"/>
        </w:rPr>
        <w:t>“第七条 党委宣传部承担指导理论学习、新闻出版和意识形</w:t>
      </w:r>
      <w:r>
        <w:rPr>
          <w:rStyle w:val="16"/>
          <w:rFonts w:hint="eastAsia" w:ascii="楷体" w:hAnsi="楷体" w:eastAsia="楷体" w:cs="Times New Roman"/>
          <w:b w:val="0"/>
          <w:bCs w:val="0"/>
          <w:spacing w:val="-4"/>
          <w:sz w:val="32"/>
          <w:szCs w:val="32"/>
          <w:lang w:val="en-US" w:eastAsia="zh-CN"/>
        </w:rPr>
        <w:t>态工作等职责”，符合国家法律法规、国民经济发展规划和相关政策；</w:t>
      </w:r>
      <w:r>
        <w:rPr>
          <w:rStyle w:val="16"/>
          <w:rFonts w:hint="default" w:ascii="楷体" w:hAnsi="楷体" w:eastAsia="楷体" w:cs="Times New Roman"/>
          <w:b w:val="0"/>
          <w:bCs w:val="0"/>
          <w:spacing w:val="-4"/>
          <w:sz w:val="32"/>
          <w:szCs w:val="32"/>
          <w:lang w:val="en-US" w:eastAsia="zh-CN"/>
        </w:rPr>
        <w:t>本项目立项符合中宣部、国家新闻出版署联合印发的《关于严格规范党报党刊发行工作的通知》（中宣发〔2013〕31号）中： “党报党刊是党中央指导全党全国工作的重要思想舆论工具，各地须确保《人民日报》《求是》等中央重点党报党刊的订阅覆盖”，符合行业发展规划和政策要求</w:t>
      </w:r>
      <w:r>
        <w:rPr>
          <w:rStyle w:val="16"/>
          <w:rFonts w:hint="eastAsia" w:ascii="楷体" w:hAnsi="楷体" w:eastAsia="楷体" w:cs="Times New Roman"/>
          <w:b w:val="0"/>
          <w:bCs w:val="0"/>
          <w:spacing w:val="-4"/>
          <w:sz w:val="32"/>
          <w:szCs w:val="32"/>
        </w:rPr>
        <w:t>；本</w:t>
      </w:r>
      <w:r>
        <w:rPr>
          <w:rStyle w:val="16"/>
          <w:rFonts w:hint="eastAsia" w:ascii="楷体" w:hAnsi="楷体" w:eastAsia="楷体" w:cs="Times New Roman"/>
          <w:b w:val="0"/>
          <w:bCs w:val="0"/>
          <w:spacing w:val="-4"/>
          <w:sz w:val="32"/>
          <w:szCs w:val="32"/>
          <w:lang w:eastAsia="zh-Hans"/>
        </w:rPr>
        <w:t>项目立项符合《</w:t>
      </w:r>
      <w:r>
        <w:rPr>
          <w:rStyle w:val="16"/>
          <w:rFonts w:hint="eastAsia" w:ascii="楷体" w:hAnsi="楷体" w:eastAsia="楷体" w:cs="Times New Roman"/>
          <w:b w:val="0"/>
          <w:bCs w:val="0"/>
          <w:spacing w:val="-4"/>
          <w:sz w:val="32"/>
          <w:szCs w:val="32"/>
          <w:lang w:val="en-US" w:eastAsia="zh-CN"/>
        </w:rPr>
        <w:t>中共呼图壁县委员会宣传部单位</w:t>
      </w:r>
      <w:r>
        <w:rPr>
          <w:rStyle w:val="16"/>
          <w:rFonts w:hint="eastAsia" w:ascii="楷体" w:hAnsi="楷体" w:eastAsia="楷体" w:cs="Times New Roman"/>
          <w:b w:val="0"/>
          <w:bCs w:val="0"/>
          <w:spacing w:val="-4"/>
          <w:sz w:val="32"/>
          <w:szCs w:val="32"/>
          <w:lang w:val="en-US" w:eastAsia="zh-Hans"/>
        </w:rPr>
        <w:t>配置内设机构和人员编制规定》中职责范围</w:t>
      </w:r>
      <w:r>
        <w:rPr>
          <w:rStyle w:val="16"/>
          <w:rFonts w:hint="eastAsia" w:ascii="楷体" w:hAnsi="楷体" w:eastAsia="楷体" w:cs="Times New Roman"/>
          <w:b w:val="0"/>
          <w:bCs w:val="0"/>
          <w:spacing w:val="-4"/>
          <w:sz w:val="32"/>
          <w:szCs w:val="32"/>
          <w:lang w:val="en-US" w:eastAsia="zh-CN"/>
        </w:rPr>
        <w:t>中的“征订党报党刊”</w:t>
      </w:r>
      <w:r>
        <w:rPr>
          <w:rStyle w:val="16"/>
          <w:rFonts w:hint="eastAsia" w:ascii="楷体" w:hAnsi="楷体" w:eastAsia="楷体" w:cs="Times New Roman"/>
          <w:b w:val="0"/>
          <w:bCs w:val="0"/>
          <w:spacing w:val="-4"/>
          <w:sz w:val="32"/>
          <w:szCs w:val="32"/>
          <w:lang w:val="en-US" w:eastAsia="zh-Hans"/>
        </w:rPr>
        <w:t>，属于</w:t>
      </w:r>
      <w:r>
        <w:rPr>
          <w:rStyle w:val="16"/>
          <w:rFonts w:hint="eastAsia" w:ascii="楷体" w:hAnsi="楷体" w:eastAsia="楷体" w:cs="Times New Roman"/>
          <w:b w:val="0"/>
          <w:bCs w:val="0"/>
          <w:spacing w:val="-4"/>
          <w:sz w:val="32"/>
          <w:szCs w:val="32"/>
          <w:lang w:val="en-US" w:eastAsia="zh-CN"/>
        </w:rPr>
        <w:t>我单位</w:t>
      </w:r>
      <w:r>
        <w:rPr>
          <w:rStyle w:val="16"/>
          <w:rFonts w:hint="eastAsia" w:ascii="楷体" w:hAnsi="楷体" w:eastAsia="楷体" w:cs="Times New Roman"/>
          <w:b w:val="0"/>
          <w:bCs w:val="0"/>
          <w:spacing w:val="-4"/>
          <w:sz w:val="32"/>
          <w:szCs w:val="32"/>
          <w:lang w:val="en-US" w:eastAsia="zh-Hans"/>
        </w:rPr>
        <w:t>履职所需</w:t>
      </w:r>
      <w:r>
        <w:rPr>
          <w:rStyle w:val="16"/>
          <w:rFonts w:hint="eastAsia" w:ascii="楷体" w:hAnsi="楷体" w:eastAsia="楷体" w:cs="Times New Roman"/>
          <w:b w:val="0"/>
          <w:bCs w:val="0"/>
          <w:spacing w:val="-4"/>
          <w:sz w:val="32"/>
          <w:szCs w:val="32"/>
          <w:lang w:val="en-US" w:eastAsia="zh-CN"/>
        </w:rPr>
        <w:t>；</w:t>
      </w:r>
      <w:r>
        <w:rPr>
          <w:rStyle w:val="16"/>
          <w:rFonts w:hint="eastAsia" w:ascii="楷体" w:hAnsi="楷体" w:eastAsia="楷体" w:cs="Times New Roman"/>
          <w:b w:val="0"/>
          <w:bCs w:val="0"/>
          <w:spacing w:val="-4"/>
          <w:sz w:val="32"/>
          <w:szCs w:val="32"/>
          <w:lang w:val="en-US" w:eastAsia="zh-Hans"/>
        </w:rPr>
        <w:t>根据《财政资金直接支付申请书》，本项目资金性质为“公共财政预算”，功能分类为“宣传事务”，经济分类为“印刷费”，属</w:t>
      </w:r>
      <w:r>
        <w:rPr>
          <w:rStyle w:val="16"/>
          <w:rFonts w:hint="eastAsia" w:ascii="楷体" w:hAnsi="楷体" w:eastAsia="楷体" w:cs="Times New Roman"/>
          <w:b w:val="0"/>
          <w:bCs w:val="0"/>
          <w:spacing w:val="-4"/>
          <w:sz w:val="32"/>
          <w:szCs w:val="32"/>
          <w:lang w:eastAsia="zh-Hans"/>
        </w:rPr>
        <w:t>于公共财政支持范围，属于公共财政支持范围，符合中央、地方事权支出责任划分原则</w:t>
      </w:r>
      <w:r>
        <w:rPr>
          <w:rStyle w:val="16"/>
          <w:rFonts w:hint="eastAsia" w:ascii="楷体" w:hAnsi="楷体" w:eastAsia="楷体" w:cs="Times New Roman"/>
          <w:b w:val="0"/>
          <w:bCs w:val="0"/>
          <w:spacing w:val="-4"/>
          <w:sz w:val="32"/>
          <w:szCs w:val="32"/>
        </w:rPr>
        <w:t>；经检查</w:t>
      </w:r>
      <w:r>
        <w:rPr>
          <w:rStyle w:val="16"/>
          <w:rFonts w:hint="eastAsia" w:ascii="楷体" w:hAnsi="楷体" w:eastAsia="楷体" w:cs="Times New Roman"/>
          <w:b w:val="0"/>
          <w:bCs w:val="0"/>
          <w:spacing w:val="-4"/>
          <w:sz w:val="32"/>
          <w:szCs w:val="32"/>
          <w:lang w:eastAsia="zh-Hans"/>
        </w:rPr>
        <w:t>我单位财政应用平台指标，</w:t>
      </w:r>
      <w:r>
        <w:rPr>
          <w:rStyle w:val="16"/>
          <w:rFonts w:hint="eastAsia" w:ascii="楷体" w:hAnsi="楷体" w:eastAsia="楷体" w:cs="Times New Roman"/>
          <w:b w:val="0"/>
          <w:bCs w:val="0"/>
          <w:spacing w:val="-4"/>
          <w:sz w:val="32"/>
          <w:szCs w:val="32"/>
        </w:rPr>
        <w:t>本</w:t>
      </w:r>
      <w:r>
        <w:rPr>
          <w:rStyle w:val="16"/>
          <w:rFonts w:hint="eastAsia" w:ascii="楷体" w:hAnsi="楷体" w:eastAsia="楷体" w:cs="Times New Roman"/>
          <w:b w:val="0"/>
          <w:bCs w:val="0"/>
          <w:spacing w:val="-4"/>
          <w:sz w:val="32"/>
          <w:szCs w:val="32"/>
          <w:lang w:eastAsia="zh-Hans"/>
        </w:rPr>
        <w:t>项目不存在重复。</w:t>
      </w:r>
    </w:p>
    <w:p w14:paraId="5674FEA5">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5.00</w:t>
      </w:r>
      <w:r>
        <w:rPr>
          <w:rStyle w:val="16"/>
          <w:rFonts w:hint="eastAsia" w:ascii="楷体" w:hAnsi="楷体" w:eastAsia="楷体" w:cs="Times New Roman"/>
          <w:b w:val="0"/>
          <w:bCs w:val="0"/>
          <w:spacing w:val="-4"/>
          <w:sz w:val="32"/>
          <w:szCs w:val="32"/>
          <w:lang w:eastAsia="zh-Hans"/>
        </w:rPr>
        <w:t>分，根据评分标准得</w:t>
      </w:r>
      <w:r>
        <w:rPr>
          <w:rStyle w:val="16"/>
          <w:rFonts w:hint="eastAsia" w:ascii="楷体" w:hAnsi="楷体" w:eastAsia="楷体" w:cs="Times New Roman"/>
          <w:b w:val="0"/>
          <w:bCs w:val="0"/>
          <w:spacing w:val="-4"/>
          <w:sz w:val="32"/>
          <w:szCs w:val="32"/>
        </w:rPr>
        <w:t>5.00</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，本项目立项依据充分。</w:t>
      </w:r>
    </w:p>
    <w:p w14:paraId="3030F3B1">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（2）立项程序规范性</w:t>
      </w:r>
    </w:p>
    <w:p w14:paraId="013BE035">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lang w:eastAsia="zh-Hans"/>
        </w:rPr>
        <w:t>本项目为非基础建设类项目，属于专项资金安排项目，不涉及事前绩效评估、可行性研究以及风险评估，由我单位严格按照</w:t>
      </w:r>
      <w:r>
        <w:rPr>
          <w:rStyle w:val="16"/>
          <w:rFonts w:hint="eastAsia" w:ascii="楷体" w:hAnsi="楷体" w:eastAsia="楷体" w:cs="Times New Roman"/>
          <w:b w:val="0"/>
          <w:bCs w:val="0"/>
          <w:spacing w:val="-4"/>
          <w:sz w:val="32"/>
          <w:szCs w:val="32"/>
          <w:lang w:eastAsia="zh-CN"/>
        </w:rPr>
        <w:t>《</w:t>
      </w:r>
      <w:r>
        <w:rPr>
          <w:rStyle w:val="16"/>
          <w:rFonts w:hint="eastAsia" w:ascii="楷体" w:hAnsi="楷体" w:eastAsia="楷体" w:cs="Times New Roman"/>
          <w:b w:val="0"/>
          <w:bCs w:val="0"/>
          <w:spacing w:val="-4"/>
          <w:sz w:val="32"/>
          <w:szCs w:val="32"/>
          <w:lang w:eastAsia="zh-Hans"/>
        </w:rPr>
        <w:t>关于做好2025年度党报党刊发行工作严格规范报刊发行秩序的通知</w:t>
      </w:r>
      <w:r>
        <w:rPr>
          <w:rStyle w:val="16"/>
          <w:rFonts w:hint="eastAsia" w:ascii="楷体" w:hAnsi="楷体" w:eastAsia="楷体" w:cs="Times New Roman"/>
          <w:b w:val="0"/>
          <w:bCs w:val="0"/>
          <w:spacing w:val="-4"/>
          <w:sz w:val="32"/>
          <w:szCs w:val="32"/>
          <w:lang w:eastAsia="zh-CN"/>
        </w:rPr>
        <w:t>》</w:t>
      </w:r>
      <w:r>
        <w:rPr>
          <w:rStyle w:val="16"/>
          <w:rFonts w:hint="eastAsia" w:ascii="楷体" w:hAnsi="楷体" w:eastAsia="楷体" w:cs="Times New Roman"/>
          <w:b w:val="0"/>
          <w:bCs w:val="0"/>
          <w:spacing w:val="-4"/>
          <w:sz w:val="32"/>
          <w:szCs w:val="32"/>
          <w:lang w:eastAsia="zh-Hans"/>
        </w:rPr>
        <w:t>文件要求实施项目。</w:t>
      </w:r>
    </w:p>
    <w:p w14:paraId="364631EC">
      <w:pPr>
        <w:tabs>
          <w:tab w:val="center" w:pos="4295"/>
        </w:tabs>
        <w:spacing w:line="540" w:lineRule="exact"/>
        <w:ind w:firstLine="567" w:firstLineChars="0"/>
        <w:rPr>
          <w:rFonts w:hint="eastAsia"/>
          <w:color w:val="auto"/>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3.00</w:t>
      </w:r>
      <w:r>
        <w:rPr>
          <w:rStyle w:val="16"/>
          <w:rFonts w:hint="eastAsia" w:ascii="楷体" w:hAnsi="楷体" w:eastAsia="楷体" w:cs="Times New Roman"/>
          <w:b w:val="0"/>
          <w:bCs w:val="0"/>
          <w:spacing w:val="-4"/>
          <w:sz w:val="32"/>
          <w:szCs w:val="32"/>
          <w:lang w:eastAsia="zh-Hans"/>
        </w:rPr>
        <w:t>分，根据评分标准得</w:t>
      </w:r>
      <w:r>
        <w:rPr>
          <w:rStyle w:val="16"/>
          <w:rFonts w:hint="eastAsia" w:ascii="楷体" w:hAnsi="楷体" w:eastAsia="楷体" w:cs="Times New Roman"/>
          <w:b w:val="0"/>
          <w:bCs w:val="0"/>
          <w:spacing w:val="-4"/>
          <w:sz w:val="32"/>
          <w:szCs w:val="32"/>
        </w:rPr>
        <w:t>3.00</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，本项目立项程序规范。</w:t>
      </w:r>
    </w:p>
    <w:p w14:paraId="6C5BDC9A">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val="en-US" w:eastAsia="zh-CN"/>
        </w:rPr>
      </w:pPr>
      <w:r>
        <w:rPr>
          <w:rStyle w:val="16"/>
          <w:rFonts w:hint="eastAsia" w:ascii="楷体" w:hAnsi="楷体" w:eastAsia="楷体" w:cs="Times New Roman"/>
          <w:b w:val="0"/>
          <w:bCs w:val="0"/>
          <w:spacing w:val="-4"/>
          <w:sz w:val="32"/>
          <w:szCs w:val="32"/>
        </w:rPr>
        <w:t>2.绩效目标情况分析</w:t>
      </w:r>
      <w:r>
        <w:rPr>
          <w:rStyle w:val="16"/>
          <w:rFonts w:hint="eastAsia" w:ascii="楷体" w:hAnsi="楷体" w:eastAsia="楷体" w:cs="Times New Roman"/>
          <w:b w:val="0"/>
          <w:bCs w:val="0"/>
          <w:spacing w:val="-4"/>
          <w:sz w:val="32"/>
          <w:szCs w:val="32"/>
          <w:lang w:val="en-US" w:eastAsia="zh-CN"/>
        </w:rPr>
        <w:tab/>
      </w:r>
    </w:p>
    <w:p w14:paraId="087474E0">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（1）绩效目标合理性</w:t>
      </w:r>
    </w:p>
    <w:p w14:paraId="66191329">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rPr>
        <w:t>本项目已设置年度绩效目标，具体内容为“</w:t>
      </w:r>
      <w:r>
        <w:rPr>
          <w:rStyle w:val="16"/>
          <w:rFonts w:hint="eastAsia" w:ascii="楷体" w:hAnsi="楷体" w:eastAsia="楷体" w:cs="Times New Roman"/>
          <w:b w:val="0"/>
          <w:bCs w:val="0"/>
          <w:spacing w:val="-4"/>
          <w:sz w:val="32"/>
          <w:szCs w:val="32"/>
          <w:lang w:val="en-US" w:eastAsia="zh-CN"/>
        </w:rPr>
        <w:t>本项目拟投入156.42万元，用于完成机关单位、学校、乡镇党报党刊征订内容，通过项目的实施，社会效益显著，促进助力党员干部提升政治素养、增强履职能力，完善推动基层群众紧跟党的步伐；改善文化效益，营造浓厚学习氛围，弘扬主流价值观，丰富精神文化生活；长期来看，能激发干事热情，提升社会凝聚力，为经济社会高质量发展提供强大的思想动力与舆论支持。”</w:t>
      </w:r>
      <w:r>
        <w:rPr>
          <w:rStyle w:val="16"/>
          <w:rFonts w:hint="eastAsia" w:ascii="楷体" w:hAnsi="楷体" w:eastAsia="楷体" w:cs="Times New Roman"/>
          <w:b w:val="0"/>
          <w:bCs w:val="0"/>
          <w:spacing w:val="-4"/>
          <w:sz w:val="32"/>
          <w:szCs w:val="32"/>
        </w:rPr>
        <w:t>；本项目实际工作内容为：</w:t>
      </w:r>
      <w:r>
        <w:rPr>
          <w:rStyle w:val="16"/>
          <w:rFonts w:hint="eastAsia" w:ascii="楷体" w:hAnsi="楷体" w:eastAsia="楷体" w:cs="Times New Roman"/>
          <w:b w:val="0"/>
          <w:bCs w:val="0"/>
          <w:spacing w:val="-4"/>
          <w:sz w:val="32"/>
          <w:szCs w:val="32"/>
          <w:lang w:val="en-US" w:eastAsia="zh-CN"/>
        </w:rPr>
        <w:t>截至 2024 年 12 月 31 日，该项目实际完成机关单位、学校、乡镇党报党刊征订内容，通过项目的实施，促进了助力党员干部提升政治素养、增强履职能力，完善了推动基层群众紧跟党的步伐；改善了文化效益，营造浓厚学习氛围，弘扬主流价值观，丰富精神文化生活；长期来看，能激发干事热情，提升社会凝聚力，为经济社会高质量发展提供强大的思想动力与舆论支持。</w:t>
      </w:r>
      <w:r>
        <w:rPr>
          <w:rStyle w:val="16"/>
          <w:rFonts w:hint="eastAsia" w:ascii="楷体" w:hAnsi="楷体" w:eastAsia="楷体" w:cs="Times New Roman"/>
          <w:b w:val="0"/>
          <w:bCs w:val="0"/>
          <w:spacing w:val="-4"/>
          <w:sz w:val="32"/>
          <w:szCs w:val="32"/>
        </w:rPr>
        <w:t>；绩效目标与实际工作内容一致，两者具有相关性;本项目预算申请资金</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万元，预算确定资金量与实际工作任务相匹配。本项目</w:t>
      </w:r>
      <w:r>
        <w:rPr>
          <w:rStyle w:val="16"/>
          <w:rFonts w:hint="eastAsia" w:ascii="楷体" w:hAnsi="楷体" w:eastAsia="楷体" w:cs="Times New Roman"/>
          <w:b w:val="0"/>
          <w:bCs w:val="0"/>
          <w:spacing w:val="-4"/>
          <w:sz w:val="32"/>
          <w:szCs w:val="32"/>
          <w:lang w:eastAsia="zh-Hans"/>
        </w:rPr>
        <w:t>按照绩效目标完成了数量指标、质量指标、时效指标、成本指标，有效保障了</w:t>
      </w:r>
      <w:r>
        <w:rPr>
          <w:rStyle w:val="16"/>
          <w:rFonts w:hint="eastAsia" w:ascii="楷体" w:hAnsi="楷体" w:eastAsia="楷体" w:cs="Times New Roman"/>
          <w:b w:val="0"/>
          <w:bCs w:val="0"/>
          <w:spacing w:val="-4"/>
          <w:sz w:val="32"/>
          <w:szCs w:val="32"/>
          <w:lang w:val="en-US" w:eastAsia="zh-CN"/>
        </w:rPr>
        <w:t>党员政治素质的提升</w:t>
      </w:r>
      <w:r>
        <w:rPr>
          <w:rStyle w:val="16"/>
          <w:rFonts w:hint="eastAsia" w:ascii="楷体" w:hAnsi="楷体" w:eastAsia="楷体" w:cs="Times New Roman"/>
          <w:b w:val="0"/>
          <w:bCs w:val="0"/>
          <w:spacing w:val="-4"/>
          <w:sz w:val="32"/>
          <w:szCs w:val="32"/>
          <w:lang w:eastAsia="zh-Hans"/>
        </w:rPr>
        <w:t>，年度绩效目标完成，预期产出效益和效果符合正常的业绩水平。</w:t>
      </w:r>
    </w:p>
    <w:p w14:paraId="03B08FF6">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4.00</w:t>
      </w:r>
      <w:r>
        <w:rPr>
          <w:rStyle w:val="16"/>
          <w:rFonts w:hint="eastAsia" w:ascii="楷体" w:hAnsi="楷体" w:eastAsia="楷体" w:cs="Times New Roman"/>
          <w:b w:val="0"/>
          <w:bCs w:val="0"/>
          <w:spacing w:val="-4"/>
          <w:sz w:val="32"/>
          <w:szCs w:val="32"/>
          <w:lang w:eastAsia="zh-Hans"/>
        </w:rPr>
        <w:t>分，根据评分标准得</w:t>
      </w:r>
      <w:r>
        <w:rPr>
          <w:rStyle w:val="16"/>
          <w:rFonts w:hint="eastAsia" w:ascii="楷体" w:hAnsi="楷体" w:eastAsia="楷体" w:cs="Times New Roman"/>
          <w:b w:val="0"/>
          <w:bCs w:val="0"/>
          <w:spacing w:val="-4"/>
          <w:sz w:val="32"/>
          <w:szCs w:val="32"/>
        </w:rPr>
        <w:t>4.00</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，本项目绩效目标设置合理。</w:t>
      </w:r>
    </w:p>
    <w:p w14:paraId="03518FFE">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（2）绩效指标明确性</w:t>
      </w:r>
    </w:p>
    <w:p w14:paraId="0F323969">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lang w:eastAsia="zh-Hans"/>
        </w:rPr>
        <w:t>经检查</w:t>
      </w:r>
      <w:r>
        <w:rPr>
          <w:rStyle w:val="16"/>
          <w:rFonts w:hint="eastAsia" w:ascii="楷体" w:hAnsi="楷体" w:eastAsia="楷体" w:cs="Times New Roman"/>
          <w:b w:val="0"/>
          <w:bCs w:val="0"/>
          <w:spacing w:val="-4"/>
          <w:sz w:val="32"/>
          <w:szCs w:val="32"/>
        </w:rPr>
        <w:t>我单位年初设置的</w:t>
      </w:r>
      <w:r>
        <w:rPr>
          <w:rStyle w:val="16"/>
          <w:rFonts w:hint="eastAsia" w:ascii="楷体" w:hAnsi="楷体" w:eastAsia="楷体" w:cs="Times New Roman"/>
          <w:b w:val="0"/>
          <w:bCs w:val="0"/>
          <w:spacing w:val="-4"/>
          <w:sz w:val="32"/>
          <w:szCs w:val="32"/>
          <w:lang w:eastAsia="zh-Hans"/>
        </w:rPr>
        <w:t>《项目支出绩效目标表》，得出如下结论：</w:t>
      </w:r>
      <w:r>
        <w:rPr>
          <w:rStyle w:val="16"/>
          <w:rFonts w:hint="eastAsia" w:ascii="楷体" w:hAnsi="楷体" w:eastAsia="楷体" w:cs="Times New Roman"/>
          <w:b w:val="0"/>
          <w:bCs w:val="0"/>
          <w:spacing w:val="-4"/>
          <w:sz w:val="32"/>
          <w:szCs w:val="32"/>
        </w:rPr>
        <w:t>本</w:t>
      </w:r>
      <w:r>
        <w:rPr>
          <w:rStyle w:val="16"/>
          <w:rFonts w:hint="eastAsia" w:ascii="楷体" w:hAnsi="楷体" w:eastAsia="楷体" w:cs="Times New Roman"/>
          <w:b w:val="0"/>
          <w:bCs w:val="0"/>
          <w:spacing w:val="-4"/>
          <w:sz w:val="32"/>
          <w:szCs w:val="32"/>
          <w:lang w:eastAsia="zh-Hans"/>
        </w:rPr>
        <w:t>项目已将年度绩效目标进行细化为绩效指标体系，共设置一级指标</w:t>
      </w:r>
      <w:r>
        <w:rPr>
          <w:rStyle w:val="16"/>
          <w:rFonts w:hint="eastAsia" w:ascii="楷体" w:hAnsi="楷体" w:eastAsia="楷体" w:cs="Times New Roman"/>
          <w:b w:val="0"/>
          <w:bCs w:val="0"/>
          <w:spacing w:val="-4"/>
          <w:sz w:val="32"/>
          <w:szCs w:val="32"/>
          <w:lang w:val="en-US" w:eastAsia="zh-CN"/>
        </w:rPr>
        <w:t>4</w:t>
      </w:r>
      <w:r>
        <w:rPr>
          <w:rStyle w:val="16"/>
          <w:rFonts w:hint="eastAsia" w:ascii="楷体" w:hAnsi="楷体" w:eastAsia="楷体" w:cs="Times New Roman"/>
          <w:b w:val="0"/>
          <w:bCs w:val="0"/>
          <w:spacing w:val="-4"/>
          <w:sz w:val="32"/>
          <w:szCs w:val="32"/>
          <w:lang w:eastAsia="zh-Hans"/>
        </w:rPr>
        <w:t>个，二级指标</w:t>
      </w:r>
      <w:r>
        <w:rPr>
          <w:rStyle w:val="16"/>
          <w:rFonts w:hint="eastAsia" w:ascii="楷体" w:hAnsi="楷体" w:eastAsia="楷体" w:cs="Times New Roman"/>
          <w:b w:val="0"/>
          <w:bCs w:val="0"/>
          <w:spacing w:val="-4"/>
          <w:sz w:val="32"/>
          <w:szCs w:val="32"/>
          <w:lang w:val="en-US" w:eastAsia="zh-CN"/>
        </w:rPr>
        <w:t>6</w:t>
      </w:r>
      <w:r>
        <w:rPr>
          <w:rStyle w:val="16"/>
          <w:rFonts w:hint="eastAsia" w:ascii="楷体" w:hAnsi="楷体" w:eastAsia="楷体" w:cs="Times New Roman"/>
          <w:b w:val="0"/>
          <w:bCs w:val="0"/>
          <w:spacing w:val="-4"/>
          <w:sz w:val="32"/>
          <w:szCs w:val="32"/>
          <w:lang w:eastAsia="zh-Hans"/>
        </w:rPr>
        <w:t>个，三级指标</w:t>
      </w:r>
      <w:r>
        <w:rPr>
          <w:rStyle w:val="16"/>
          <w:rFonts w:hint="eastAsia" w:ascii="楷体" w:hAnsi="楷体" w:eastAsia="楷体" w:cs="Times New Roman"/>
          <w:b w:val="0"/>
          <w:bCs w:val="0"/>
          <w:spacing w:val="-4"/>
          <w:sz w:val="32"/>
          <w:szCs w:val="32"/>
          <w:lang w:val="en-US" w:eastAsia="zh-CN"/>
        </w:rPr>
        <w:t>7</w:t>
      </w:r>
      <w:r>
        <w:rPr>
          <w:rStyle w:val="16"/>
          <w:rFonts w:hint="eastAsia" w:ascii="楷体" w:hAnsi="楷体" w:eastAsia="楷体" w:cs="Times New Roman"/>
          <w:b w:val="0"/>
          <w:bCs w:val="0"/>
          <w:spacing w:val="-4"/>
          <w:sz w:val="32"/>
          <w:szCs w:val="32"/>
          <w:lang w:eastAsia="zh-Hans"/>
        </w:rPr>
        <w:t>个</w:t>
      </w:r>
      <w:r>
        <w:rPr>
          <w:rStyle w:val="16"/>
          <w:rFonts w:hint="eastAsia" w:ascii="楷体" w:hAnsi="楷体" w:eastAsia="楷体" w:cs="Times New Roman"/>
          <w:b w:val="0"/>
          <w:bCs w:val="0"/>
          <w:spacing w:val="-4"/>
          <w:sz w:val="32"/>
          <w:szCs w:val="32"/>
        </w:rPr>
        <w:t>，</w:t>
      </w:r>
      <w:r>
        <w:rPr>
          <w:rStyle w:val="16"/>
          <w:rFonts w:hint="eastAsia" w:ascii="楷体" w:hAnsi="楷体" w:eastAsia="楷体" w:cs="Times New Roman"/>
          <w:b w:val="0"/>
          <w:bCs w:val="0"/>
          <w:spacing w:val="-4"/>
          <w:sz w:val="32"/>
          <w:szCs w:val="32"/>
          <w:lang w:eastAsia="zh-Hans"/>
        </w:rPr>
        <w:t>定量指标</w:t>
      </w:r>
      <w:r>
        <w:rPr>
          <w:rStyle w:val="16"/>
          <w:rFonts w:hint="eastAsia" w:ascii="楷体" w:hAnsi="楷体" w:eastAsia="楷体" w:cs="Times New Roman"/>
          <w:b w:val="0"/>
          <w:bCs w:val="0"/>
          <w:spacing w:val="-4"/>
          <w:sz w:val="32"/>
          <w:szCs w:val="32"/>
          <w:lang w:val="en-US" w:eastAsia="zh-CN"/>
        </w:rPr>
        <w:t>6</w:t>
      </w:r>
      <w:r>
        <w:rPr>
          <w:rStyle w:val="16"/>
          <w:rFonts w:hint="eastAsia" w:ascii="楷体" w:hAnsi="楷体" w:eastAsia="楷体" w:cs="Times New Roman"/>
          <w:b w:val="0"/>
          <w:bCs w:val="0"/>
          <w:spacing w:val="-4"/>
          <w:sz w:val="32"/>
          <w:szCs w:val="32"/>
          <w:lang w:eastAsia="zh-Hans"/>
        </w:rPr>
        <w:t>个，定性指标</w:t>
      </w:r>
      <w:r>
        <w:rPr>
          <w:rStyle w:val="16"/>
          <w:rFonts w:hint="eastAsia" w:ascii="楷体" w:hAnsi="楷体" w:eastAsia="楷体" w:cs="Times New Roman"/>
          <w:b w:val="0"/>
          <w:bCs w:val="0"/>
          <w:spacing w:val="-4"/>
          <w:sz w:val="32"/>
          <w:szCs w:val="32"/>
          <w:lang w:val="en-US" w:eastAsia="zh-CN"/>
        </w:rPr>
        <w:t>1</w:t>
      </w:r>
      <w:r>
        <w:rPr>
          <w:rStyle w:val="16"/>
          <w:rFonts w:hint="eastAsia" w:ascii="楷体" w:hAnsi="楷体" w:eastAsia="楷体" w:cs="Times New Roman"/>
          <w:b w:val="0"/>
          <w:bCs w:val="0"/>
          <w:spacing w:val="-4"/>
          <w:sz w:val="32"/>
          <w:szCs w:val="32"/>
          <w:lang w:eastAsia="zh-Hans"/>
        </w:rPr>
        <w:t>个，指标量化率为</w:t>
      </w:r>
      <w:r>
        <w:rPr>
          <w:rStyle w:val="16"/>
          <w:rFonts w:hint="eastAsia" w:ascii="楷体" w:hAnsi="楷体" w:eastAsia="楷体" w:cs="Times New Roman"/>
          <w:b w:val="0"/>
          <w:bCs w:val="0"/>
          <w:spacing w:val="-4"/>
          <w:sz w:val="32"/>
          <w:szCs w:val="32"/>
          <w:lang w:val="en-US" w:eastAsia="zh-CN"/>
        </w:rPr>
        <w:t>85.7</w:t>
      </w:r>
      <w:r>
        <w:rPr>
          <w:rStyle w:val="16"/>
          <w:rFonts w:hint="eastAsia" w:ascii="楷体" w:hAnsi="楷体" w:eastAsia="楷体" w:cs="Times New Roman"/>
          <w:b w:val="0"/>
          <w:bCs w:val="0"/>
          <w:spacing w:val="-4"/>
          <w:sz w:val="32"/>
          <w:szCs w:val="32"/>
          <w:lang w:eastAsia="zh-Hans"/>
        </w:rPr>
        <w:t>%，量化率达</w:t>
      </w:r>
      <w:r>
        <w:rPr>
          <w:rStyle w:val="16"/>
          <w:rFonts w:hint="eastAsia" w:ascii="楷体" w:hAnsi="楷体" w:eastAsia="楷体" w:cs="Times New Roman"/>
          <w:b w:val="0"/>
          <w:bCs w:val="0"/>
          <w:spacing w:val="-4"/>
          <w:sz w:val="32"/>
          <w:szCs w:val="32"/>
          <w:lang w:val="en-US" w:eastAsia="zh-CN"/>
        </w:rPr>
        <w:t>70%</w:t>
      </w:r>
      <w:r>
        <w:rPr>
          <w:rStyle w:val="16"/>
          <w:rFonts w:hint="eastAsia" w:ascii="楷体" w:hAnsi="楷体" w:eastAsia="楷体" w:cs="Times New Roman"/>
          <w:b w:val="0"/>
          <w:bCs w:val="0"/>
          <w:spacing w:val="-4"/>
          <w:sz w:val="32"/>
          <w:szCs w:val="32"/>
          <w:lang w:eastAsia="zh-Hans"/>
        </w:rPr>
        <w:t>以上</w:t>
      </w:r>
      <w:r>
        <w:rPr>
          <w:rStyle w:val="16"/>
          <w:rFonts w:hint="eastAsia" w:ascii="楷体" w:hAnsi="楷体" w:eastAsia="楷体" w:cs="Times New Roman"/>
          <w:b w:val="0"/>
          <w:bCs w:val="0"/>
          <w:spacing w:val="-4"/>
          <w:sz w:val="32"/>
          <w:szCs w:val="32"/>
        </w:rPr>
        <w:t>。</w:t>
      </w:r>
    </w:p>
    <w:p w14:paraId="6A14F2EA">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val="en-US" w:eastAsia="zh-CN"/>
        </w:rPr>
      </w:pPr>
      <w:r>
        <w:rPr>
          <w:rStyle w:val="16"/>
          <w:rFonts w:hint="eastAsia" w:ascii="楷体" w:hAnsi="楷体" w:eastAsia="楷体" w:cs="Times New Roman"/>
          <w:b w:val="0"/>
          <w:bCs w:val="0"/>
          <w:spacing w:val="-4"/>
          <w:sz w:val="32"/>
          <w:szCs w:val="32"/>
          <w:lang w:val="en-US" w:eastAsia="zh-CN"/>
        </w:rPr>
        <w:t>综上所述，本指标满分为3.00分，根据评分标准得3.00分，本项目所设置绩效指标明确</w:t>
      </w:r>
    </w:p>
    <w:p w14:paraId="667C8EC9">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3.资金投入情况分析</w:t>
      </w:r>
    </w:p>
    <w:p w14:paraId="63B8FC6B">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lang w:eastAsia="zh-Hans"/>
        </w:rPr>
        <w:t>（1）预算编制科学性</w:t>
      </w:r>
    </w:p>
    <w:p w14:paraId="7AC89AAE">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本</w:t>
      </w:r>
      <w:r>
        <w:rPr>
          <w:rStyle w:val="16"/>
          <w:rFonts w:hint="eastAsia" w:ascii="楷体" w:hAnsi="楷体" w:eastAsia="楷体" w:cs="Times New Roman"/>
          <w:b w:val="0"/>
          <w:bCs w:val="0"/>
          <w:spacing w:val="-4"/>
          <w:sz w:val="32"/>
          <w:szCs w:val="32"/>
          <w:lang w:eastAsia="zh-Hans"/>
        </w:rPr>
        <w:t>项目预算编制</w:t>
      </w:r>
      <w:r>
        <w:rPr>
          <w:rStyle w:val="16"/>
          <w:rFonts w:hint="eastAsia" w:ascii="楷体" w:hAnsi="楷体" w:eastAsia="楷体" w:cs="Times New Roman"/>
          <w:b w:val="0"/>
          <w:bCs w:val="0"/>
          <w:spacing w:val="-4"/>
          <w:sz w:val="32"/>
          <w:szCs w:val="32"/>
          <w:lang w:val="en-US" w:eastAsia="zh-CN"/>
        </w:rPr>
        <w:t>通过邮局提供价格</w:t>
      </w:r>
      <w:r>
        <w:rPr>
          <w:rStyle w:val="16"/>
          <w:rFonts w:hint="eastAsia" w:ascii="楷体" w:hAnsi="楷体" w:eastAsia="楷体" w:cs="Times New Roman"/>
          <w:b w:val="0"/>
          <w:bCs w:val="0"/>
          <w:spacing w:val="-4"/>
          <w:sz w:val="32"/>
          <w:szCs w:val="32"/>
          <w:lang w:eastAsia="zh-Hans"/>
        </w:rPr>
        <w:t>得出，即预算</w:t>
      </w:r>
      <w:r>
        <w:rPr>
          <w:rStyle w:val="16"/>
          <w:rFonts w:hint="eastAsia" w:ascii="楷体" w:hAnsi="楷体" w:eastAsia="楷体" w:cs="Times New Roman"/>
          <w:b w:val="0"/>
          <w:bCs w:val="0"/>
          <w:spacing w:val="-4"/>
          <w:sz w:val="32"/>
          <w:szCs w:val="32"/>
        </w:rPr>
        <w:t>编制</w:t>
      </w:r>
      <w:r>
        <w:rPr>
          <w:rStyle w:val="16"/>
          <w:rFonts w:hint="eastAsia" w:ascii="楷体" w:hAnsi="楷体" w:eastAsia="楷体" w:cs="Times New Roman"/>
          <w:b w:val="0"/>
          <w:bCs w:val="0"/>
          <w:spacing w:val="-4"/>
          <w:sz w:val="32"/>
          <w:szCs w:val="32"/>
          <w:lang w:eastAsia="zh-Hans"/>
        </w:rPr>
        <w:t>较科学且经过论证</w:t>
      </w:r>
      <w:r>
        <w:rPr>
          <w:rStyle w:val="16"/>
          <w:rFonts w:hint="eastAsia" w:ascii="楷体" w:hAnsi="楷体" w:eastAsia="楷体" w:cs="Times New Roman"/>
          <w:b w:val="0"/>
          <w:bCs w:val="0"/>
          <w:spacing w:val="-4"/>
          <w:sz w:val="32"/>
          <w:szCs w:val="32"/>
        </w:rPr>
        <w:t>；</w:t>
      </w:r>
    </w:p>
    <w:p w14:paraId="4772E4C4">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lang w:eastAsia="zh-Hans"/>
        </w:rPr>
        <w:t>预算申请内容为</w:t>
      </w:r>
      <w:r>
        <w:rPr>
          <w:rStyle w:val="16"/>
          <w:rFonts w:hint="eastAsia" w:ascii="楷体" w:hAnsi="楷体" w:eastAsia="楷体" w:cs="Times New Roman"/>
          <w:b w:val="0"/>
          <w:bCs w:val="0"/>
          <w:spacing w:val="-4"/>
          <w:sz w:val="32"/>
          <w:szCs w:val="32"/>
          <w:lang w:val="en-US" w:eastAsia="zh-CN"/>
        </w:rPr>
        <w:t>订购2025年党报党刊</w:t>
      </w:r>
      <w:r>
        <w:rPr>
          <w:rStyle w:val="16"/>
          <w:rFonts w:hint="eastAsia" w:ascii="楷体" w:hAnsi="楷体" w:eastAsia="楷体" w:cs="Times New Roman"/>
          <w:b w:val="0"/>
          <w:bCs w:val="0"/>
          <w:spacing w:val="-4"/>
          <w:sz w:val="32"/>
          <w:szCs w:val="32"/>
          <w:lang w:eastAsia="zh-Hans"/>
        </w:rPr>
        <w:t>，项目实际内容为</w:t>
      </w:r>
      <w:r>
        <w:rPr>
          <w:rStyle w:val="16"/>
          <w:rFonts w:hint="eastAsia" w:ascii="楷体" w:hAnsi="楷体" w:eastAsia="楷体" w:cs="Times New Roman"/>
          <w:b w:val="0"/>
          <w:bCs w:val="0"/>
          <w:spacing w:val="-4"/>
          <w:sz w:val="32"/>
          <w:szCs w:val="32"/>
          <w:lang w:val="en-US" w:eastAsia="zh-CN"/>
        </w:rPr>
        <w:t>采购了人民日报和求是杂志两种党报党刊，共计10364本</w:t>
      </w:r>
      <w:r>
        <w:rPr>
          <w:rStyle w:val="16"/>
          <w:rFonts w:hint="eastAsia" w:ascii="楷体" w:hAnsi="楷体" w:eastAsia="楷体" w:cs="Times New Roman"/>
          <w:b w:val="0"/>
          <w:bCs w:val="0"/>
          <w:spacing w:val="-4"/>
          <w:sz w:val="32"/>
          <w:szCs w:val="32"/>
          <w:lang w:eastAsia="zh-Hans"/>
        </w:rPr>
        <w:t>，预算申请与《</w:t>
      </w:r>
      <w:r>
        <w:rPr>
          <w:rStyle w:val="16"/>
          <w:rFonts w:hint="eastAsia" w:ascii="楷体" w:hAnsi="楷体" w:eastAsia="楷体" w:cs="Times New Roman"/>
          <w:b w:val="0"/>
          <w:bCs w:val="0"/>
          <w:spacing w:val="-4"/>
          <w:sz w:val="32"/>
          <w:szCs w:val="32"/>
          <w:lang w:val="en-US" w:eastAsia="zh-CN"/>
        </w:rPr>
        <w:t>2025年党报党刊</w:t>
      </w:r>
      <w:r>
        <w:rPr>
          <w:rStyle w:val="16"/>
          <w:rFonts w:hint="eastAsia" w:ascii="楷体" w:hAnsi="楷体" w:eastAsia="楷体" w:cs="Times New Roman"/>
          <w:b w:val="0"/>
          <w:bCs w:val="0"/>
          <w:spacing w:val="-4"/>
          <w:sz w:val="32"/>
          <w:szCs w:val="32"/>
        </w:rPr>
        <w:t>项目实施方案</w:t>
      </w:r>
      <w:r>
        <w:rPr>
          <w:rStyle w:val="16"/>
          <w:rFonts w:hint="eastAsia" w:ascii="楷体" w:hAnsi="楷体" w:eastAsia="楷体" w:cs="Times New Roman"/>
          <w:b w:val="0"/>
          <w:bCs w:val="0"/>
          <w:spacing w:val="-4"/>
          <w:sz w:val="32"/>
          <w:szCs w:val="32"/>
          <w:lang w:eastAsia="zh-Hans"/>
        </w:rPr>
        <w:t>》中涉及的项目内容匹配</w:t>
      </w:r>
      <w:r>
        <w:rPr>
          <w:rStyle w:val="16"/>
          <w:rFonts w:hint="eastAsia" w:ascii="楷体" w:hAnsi="楷体" w:eastAsia="楷体" w:cs="Times New Roman"/>
          <w:b w:val="0"/>
          <w:bCs w:val="0"/>
          <w:spacing w:val="-4"/>
          <w:sz w:val="32"/>
          <w:szCs w:val="32"/>
        </w:rPr>
        <w:t>；</w:t>
      </w:r>
    </w:p>
    <w:p w14:paraId="54030752">
      <w:pPr>
        <w:tabs>
          <w:tab w:val="center" w:pos="4295"/>
        </w:tabs>
        <w:spacing w:line="540" w:lineRule="exact"/>
        <w:ind w:firstLine="567" w:firstLineChars="0"/>
        <w:rPr>
          <w:rStyle w:val="16"/>
          <w:rFonts w:hint="eastAsia" w:ascii="楷体" w:hAnsi="楷体" w:eastAsia="楷体" w:cs="Times New Roman"/>
          <w:b w:val="0"/>
          <w:bCs w:val="0"/>
          <w:spacing w:val="-4"/>
          <w:sz w:val="32"/>
          <w:szCs w:val="32"/>
          <w:lang w:eastAsia="zh-CN"/>
        </w:rPr>
      </w:pPr>
      <w:r>
        <w:rPr>
          <w:rStyle w:val="16"/>
          <w:rFonts w:hint="eastAsia" w:ascii="楷体" w:hAnsi="楷体" w:eastAsia="楷体" w:cs="Times New Roman"/>
          <w:b w:val="0"/>
          <w:bCs w:val="0"/>
          <w:spacing w:val="-4"/>
          <w:sz w:val="32"/>
          <w:szCs w:val="32"/>
        </w:rPr>
        <w:t>本项目预算申请资金</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万元，我单位在预算申请中严格按照</w:t>
      </w:r>
      <w:r>
        <w:rPr>
          <w:rStyle w:val="16"/>
          <w:rFonts w:hint="eastAsia" w:ascii="楷体" w:hAnsi="楷体" w:eastAsia="楷体" w:cs="Times New Roman"/>
          <w:b w:val="0"/>
          <w:bCs w:val="0"/>
          <w:spacing w:val="-4"/>
          <w:sz w:val="32"/>
          <w:szCs w:val="32"/>
          <w:lang w:val="en-US" w:eastAsia="zh-CN"/>
        </w:rPr>
        <w:t>分项成本</w:t>
      </w:r>
      <w:r>
        <w:rPr>
          <w:rStyle w:val="16"/>
          <w:rFonts w:hint="eastAsia" w:ascii="楷体" w:hAnsi="楷体" w:eastAsia="楷体" w:cs="Times New Roman"/>
          <w:b w:val="0"/>
          <w:bCs w:val="0"/>
          <w:spacing w:val="-4"/>
          <w:sz w:val="32"/>
          <w:szCs w:val="32"/>
        </w:rPr>
        <w:t>进行核算，其中：人民日报</w:t>
      </w:r>
      <w:r>
        <w:rPr>
          <w:rStyle w:val="16"/>
          <w:rFonts w:hint="eastAsia" w:ascii="楷体" w:hAnsi="楷体" w:eastAsia="楷体" w:cs="Times New Roman"/>
          <w:b w:val="0"/>
          <w:bCs w:val="0"/>
          <w:spacing w:val="-4"/>
          <w:sz w:val="32"/>
          <w:szCs w:val="32"/>
          <w:lang w:val="en-US" w:eastAsia="zh-CN"/>
        </w:rPr>
        <w:t>费用85万元</w:t>
      </w:r>
      <w:r>
        <w:rPr>
          <w:rStyle w:val="16"/>
          <w:rFonts w:hint="eastAsia" w:ascii="楷体" w:hAnsi="楷体" w:eastAsia="楷体" w:cs="Times New Roman"/>
          <w:b w:val="0"/>
          <w:bCs w:val="0"/>
          <w:spacing w:val="-4"/>
          <w:sz w:val="32"/>
          <w:szCs w:val="32"/>
        </w:rPr>
        <w:t>，求是杂志</w:t>
      </w:r>
      <w:r>
        <w:rPr>
          <w:rStyle w:val="16"/>
          <w:rFonts w:hint="eastAsia" w:ascii="楷体" w:hAnsi="楷体" w:eastAsia="楷体" w:cs="Times New Roman"/>
          <w:b w:val="0"/>
          <w:bCs w:val="0"/>
          <w:spacing w:val="-4"/>
          <w:sz w:val="32"/>
          <w:szCs w:val="32"/>
          <w:lang w:val="en-US" w:eastAsia="zh-CN"/>
        </w:rPr>
        <w:t>费用71.42万元，</w:t>
      </w:r>
      <w:r>
        <w:rPr>
          <w:rStyle w:val="16"/>
          <w:rFonts w:hint="eastAsia" w:ascii="楷体" w:hAnsi="楷体" w:eastAsia="楷体" w:cs="Times New Roman"/>
          <w:b w:val="0"/>
          <w:bCs w:val="0"/>
          <w:spacing w:val="-4"/>
          <w:sz w:val="32"/>
          <w:szCs w:val="32"/>
        </w:rPr>
        <w:t>本项目预算额度测算依据充分，严格按照标准编制，</w:t>
      </w:r>
      <w:r>
        <w:rPr>
          <w:rStyle w:val="16"/>
          <w:rFonts w:hint="eastAsia" w:ascii="楷体" w:hAnsi="楷体" w:eastAsia="楷体" w:cs="Times New Roman"/>
          <w:b w:val="0"/>
          <w:bCs w:val="0"/>
          <w:spacing w:val="-4"/>
          <w:sz w:val="32"/>
          <w:szCs w:val="32"/>
          <w:lang w:eastAsia="zh-Hans"/>
        </w:rPr>
        <w:t>预算确定资金量与实际工作任务相匹配</w:t>
      </w:r>
      <w:r>
        <w:rPr>
          <w:rStyle w:val="16"/>
          <w:rFonts w:hint="eastAsia" w:ascii="楷体" w:hAnsi="楷体" w:eastAsia="楷体" w:cs="Times New Roman"/>
          <w:b w:val="0"/>
          <w:bCs w:val="0"/>
          <w:spacing w:val="-4"/>
          <w:sz w:val="32"/>
          <w:szCs w:val="32"/>
        </w:rPr>
        <w:t>；</w:t>
      </w:r>
    </w:p>
    <w:p w14:paraId="71B8DAE8">
      <w:pPr>
        <w:tabs>
          <w:tab w:val="center" w:pos="4295"/>
        </w:tabs>
        <w:spacing w:line="540" w:lineRule="exact"/>
        <w:ind w:firstLine="567" w:firstLineChars="0"/>
        <w:rPr>
          <w:rStyle w:val="16"/>
          <w:rFonts w:hint="default" w:ascii="楷体" w:hAnsi="楷体" w:eastAsia="楷体" w:cs="Times New Roman"/>
          <w:b w:val="0"/>
          <w:bCs w:val="0"/>
          <w:spacing w:val="-4"/>
          <w:sz w:val="32"/>
          <w:szCs w:val="32"/>
          <w:lang w:val="en-US" w:eastAsia="zh-CN"/>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lang w:val="en-US" w:eastAsia="zh-CN"/>
        </w:rPr>
        <w:t>4.00</w:t>
      </w:r>
      <w:r>
        <w:rPr>
          <w:rStyle w:val="16"/>
          <w:rFonts w:hint="eastAsia" w:ascii="楷体" w:hAnsi="楷体" w:eastAsia="楷体" w:cs="Times New Roman"/>
          <w:b w:val="0"/>
          <w:bCs w:val="0"/>
          <w:spacing w:val="-4"/>
          <w:sz w:val="32"/>
          <w:szCs w:val="32"/>
          <w:lang w:eastAsia="zh-Hans"/>
        </w:rPr>
        <w:t>分，根据评分标准</w:t>
      </w:r>
      <w:r>
        <w:rPr>
          <w:rStyle w:val="16"/>
          <w:rFonts w:hint="eastAsia" w:ascii="楷体" w:hAnsi="楷体" w:eastAsia="楷体" w:cs="Times New Roman"/>
          <w:b w:val="0"/>
          <w:bCs w:val="0"/>
          <w:spacing w:val="-4"/>
          <w:sz w:val="32"/>
          <w:szCs w:val="32"/>
          <w:lang w:val="en-US" w:eastAsia="zh-CN"/>
        </w:rPr>
        <w:t>4.00</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，本项目预算编制科学。</w:t>
      </w:r>
    </w:p>
    <w:p w14:paraId="2BBB2AA0">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（2）资金分配合理性</w:t>
      </w:r>
    </w:p>
    <w:p w14:paraId="1BCAD65B">
      <w:pPr>
        <w:tabs>
          <w:tab w:val="center" w:pos="4295"/>
        </w:tabs>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本项目实际分配资金以</w:t>
      </w:r>
      <w:r>
        <w:rPr>
          <w:rStyle w:val="16"/>
          <w:rFonts w:hint="eastAsia" w:ascii="楷体" w:hAnsi="楷体" w:eastAsia="楷体" w:cs="Times New Roman"/>
          <w:b w:val="0"/>
          <w:bCs w:val="0"/>
          <w:spacing w:val="-4"/>
          <w:sz w:val="32"/>
          <w:szCs w:val="32"/>
          <w:lang w:eastAsia="zh-Hans"/>
        </w:rPr>
        <w:t>《关于呼图壁县委宣传部申请2025年党报党刊经费的请示》</w:t>
      </w:r>
      <w:r>
        <w:rPr>
          <w:rStyle w:val="16"/>
          <w:rFonts w:hint="eastAsia" w:ascii="楷体" w:hAnsi="楷体" w:eastAsia="楷体" w:cs="Times New Roman"/>
          <w:b w:val="0"/>
          <w:bCs w:val="0"/>
          <w:spacing w:val="-4"/>
          <w:sz w:val="32"/>
          <w:szCs w:val="32"/>
        </w:rPr>
        <w:t>和《</w:t>
      </w:r>
      <w:r>
        <w:rPr>
          <w:rStyle w:val="16"/>
          <w:rFonts w:hint="default" w:ascii="楷体" w:hAnsi="楷体" w:eastAsia="楷体" w:cs="Times New Roman"/>
          <w:b w:val="0"/>
          <w:bCs w:val="0"/>
          <w:spacing w:val="-4"/>
          <w:sz w:val="32"/>
          <w:szCs w:val="32"/>
          <w:lang w:val="en-US" w:eastAsia="zh-CN"/>
        </w:rPr>
        <w:t>关于做好2025年度党报党刊发行工作 严格规范报刊发行秩序的通知</w:t>
      </w:r>
      <w:r>
        <w:rPr>
          <w:rStyle w:val="16"/>
          <w:rFonts w:hint="eastAsia" w:ascii="楷体" w:hAnsi="楷体" w:eastAsia="楷体" w:cs="Times New Roman"/>
          <w:b w:val="0"/>
          <w:bCs w:val="0"/>
          <w:spacing w:val="-4"/>
          <w:sz w:val="32"/>
          <w:szCs w:val="32"/>
        </w:rPr>
        <w:t>》</w:t>
      </w:r>
      <w:r>
        <w:rPr>
          <w:rStyle w:val="16"/>
          <w:rFonts w:hint="eastAsia" w:ascii="楷体" w:hAnsi="楷体" w:eastAsia="楷体" w:cs="Times New Roman"/>
          <w:b w:val="0"/>
          <w:bCs w:val="0"/>
          <w:spacing w:val="-4"/>
          <w:sz w:val="32"/>
          <w:szCs w:val="32"/>
          <w:lang w:eastAsia="zh-Hans"/>
        </w:rPr>
        <w:t>为依据进行资金分配，预算资金分配依据充分</w:t>
      </w:r>
      <w:r>
        <w:rPr>
          <w:rStyle w:val="16"/>
          <w:rFonts w:hint="eastAsia" w:ascii="楷体" w:hAnsi="楷体" w:eastAsia="楷体" w:cs="Times New Roman"/>
          <w:b w:val="0"/>
          <w:bCs w:val="0"/>
          <w:spacing w:val="-4"/>
          <w:sz w:val="32"/>
          <w:szCs w:val="32"/>
        </w:rPr>
        <w:t>。</w:t>
      </w:r>
      <w:r>
        <w:rPr>
          <w:rStyle w:val="16"/>
          <w:rFonts w:hint="eastAsia" w:ascii="楷体" w:hAnsi="楷体" w:eastAsia="楷体" w:cs="Times New Roman"/>
          <w:b w:val="0"/>
          <w:bCs w:val="0"/>
          <w:spacing w:val="-4"/>
          <w:sz w:val="32"/>
          <w:szCs w:val="32"/>
          <w:lang w:eastAsia="zh-Hans"/>
        </w:rPr>
        <w:t>根据</w:t>
      </w:r>
      <w:r>
        <w:rPr>
          <w:rStyle w:val="16"/>
          <w:rFonts w:hint="eastAsia" w:ascii="楷体" w:hAnsi="楷体" w:eastAsia="楷体" w:cs="Times New Roman"/>
          <w:b w:val="0"/>
          <w:bCs w:val="0"/>
          <w:spacing w:val="-4"/>
          <w:sz w:val="32"/>
          <w:szCs w:val="32"/>
          <w:lang w:eastAsia="zh-CN"/>
        </w:rPr>
        <w:t>《</w:t>
      </w:r>
      <w:r>
        <w:rPr>
          <w:rStyle w:val="16"/>
          <w:rFonts w:hint="eastAsia" w:ascii="楷体" w:hAnsi="楷体" w:eastAsia="楷体" w:cs="Times New Roman"/>
          <w:b w:val="0"/>
          <w:bCs w:val="0"/>
          <w:spacing w:val="-4"/>
          <w:sz w:val="32"/>
          <w:szCs w:val="32"/>
          <w:lang w:eastAsia="zh-Hans"/>
        </w:rPr>
        <w:t>关于呼图壁县委宣传部申请2025年党报党刊经费的请示</w:t>
      </w:r>
      <w:r>
        <w:rPr>
          <w:rStyle w:val="16"/>
          <w:rFonts w:hint="eastAsia" w:ascii="楷体" w:hAnsi="楷体" w:eastAsia="楷体" w:cs="Times New Roman"/>
          <w:b w:val="0"/>
          <w:bCs w:val="0"/>
          <w:spacing w:val="-4"/>
          <w:sz w:val="32"/>
          <w:szCs w:val="32"/>
          <w:lang w:eastAsia="zh-CN"/>
        </w:rPr>
        <w:t>》</w:t>
      </w:r>
      <w:r>
        <w:rPr>
          <w:rStyle w:val="16"/>
          <w:rFonts w:hint="eastAsia" w:ascii="楷体" w:hAnsi="楷体" w:eastAsia="楷体" w:cs="Times New Roman"/>
          <w:b w:val="0"/>
          <w:bCs w:val="0"/>
          <w:spacing w:val="-4"/>
          <w:sz w:val="32"/>
          <w:szCs w:val="32"/>
          <w:lang w:eastAsia="zh-Hans"/>
        </w:rPr>
        <w:t>文件显示，本项目实际到位资金</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lang w:eastAsia="zh-Hans"/>
        </w:rPr>
        <w:t>万元，实际分配资金与我单位提交申请的资金额度一</w:t>
      </w:r>
      <w:r>
        <w:rPr>
          <w:rStyle w:val="16"/>
          <w:rFonts w:hint="eastAsia" w:ascii="楷体" w:hAnsi="楷体" w:eastAsia="楷体" w:cs="Times New Roman"/>
          <w:b w:val="0"/>
          <w:bCs w:val="0"/>
          <w:spacing w:val="-4"/>
          <w:sz w:val="32"/>
          <w:szCs w:val="32"/>
        </w:rPr>
        <w:t>致，</w:t>
      </w:r>
      <w:r>
        <w:rPr>
          <w:rStyle w:val="16"/>
          <w:rFonts w:hint="eastAsia" w:ascii="楷体" w:hAnsi="楷体" w:eastAsia="楷体" w:cs="Times New Roman"/>
          <w:b w:val="0"/>
          <w:bCs w:val="0"/>
          <w:spacing w:val="-4"/>
          <w:sz w:val="32"/>
          <w:szCs w:val="32"/>
          <w:lang w:eastAsia="zh-Hans"/>
        </w:rPr>
        <w:t>资金分配额度合理，与</w:t>
      </w:r>
      <w:r>
        <w:rPr>
          <w:rStyle w:val="16"/>
          <w:rFonts w:hint="eastAsia" w:ascii="楷体" w:hAnsi="楷体" w:eastAsia="楷体" w:cs="Times New Roman"/>
          <w:b w:val="0"/>
          <w:bCs w:val="0"/>
          <w:spacing w:val="-4"/>
          <w:sz w:val="32"/>
          <w:szCs w:val="32"/>
        </w:rPr>
        <w:t>我</w:t>
      </w:r>
      <w:r>
        <w:rPr>
          <w:rStyle w:val="16"/>
          <w:rFonts w:hint="eastAsia" w:ascii="楷体" w:hAnsi="楷体" w:eastAsia="楷体" w:cs="Times New Roman"/>
          <w:b w:val="0"/>
          <w:bCs w:val="0"/>
          <w:spacing w:val="-4"/>
          <w:sz w:val="32"/>
          <w:szCs w:val="32"/>
          <w:lang w:eastAsia="zh-Hans"/>
        </w:rPr>
        <w:t>单位实际</w:t>
      </w:r>
      <w:r>
        <w:rPr>
          <w:rStyle w:val="16"/>
          <w:rFonts w:hint="eastAsia" w:ascii="楷体" w:hAnsi="楷体" w:eastAsia="楷体" w:cs="Times New Roman"/>
          <w:b w:val="0"/>
          <w:bCs w:val="0"/>
          <w:spacing w:val="-4"/>
          <w:sz w:val="32"/>
          <w:szCs w:val="32"/>
        </w:rPr>
        <w:t>需求</w:t>
      </w:r>
      <w:r>
        <w:rPr>
          <w:rStyle w:val="16"/>
          <w:rFonts w:hint="eastAsia" w:ascii="楷体" w:hAnsi="楷体" w:eastAsia="楷体" w:cs="Times New Roman"/>
          <w:b w:val="0"/>
          <w:bCs w:val="0"/>
          <w:spacing w:val="-4"/>
          <w:sz w:val="32"/>
          <w:szCs w:val="32"/>
          <w:lang w:eastAsia="zh-Hans"/>
        </w:rPr>
        <w:t>相适应</w:t>
      </w:r>
      <w:r>
        <w:rPr>
          <w:rStyle w:val="16"/>
          <w:rFonts w:hint="eastAsia" w:ascii="楷体" w:hAnsi="楷体" w:eastAsia="楷体" w:cs="Times New Roman"/>
          <w:b w:val="0"/>
          <w:bCs w:val="0"/>
          <w:spacing w:val="-4"/>
          <w:sz w:val="32"/>
          <w:szCs w:val="32"/>
        </w:rPr>
        <w:t>。</w:t>
      </w:r>
    </w:p>
    <w:p w14:paraId="38D88615">
      <w:pPr>
        <w:tabs>
          <w:tab w:val="center" w:pos="4295"/>
        </w:tabs>
        <w:spacing w:line="540" w:lineRule="exact"/>
        <w:ind w:firstLine="567" w:firstLineChars="0"/>
        <w:rPr>
          <w:rFonts w:hint="eastAsia"/>
          <w:color w:val="auto"/>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2.00</w:t>
      </w:r>
      <w:r>
        <w:rPr>
          <w:rStyle w:val="16"/>
          <w:rFonts w:hint="eastAsia" w:ascii="楷体" w:hAnsi="楷体" w:eastAsia="楷体" w:cs="Times New Roman"/>
          <w:b w:val="0"/>
          <w:bCs w:val="0"/>
          <w:spacing w:val="-4"/>
          <w:sz w:val="32"/>
          <w:szCs w:val="32"/>
          <w:lang w:eastAsia="zh-Hans"/>
        </w:rPr>
        <w:t>分，根据评分标准得</w:t>
      </w:r>
      <w:r>
        <w:rPr>
          <w:rStyle w:val="16"/>
          <w:rFonts w:hint="eastAsia" w:ascii="楷体" w:hAnsi="楷体" w:eastAsia="楷体" w:cs="Times New Roman"/>
          <w:b w:val="0"/>
          <w:bCs w:val="0"/>
          <w:spacing w:val="-4"/>
          <w:sz w:val="32"/>
          <w:szCs w:val="32"/>
        </w:rPr>
        <w:t>2.00</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，本项目资金分配合理。</w:t>
      </w:r>
    </w:p>
    <w:p w14:paraId="5D03DFC0">
      <w:pPr>
        <w:spacing w:line="540" w:lineRule="exact"/>
        <w:ind w:firstLine="567" w:firstLineChars="181"/>
        <w:rPr>
          <w:color w:val="auto"/>
        </w:rPr>
      </w:pPr>
      <w:r>
        <w:rPr>
          <w:rFonts w:hint="eastAsia" w:ascii="楷体" w:hAnsi="楷体" w:eastAsia="楷体" w:cs="Times New Roman"/>
          <w:b/>
          <w:spacing w:val="-4"/>
          <w:sz w:val="32"/>
          <w:szCs w:val="32"/>
        </w:rPr>
        <w:t>（二）项目过程情况</w:t>
      </w:r>
    </w:p>
    <w:p w14:paraId="06ED7D8A">
      <w:pPr>
        <w:spacing w:line="540" w:lineRule="exact"/>
        <w:ind w:firstLine="567" w:firstLineChars="0"/>
        <w:rPr>
          <w:rStyle w:val="16"/>
          <w:rFonts w:hint="eastAsia" w:ascii="楷体" w:hAnsi="楷体" w:eastAsia="楷体" w:cs="Times New Roman"/>
          <w:b w:val="0"/>
          <w:bCs w:val="0"/>
          <w:spacing w:val="-4"/>
          <w:sz w:val="32"/>
          <w:szCs w:val="32"/>
          <w:lang w:val="zh-TW"/>
        </w:rPr>
      </w:pPr>
      <w:r>
        <w:rPr>
          <w:rStyle w:val="16"/>
          <w:rFonts w:hint="eastAsia" w:ascii="楷体" w:hAnsi="楷体" w:eastAsia="楷体" w:cs="Times New Roman"/>
          <w:b w:val="0"/>
          <w:bCs w:val="0"/>
          <w:spacing w:val="-4"/>
          <w:sz w:val="32"/>
          <w:szCs w:val="32"/>
          <w:lang w:val="zh-TW" w:eastAsia="zh-TW"/>
        </w:rPr>
        <w:t>项目</w:t>
      </w:r>
      <w:r>
        <w:rPr>
          <w:rStyle w:val="16"/>
          <w:rFonts w:hint="eastAsia" w:ascii="楷体" w:hAnsi="楷体" w:eastAsia="楷体" w:cs="Times New Roman"/>
          <w:b w:val="0"/>
          <w:bCs w:val="0"/>
          <w:spacing w:val="-4"/>
          <w:sz w:val="32"/>
          <w:szCs w:val="32"/>
        </w:rPr>
        <w:t>过程管理</w:t>
      </w:r>
      <w:r>
        <w:rPr>
          <w:rStyle w:val="16"/>
          <w:rFonts w:hint="eastAsia" w:ascii="楷体" w:hAnsi="楷体" w:eastAsia="楷体" w:cs="Times New Roman"/>
          <w:b w:val="0"/>
          <w:bCs w:val="0"/>
          <w:spacing w:val="-4"/>
          <w:sz w:val="32"/>
          <w:szCs w:val="32"/>
          <w:lang w:val="zh-TW" w:eastAsia="zh-TW"/>
        </w:rPr>
        <w:t>类指标由</w:t>
      </w:r>
      <w:r>
        <w:rPr>
          <w:rStyle w:val="16"/>
          <w:rFonts w:hint="eastAsia" w:ascii="楷体" w:hAnsi="楷体" w:eastAsia="楷体" w:cs="Times New Roman"/>
          <w:b w:val="0"/>
          <w:bCs w:val="0"/>
          <w:spacing w:val="-4"/>
          <w:sz w:val="32"/>
          <w:szCs w:val="32"/>
        </w:rPr>
        <w:t>2</w:t>
      </w:r>
      <w:r>
        <w:rPr>
          <w:rStyle w:val="16"/>
          <w:rFonts w:hint="eastAsia" w:ascii="楷体" w:hAnsi="楷体" w:eastAsia="楷体" w:cs="Times New Roman"/>
          <w:b w:val="0"/>
          <w:bCs w:val="0"/>
          <w:spacing w:val="-4"/>
          <w:sz w:val="32"/>
          <w:szCs w:val="32"/>
          <w:lang w:val="zh-TW" w:eastAsia="zh-TW"/>
        </w:rPr>
        <w:t>个</w:t>
      </w:r>
      <w:r>
        <w:rPr>
          <w:rStyle w:val="16"/>
          <w:rFonts w:hint="eastAsia" w:ascii="楷体" w:hAnsi="楷体" w:eastAsia="楷体" w:cs="Times New Roman"/>
          <w:b w:val="0"/>
          <w:bCs w:val="0"/>
          <w:spacing w:val="-4"/>
          <w:sz w:val="32"/>
          <w:szCs w:val="32"/>
          <w:lang w:val="zh-TW"/>
        </w:rPr>
        <w:t>二</w:t>
      </w:r>
      <w:r>
        <w:rPr>
          <w:rStyle w:val="16"/>
          <w:rFonts w:hint="eastAsia" w:ascii="楷体" w:hAnsi="楷体" w:eastAsia="楷体" w:cs="Times New Roman"/>
          <w:b w:val="0"/>
          <w:bCs w:val="0"/>
          <w:spacing w:val="-4"/>
          <w:sz w:val="32"/>
          <w:szCs w:val="32"/>
          <w:lang w:val="zh-TW" w:eastAsia="zh-TW"/>
        </w:rPr>
        <w:t>级指标和</w:t>
      </w:r>
      <w:r>
        <w:rPr>
          <w:rStyle w:val="16"/>
          <w:rFonts w:hint="eastAsia" w:ascii="楷体" w:hAnsi="楷体" w:eastAsia="楷体" w:cs="Times New Roman"/>
          <w:b w:val="0"/>
          <w:bCs w:val="0"/>
          <w:spacing w:val="-4"/>
          <w:sz w:val="32"/>
          <w:szCs w:val="32"/>
        </w:rPr>
        <w:t>5</w:t>
      </w:r>
      <w:r>
        <w:rPr>
          <w:rStyle w:val="16"/>
          <w:rFonts w:hint="eastAsia" w:ascii="楷体" w:hAnsi="楷体" w:eastAsia="楷体" w:cs="Times New Roman"/>
          <w:b w:val="0"/>
          <w:bCs w:val="0"/>
          <w:spacing w:val="-4"/>
          <w:sz w:val="32"/>
          <w:szCs w:val="32"/>
          <w:lang w:val="zh-TW" w:eastAsia="zh-TW"/>
        </w:rPr>
        <w:t>个</w:t>
      </w:r>
      <w:r>
        <w:rPr>
          <w:rStyle w:val="16"/>
          <w:rFonts w:hint="eastAsia" w:ascii="楷体" w:hAnsi="楷体" w:eastAsia="楷体" w:cs="Times New Roman"/>
          <w:b w:val="0"/>
          <w:bCs w:val="0"/>
          <w:spacing w:val="-4"/>
          <w:sz w:val="32"/>
          <w:szCs w:val="32"/>
        </w:rPr>
        <w:t>三</w:t>
      </w:r>
      <w:r>
        <w:rPr>
          <w:rStyle w:val="16"/>
          <w:rFonts w:hint="eastAsia" w:ascii="楷体" w:hAnsi="楷体" w:eastAsia="楷体" w:cs="Times New Roman"/>
          <w:b w:val="0"/>
          <w:bCs w:val="0"/>
          <w:spacing w:val="-4"/>
          <w:sz w:val="32"/>
          <w:szCs w:val="32"/>
          <w:lang w:val="zh-TW" w:eastAsia="zh-TW"/>
        </w:rPr>
        <w:t>级指标构成，权重分</w:t>
      </w:r>
      <w:r>
        <w:rPr>
          <w:rStyle w:val="16"/>
          <w:rFonts w:hint="eastAsia" w:ascii="楷体" w:hAnsi="楷体" w:eastAsia="楷体" w:cs="Times New Roman"/>
          <w:b w:val="0"/>
          <w:bCs w:val="0"/>
          <w:spacing w:val="-4"/>
          <w:sz w:val="32"/>
          <w:szCs w:val="32"/>
        </w:rPr>
        <w:t>19.00</w:t>
      </w:r>
      <w:r>
        <w:rPr>
          <w:rStyle w:val="16"/>
          <w:rFonts w:hint="eastAsia" w:ascii="楷体" w:hAnsi="楷体" w:eastAsia="楷体" w:cs="Times New Roman"/>
          <w:b w:val="0"/>
          <w:bCs w:val="0"/>
          <w:spacing w:val="-4"/>
          <w:sz w:val="32"/>
          <w:szCs w:val="32"/>
          <w:lang w:val="zh-TW" w:eastAsia="zh-TW"/>
        </w:rPr>
        <w:t>分，实际得分</w:t>
      </w:r>
      <w:r>
        <w:rPr>
          <w:rStyle w:val="16"/>
          <w:rFonts w:hint="eastAsia" w:ascii="楷体" w:hAnsi="楷体" w:eastAsia="楷体" w:cs="Times New Roman"/>
          <w:b w:val="0"/>
          <w:bCs w:val="0"/>
          <w:spacing w:val="-4"/>
          <w:sz w:val="32"/>
          <w:szCs w:val="32"/>
          <w:lang w:val="en-US" w:eastAsia="zh-CN"/>
        </w:rPr>
        <w:t>19</w:t>
      </w:r>
      <w:r>
        <w:rPr>
          <w:rStyle w:val="16"/>
          <w:rFonts w:hint="eastAsia" w:ascii="楷体" w:hAnsi="楷体" w:eastAsia="楷体" w:cs="Times New Roman"/>
          <w:b w:val="0"/>
          <w:bCs w:val="0"/>
          <w:spacing w:val="-4"/>
          <w:sz w:val="32"/>
          <w:szCs w:val="32"/>
          <w:lang w:val="zh-TW" w:eastAsia="zh-TW"/>
        </w:rPr>
        <w:t>分</w:t>
      </w:r>
      <w:r>
        <w:rPr>
          <w:rStyle w:val="16"/>
          <w:rFonts w:hint="eastAsia" w:ascii="楷体" w:hAnsi="楷体" w:eastAsia="楷体" w:cs="Times New Roman"/>
          <w:b w:val="0"/>
          <w:bCs w:val="0"/>
          <w:spacing w:val="-4"/>
          <w:sz w:val="32"/>
          <w:szCs w:val="32"/>
          <w:lang w:val="zh-TW"/>
        </w:rPr>
        <w:t>。</w:t>
      </w:r>
    </w:p>
    <w:p w14:paraId="686BDC74">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1.资金管理情况分析</w:t>
      </w:r>
    </w:p>
    <w:p w14:paraId="61FF2EA1">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（1）资金到位率</w:t>
      </w:r>
    </w:p>
    <w:p w14:paraId="6DF88B6C">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本项目预算资金为</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万元，其中：本级财政安排资金</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万元，其他资金</w:t>
      </w:r>
      <w:r>
        <w:rPr>
          <w:rStyle w:val="16"/>
          <w:rFonts w:hint="eastAsia" w:ascii="楷体" w:hAnsi="楷体" w:eastAsia="楷体" w:cs="Times New Roman"/>
          <w:b w:val="0"/>
          <w:bCs w:val="0"/>
          <w:spacing w:val="-4"/>
          <w:sz w:val="32"/>
          <w:szCs w:val="32"/>
          <w:lang w:val="en-US" w:eastAsia="zh-CN"/>
        </w:rPr>
        <w:t>0</w:t>
      </w:r>
      <w:r>
        <w:rPr>
          <w:rStyle w:val="16"/>
          <w:rFonts w:hint="eastAsia" w:ascii="楷体" w:hAnsi="楷体" w:eastAsia="楷体" w:cs="Times New Roman"/>
          <w:b w:val="0"/>
          <w:bCs w:val="0"/>
          <w:spacing w:val="-4"/>
          <w:sz w:val="32"/>
          <w:szCs w:val="32"/>
        </w:rPr>
        <w:t>万元，实际到位资金</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万元，资金到位率=（实际到位资金/预算资金）×100.00%=（</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万元）*100.00%=</w:t>
      </w:r>
      <w:r>
        <w:rPr>
          <w:rStyle w:val="16"/>
          <w:rFonts w:hint="eastAsia" w:ascii="楷体" w:hAnsi="楷体" w:eastAsia="楷体" w:cs="Times New Roman"/>
          <w:b w:val="0"/>
          <w:bCs w:val="0"/>
          <w:spacing w:val="-4"/>
          <w:sz w:val="32"/>
          <w:szCs w:val="32"/>
          <w:lang w:val="en-US" w:eastAsia="zh-CN"/>
        </w:rPr>
        <w:t>100</w:t>
      </w:r>
      <w:r>
        <w:rPr>
          <w:rStyle w:val="16"/>
          <w:rFonts w:hint="eastAsia" w:ascii="楷体" w:hAnsi="楷体" w:eastAsia="楷体" w:cs="Times New Roman"/>
          <w:b w:val="0"/>
          <w:bCs w:val="0"/>
          <w:spacing w:val="-4"/>
          <w:sz w:val="32"/>
          <w:szCs w:val="32"/>
        </w:rPr>
        <w:t>%。得分=资金到位率*分值=</w:t>
      </w:r>
      <w:r>
        <w:rPr>
          <w:rStyle w:val="16"/>
          <w:rFonts w:hint="eastAsia" w:ascii="楷体" w:hAnsi="楷体" w:eastAsia="楷体" w:cs="Times New Roman"/>
          <w:b w:val="0"/>
          <w:bCs w:val="0"/>
          <w:spacing w:val="-4"/>
          <w:sz w:val="32"/>
          <w:szCs w:val="32"/>
          <w:lang w:val="en-US" w:eastAsia="zh-CN"/>
        </w:rPr>
        <w:t>100</w:t>
      </w:r>
      <w:r>
        <w:rPr>
          <w:rStyle w:val="16"/>
          <w:rFonts w:hint="eastAsia" w:ascii="楷体" w:hAnsi="楷体" w:eastAsia="楷体" w:cs="Times New Roman"/>
          <w:b w:val="0"/>
          <w:bCs w:val="0"/>
          <w:spacing w:val="-4"/>
          <w:sz w:val="32"/>
          <w:szCs w:val="32"/>
        </w:rPr>
        <w:t>%*4=</w:t>
      </w:r>
      <w:r>
        <w:rPr>
          <w:rStyle w:val="16"/>
          <w:rFonts w:hint="eastAsia" w:ascii="楷体" w:hAnsi="楷体" w:eastAsia="楷体" w:cs="Times New Roman"/>
          <w:b w:val="0"/>
          <w:bCs w:val="0"/>
          <w:spacing w:val="-4"/>
          <w:sz w:val="32"/>
          <w:szCs w:val="32"/>
          <w:lang w:val="en-US" w:eastAsia="zh-CN"/>
        </w:rPr>
        <w:t>4</w:t>
      </w:r>
      <w:r>
        <w:rPr>
          <w:rStyle w:val="16"/>
          <w:rFonts w:hint="eastAsia" w:ascii="楷体" w:hAnsi="楷体" w:eastAsia="楷体" w:cs="Times New Roman"/>
          <w:b w:val="0"/>
          <w:bCs w:val="0"/>
          <w:spacing w:val="-4"/>
          <w:sz w:val="32"/>
          <w:szCs w:val="32"/>
        </w:rPr>
        <w:t>分。</w:t>
      </w:r>
    </w:p>
    <w:p w14:paraId="01233060">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4.00</w:t>
      </w:r>
      <w:r>
        <w:rPr>
          <w:rStyle w:val="16"/>
          <w:rFonts w:hint="eastAsia" w:ascii="楷体" w:hAnsi="楷体" w:eastAsia="楷体" w:cs="Times New Roman"/>
          <w:b w:val="0"/>
          <w:bCs w:val="0"/>
          <w:spacing w:val="-4"/>
          <w:sz w:val="32"/>
          <w:szCs w:val="32"/>
          <w:lang w:eastAsia="zh-Hans"/>
        </w:rPr>
        <w:t>分，根据评分标准得</w:t>
      </w:r>
      <w:r>
        <w:rPr>
          <w:rStyle w:val="16"/>
          <w:rFonts w:hint="eastAsia" w:ascii="楷体" w:hAnsi="楷体" w:eastAsia="楷体" w:cs="Times New Roman"/>
          <w:b w:val="0"/>
          <w:bCs w:val="0"/>
          <w:spacing w:val="-4"/>
          <w:sz w:val="32"/>
          <w:szCs w:val="32"/>
          <w:lang w:val="en-US" w:eastAsia="zh-CN"/>
        </w:rPr>
        <w:t>4</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，本项目资金分配合理。</w:t>
      </w:r>
    </w:p>
    <w:p w14:paraId="459E02ED">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（2）预算执行率</w:t>
      </w:r>
    </w:p>
    <w:p w14:paraId="64068B98">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本项目实际支出资金</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w:t>
      </w:r>
      <w:r>
        <w:rPr>
          <w:rStyle w:val="16"/>
          <w:rFonts w:hint="eastAsia" w:ascii="楷体" w:hAnsi="楷体" w:eastAsia="楷体" w:cs="Times New Roman"/>
          <w:b w:val="0"/>
          <w:bCs w:val="0"/>
          <w:spacing w:val="-4"/>
          <w:sz w:val="32"/>
          <w:szCs w:val="32"/>
          <w:lang w:eastAsia="zh-Hans"/>
        </w:rPr>
        <w:t>预算执行率=（实际支出资金/实际到位资金）×100.00%=</w:t>
      </w:r>
      <w:r>
        <w:rPr>
          <w:rStyle w:val="16"/>
          <w:rFonts w:hint="eastAsia" w:ascii="楷体" w:hAnsi="楷体" w:eastAsia="楷体" w:cs="Times New Roman"/>
          <w:b w:val="0"/>
          <w:bCs w:val="0"/>
          <w:spacing w:val="-4"/>
          <w:sz w:val="32"/>
          <w:szCs w:val="32"/>
        </w:rPr>
        <w:t>（</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w:t>
      </w:r>
      <w:r>
        <w:rPr>
          <w:rStyle w:val="16"/>
          <w:rFonts w:hint="eastAsia" w:ascii="楷体" w:hAnsi="楷体" w:eastAsia="楷体" w:cs="Times New Roman"/>
          <w:b w:val="0"/>
          <w:bCs w:val="0"/>
          <w:spacing w:val="-4"/>
          <w:sz w:val="32"/>
          <w:szCs w:val="32"/>
          <w:lang w:val="en-US" w:eastAsia="zh-CN"/>
        </w:rPr>
        <w:t>156.42</w:t>
      </w:r>
      <w:r>
        <w:rPr>
          <w:rStyle w:val="16"/>
          <w:rFonts w:hint="eastAsia" w:ascii="楷体" w:hAnsi="楷体" w:eastAsia="楷体" w:cs="Times New Roman"/>
          <w:b w:val="0"/>
          <w:bCs w:val="0"/>
          <w:spacing w:val="-4"/>
          <w:sz w:val="32"/>
          <w:szCs w:val="32"/>
        </w:rPr>
        <w:t>万元）*100.00%=</w:t>
      </w:r>
      <w:r>
        <w:rPr>
          <w:rStyle w:val="16"/>
          <w:rFonts w:hint="eastAsia" w:ascii="楷体" w:hAnsi="楷体" w:eastAsia="楷体" w:cs="Times New Roman"/>
          <w:b w:val="0"/>
          <w:bCs w:val="0"/>
          <w:spacing w:val="-4"/>
          <w:sz w:val="32"/>
          <w:szCs w:val="32"/>
          <w:lang w:val="en-US" w:eastAsia="zh-CN"/>
        </w:rPr>
        <w:t>100</w:t>
      </w:r>
      <w:r>
        <w:rPr>
          <w:rStyle w:val="16"/>
          <w:rFonts w:hint="eastAsia" w:ascii="楷体" w:hAnsi="楷体" w:eastAsia="楷体" w:cs="Times New Roman"/>
          <w:b w:val="0"/>
          <w:bCs w:val="0"/>
          <w:spacing w:val="-4"/>
          <w:sz w:val="32"/>
          <w:szCs w:val="32"/>
        </w:rPr>
        <w:t>%。得分=</w:t>
      </w:r>
      <w:r>
        <w:rPr>
          <w:rStyle w:val="16"/>
          <w:rFonts w:hint="eastAsia" w:ascii="楷体" w:hAnsi="楷体" w:eastAsia="楷体" w:cs="Times New Roman"/>
          <w:b w:val="0"/>
          <w:bCs w:val="0"/>
          <w:spacing w:val="-4"/>
          <w:sz w:val="32"/>
          <w:szCs w:val="32"/>
          <w:lang w:eastAsia="zh-Hans"/>
        </w:rPr>
        <w:t>预算执行率</w:t>
      </w:r>
      <w:r>
        <w:rPr>
          <w:rStyle w:val="16"/>
          <w:rFonts w:hint="eastAsia" w:ascii="楷体" w:hAnsi="楷体" w:eastAsia="楷体" w:cs="Times New Roman"/>
          <w:b w:val="0"/>
          <w:bCs w:val="0"/>
          <w:spacing w:val="-4"/>
          <w:sz w:val="32"/>
          <w:szCs w:val="32"/>
        </w:rPr>
        <w:t>*分值=</w:t>
      </w:r>
      <w:r>
        <w:rPr>
          <w:rStyle w:val="16"/>
          <w:rFonts w:hint="eastAsia" w:ascii="楷体" w:hAnsi="楷体" w:eastAsia="楷体" w:cs="Times New Roman"/>
          <w:b w:val="0"/>
          <w:bCs w:val="0"/>
          <w:spacing w:val="-4"/>
          <w:sz w:val="32"/>
          <w:szCs w:val="32"/>
          <w:lang w:val="en-US" w:eastAsia="zh-CN"/>
        </w:rPr>
        <w:t>100</w:t>
      </w:r>
      <w:r>
        <w:rPr>
          <w:rStyle w:val="16"/>
          <w:rFonts w:hint="eastAsia" w:ascii="楷体" w:hAnsi="楷体" w:eastAsia="楷体" w:cs="Times New Roman"/>
          <w:b w:val="0"/>
          <w:bCs w:val="0"/>
          <w:spacing w:val="-4"/>
          <w:sz w:val="32"/>
          <w:szCs w:val="32"/>
        </w:rPr>
        <w:t>%*5=</w:t>
      </w:r>
      <w:r>
        <w:rPr>
          <w:rStyle w:val="16"/>
          <w:rFonts w:hint="eastAsia" w:ascii="楷体" w:hAnsi="楷体" w:eastAsia="楷体" w:cs="Times New Roman"/>
          <w:b w:val="0"/>
          <w:bCs w:val="0"/>
          <w:spacing w:val="-4"/>
          <w:sz w:val="32"/>
          <w:szCs w:val="32"/>
          <w:lang w:val="en-US" w:eastAsia="zh-CN"/>
        </w:rPr>
        <w:t>5</w:t>
      </w:r>
      <w:r>
        <w:rPr>
          <w:rStyle w:val="16"/>
          <w:rFonts w:hint="eastAsia" w:ascii="楷体" w:hAnsi="楷体" w:eastAsia="楷体" w:cs="Times New Roman"/>
          <w:b w:val="0"/>
          <w:bCs w:val="0"/>
          <w:spacing w:val="-4"/>
          <w:sz w:val="32"/>
          <w:szCs w:val="32"/>
        </w:rPr>
        <w:t>分。</w:t>
      </w:r>
    </w:p>
    <w:p w14:paraId="6B31D9AF">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5.00</w:t>
      </w:r>
      <w:r>
        <w:rPr>
          <w:rStyle w:val="16"/>
          <w:rFonts w:hint="eastAsia" w:ascii="楷体" w:hAnsi="楷体" w:eastAsia="楷体" w:cs="Times New Roman"/>
          <w:b w:val="0"/>
          <w:bCs w:val="0"/>
          <w:spacing w:val="-4"/>
          <w:sz w:val="32"/>
          <w:szCs w:val="32"/>
          <w:lang w:eastAsia="zh-Hans"/>
        </w:rPr>
        <w:t>分，根据评分标准得</w:t>
      </w:r>
      <w:r>
        <w:rPr>
          <w:rStyle w:val="16"/>
          <w:rFonts w:hint="eastAsia" w:ascii="楷体" w:hAnsi="楷体" w:eastAsia="楷体" w:cs="Times New Roman"/>
          <w:b w:val="0"/>
          <w:bCs w:val="0"/>
          <w:spacing w:val="-4"/>
          <w:sz w:val="32"/>
          <w:szCs w:val="32"/>
          <w:lang w:val="en-US" w:eastAsia="zh-CN"/>
        </w:rPr>
        <w:t>5</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，本项目资金分配合理。</w:t>
      </w:r>
    </w:p>
    <w:p w14:paraId="279AF749">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（3）资金使用合规性</w:t>
      </w:r>
    </w:p>
    <w:p w14:paraId="68C2AFF5">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通过检查本项目签订的合同、资金申请文件、发票等财务付款凭证，得出本项目资金支出符合国家财经法规、《政府会计制度》以及《</w:t>
      </w:r>
      <w:r>
        <w:rPr>
          <w:rStyle w:val="16"/>
          <w:rFonts w:hint="eastAsia" w:ascii="楷体" w:hAnsi="楷体" w:eastAsia="楷体" w:cs="Times New Roman"/>
          <w:b w:val="0"/>
          <w:bCs w:val="0"/>
          <w:spacing w:val="-4"/>
          <w:sz w:val="32"/>
          <w:szCs w:val="32"/>
          <w:lang w:val="en-US" w:eastAsia="zh-CN"/>
        </w:rPr>
        <w:t>中共呼图壁县委员会宣传部</w:t>
      </w:r>
      <w:r>
        <w:rPr>
          <w:rStyle w:val="16"/>
          <w:rFonts w:hint="eastAsia" w:ascii="楷体" w:hAnsi="楷体" w:eastAsia="楷体" w:cs="Times New Roman"/>
          <w:b w:val="0"/>
          <w:bCs w:val="0"/>
          <w:spacing w:val="-4"/>
          <w:sz w:val="32"/>
          <w:szCs w:val="32"/>
        </w:rPr>
        <w:t>单位资金管理办法》《</w:t>
      </w:r>
      <w:r>
        <w:rPr>
          <w:rStyle w:val="16"/>
          <w:rFonts w:hint="eastAsia" w:ascii="楷体" w:hAnsi="楷体" w:eastAsia="楷体" w:cs="Times New Roman"/>
          <w:b w:val="0"/>
          <w:bCs w:val="0"/>
          <w:spacing w:val="-4"/>
          <w:sz w:val="32"/>
          <w:szCs w:val="32"/>
          <w:lang w:val="en-US" w:eastAsia="zh-CN"/>
        </w:rPr>
        <w:t>2025年党报党刊</w:t>
      </w:r>
      <w:r>
        <w:rPr>
          <w:rStyle w:val="16"/>
          <w:rFonts w:hint="eastAsia" w:ascii="楷体" w:hAnsi="楷体" w:eastAsia="楷体" w:cs="Times New Roman"/>
          <w:b w:val="0"/>
          <w:bCs w:val="0"/>
          <w:spacing w:val="-4"/>
          <w:sz w:val="32"/>
          <w:szCs w:val="32"/>
        </w:rPr>
        <w:t>专项资金管理办法》，资金的拨付有完整的审批程序和手续，资金实际使用方向与预算批复用途一致，不存在截留、挤占、挪用、虚列支出的情况。</w:t>
      </w:r>
    </w:p>
    <w:p w14:paraId="3DB41EF7">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4.00</w:t>
      </w:r>
      <w:r>
        <w:rPr>
          <w:rStyle w:val="16"/>
          <w:rFonts w:hint="eastAsia" w:ascii="楷体" w:hAnsi="楷体" w:eastAsia="楷体" w:cs="Times New Roman"/>
          <w:b w:val="0"/>
          <w:bCs w:val="0"/>
          <w:spacing w:val="-4"/>
          <w:sz w:val="32"/>
          <w:szCs w:val="32"/>
          <w:lang w:eastAsia="zh-Hans"/>
        </w:rPr>
        <w:t>分，根据评分标准得</w:t>
      </w:r>
      <w:r>
        <w:rPr>
          <w:rStyle w:val="16"/>
          <w:rFonts w:hint="eastAsia" w:ascii="楷体" w:hAnsi="楷体" w:eastAsia="楷体" w:cs="Times New Roman"/>
          <w:b w:val="0"/>
          <w:bCs w:val="0"/>
          <w:spacing w:val="-4"/>
          <w:sz w:val="32"/>
          <w:szCs w:val="32"/>
          <w:lang w:val="en-US" w:eastAsia="zh-CN"/>
        </w:rPr>
        <w:t>4</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，资金支出符合我单位财务管理制度规定。</w:t>
      </w:r>
    </w:p>
    <w:p w14:paraId="1ACA609E">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2.组织实施情况分析</w:t>
      </w:r>
    </w:p>
    <w:p w14:paraId="3E8889B5">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（1）管理制度健全性</w:t>
      </w:r>
    </w:p>
    <w:p w14:paraId="4A7B90AC">
      <w:pPr>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rPr>
        <w:t>我单位已制定《</w:t>
      </w:r>
      <w:r>
        <w:rPr>
          <w:rStyle w:val="16"/>
          <w:rFonts w:hint="eastAsia" w:ascii="楷体" w:hAnsi="楷体" w:eastAsia="楷体" w:cs="Times New Roman"/>
          <w:b w:val="0"/>
          <w:bCs w:val="0"/>
          <w:spacing w:val="-4"/>
          <w:sz w:val="32"/>
          <w:szCs w:val="32"/>
          <w:lang w:val="en-US" w:eastAsia="zh-CN"/>
        </w:rPr>
        <w:t>2025党报党刊</w:t>
      </w:r>
      <w:r>
        <w:rPr>
          <w:rStyle w:val="16"/>
          <w:rFonts w:hint="eastAsia" w:ascii="楷体" w:hAnsi="楷体" w:eastAsia="楷体" w:cs="Times New Roman"/>
          <w:b w:val="0"/>
          <w:bCs w:val="0"/>
          <w:spacing w:val="-4"/>
          <w:sz w:val="32"/>
          <w:szCs w:val="32"/>
        </w:rPr>
        <w:t>资金管理办法》，上述已建立的制度均符合行政事业单位内控管理要求，财务和业务管理制度合法、合规、完整，本</w:t>
      </w:r>
      <w:r>
        <w:rPr>
          <w:rStyle w:val="16"/>
          <w:rFonts w:hint="eastAsia" w:ascii="楷体" w:hAnsi="楷体" w:eastAsia="楷体" w:cs="Times New Roman"/>
          <w:b w:val="0"/>
          <w:bCs w:val="0"/>
          <w:spacing w:val="-4"/>
          <w:sz w:val="32"/>
          <w:szCs w:val="32"/>
          <w:lang w:eastAsia="zh-Hans"/>
        </w:rPr>
        <w:t>项目执行符合</w:t>
      </w:r>
      <w:r>
        <w:rPr>
          <w:rStyle w:val="16"/>
          <w:rFonts w:hint="eastAsia" w:ascii="楷体" w:hAnsi="楷体" w:eastAsia="楷体" w:cs="Times New Roman"/>
          <w:b w:val="0"/>
          <w:bCs w:val="0"/>
          <w:spacing w:val="-4"/>
          <w:sz w:val="32"/>
          <w:szCs w:val="32"/>
        </w:rPr>
        <w:t>上述制度规定</w:t>
      </w:r>
      <w:r>
        <w:rPr>
          <w:rStyle w:val="16"/>
          <w:rFonts w:hint="eastAsia" w:ascii="楷体" w:hAnsi="楷体" w:eastAsia="楷体" w:cs="Times New Roman"/>
          <w:b w:val="0"/>
          <w:bCs w:val="0"/>
          <w:spacing w:val="-4"/>
          <w:sz w:val="32"/>
          <w:szCs w:val="32"/>
          <w:lang w:eastAsia="zh-Hans"/>
        </w:rPr>
        <w:t>。</w:t>
      </w:r>
    </w:p>
    <w:p w14:paraId="2A7B6465">
      <w:pPr>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2.00</w:t>
      </w:r>
      <w:r>
        <w:rPr>
          <w:rStyle w:val="16"/>
          <w:rFonts w:hint="eastAsia" w:ascii="楷体" w:hAnsi="楷体" w:eastAsia="楷体" w:cs="Times New Roman"/>
          <w:b w:val="0"/>
          <w:bCs w:val="0"/>
          <w:spacing w:val="-4"/>
          <w:sz w:val="32"/>
          <w:szCs w:val="32"/>
          <w:lang w:eastAsia="zh-Hans"/>
        </w:rPr>
        <w:t>分，根据评分标准得</w:t>
      </w:r>
      <w:r>
        <w:rPr>
          <w:rStyle w:val="16"/>
          <w:rFonts w:hint="eastAsia" w:ascii="楷体" w:hAnsi="楷体" w:eastAsia="楷体" w:cs="Times New Roman"/>
          <w:b w:val="0"/>
          <w:bCs w:val="0"/>
          <w:spacing w:val="-4"/>
          <w:sz w:val="32"/>
          <w:szCs w:val="32"/>
          <w:lang w:val="en-US" w:eastAsia="zh-CN"/>
        </w:rPr>
        <w:t>2</w:t>
      </w:r>
      <w:r>
        <w:rPr>
          <w:rStyle w:val="16"/>
          <w:rFonts w:hint="eastAsia" w:ascii="楷体" w:hAnsi="楷体" w:eastAsia="楷体" w:cs="Times New Roman"/>
          <w:b w:val="0"/>
          <w:bCs w:val="0"/>
          <w:spacing w:val="-4"/>
          <w:sz w:val="32"/>
          <w:szCs w:val="32"/>
          <w:lang w:eastAsia="zh-Hans"/>
        </w:rPr>
        <w:t>分</w:t>
      </w:r>
      <w:r>
        <w:rPr>
          <w:rStyle w:val="16"/>
          <w:rFonts w:hint="eastAsia" w:ascii="楷体" w:hAnsi="楷体" w:eastAsia="楷体" w:cs="Times New Roman"/>
          <w:b w:val="0"/>
          <w:bCs w:val="0"/>
          <w:spacing w:val="-4"/>
          <w:sz w:val="32"/>
          <w:szCs w:val="32"/>
        </w:rPr>
        <w:t>，项目制度建设健全。</w:t>
      </w:r>
    </w:p>
    <w:p w14:paraId="172EB65A">
      <w:pPr>
        <w:spacing w:line="540" w:lineRule="exact"/>
        <w:ind w:firstLine="567" w:firstLineChars="0"/>
        <w:rPr>
          <w:rStyle w:val="16"/>
          <w:rFonts w:hint="eastAsia" w:ascii="楷体" w:hAnsi="楷体" w:eastAsia="楷体" w:cs="Times New Roman"/>
          <w:b w:val="0"/>
          <w:bCs w:val="0"/>
          <w:spacing w:val="-4"/>
          <w:sz w:val="32"/>
          <w:szCs w:val="32"/>
          <w:lang w:eastAsia="zh-Hans"/>
        </w:rPr>
      </w:pPr>
      <w:r>
        <w:rPr>
          <w:rStyle w:val="16"/>
          <w:rFonts w:hint="eastAsia" w:ascii="楷体" w:hAnsi="楷体" w:eastAsia="楷体" w:cs="Times New Roman"/>
          <w:b w:val="0"/>
          <w:bCs w:val="0"/>
          <w:spacing w:val="-4"/>
          <w:sz w:val="32"/>
          <w:szCs w:val="32"/>
        </w:rPr>
        <w:t>（2）</w:t>
      </w:r>
      <w:r>
        <w:rPr>
          <w:rStyle w:val="16"/>
          <w:rFonts w:hint="eastAsia" w:ascii="楷体" w:hAnsi="楷体" w:eastAsia="楷体" w:cs="Times New Roman"/>
          <w:b w:val="0"/>
          <w:bCs w:val="0"/>
          <w:spacing w:val="-4"/>
          <w:sz w:val="32"/>
          <w:szCs w:val="32"/>
          <w:lang w:eastAsia="zh-Hans"/>
        </w:rPr>
        <w:t>制度执行有效性</w:t>
      </w:r>
    </w:p>
    <w:p w14:paraId="2225D600">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经对比分析本项目实际执行过程资料和已建立的项目管理制度和财务管理制度，得出本项目严格按照本单位已建立制度执行。项目实施过程中产生的文件，如合同书、验收报告、技术鉴定等资料齐全并及时进行了归档。项目资金支出严格按照自治区、地区、市以及本单位资金管理办法执行，项目启动实施后，为了加快本项目的实施，成立了</w:t>
      </w:r>
      <w:r>
        <w:rPr>
          <w:rStyle w:val="16"/>
          <w:rFonts w:hint="eastAsia" w:ascii="楷体" w:hAnsi="楷体" w:eastAsia="楷体" w:cs="Times New Roman"/>
          <w:b w:val="0"/>
          <w:bCs w:val="0"/>
          <w:spacing w:val="-4"/>
          <w:sz w:val="32"/>
          <w:szCs w:val="32"/>
          <w:lang w:val="en-US" w:eastAsia="zh-CN"/>
        </w:rPr>
        <w:t>2025年党报党刊</w:t>
      </w:r>
      <w:r>
        <w:rPr>
          <w:rStyle w:val="16"/>
          <w:rFonts w:hint="eastAsia" w:ascii="楷体" w:hAnsi="楷体" w:eastAsia="楷体" w:cs="Times New Roman"/>
          <w:b w:val="0"/>
          <w:bCs w:val="0"/>
          <w:spacing w:val="-4"/>
          <w:sz w:val="32"/>
          <w:szCs w:val="32"/>
        </w:rPr>
        <w:t>项目工作领导小组，由</w:t>
      </w:r>
      <w:r>
        <w:rPr>
          <w:rStyle w:val="16"/>
          <w:rFonts w:hint="eastAsia" w:ascii="楷体" w:hAnsi="楷体" w:eastAsia="楷体" w:cs="Times New Roman"/>
          <w:b w:val="0"/>
          <w:bCs w:val="0"/>
          <w:spacing w:val="-4"/>
          <w:sz w:val="32"/>
          <w:szCs w:val="32"/>
          <w:lang w:val="en-US" w:eastAsia="zh-CN"/>
        </w:rPr>
        <w:t>副部长摆新海</w:t>
      </w:r>
      <w:r>
        <w:rPr>
          <w:rStyle w:val="16"/>
          <w:rFonts w:hint="eastAsia" w:ascii="楷体" w:hAnsi="楷体" w:eastAsia="楷体" w:cs="Times New Roman"/>
          <w:b w:val="0"/>
          <w:bCs w:val="0"/>
          <w:spacing w:val="-4"/>
          <w:sz w:val="32"/>
          <w:szCs w:val="32"/>
        </w:rPr>
        <w:t>任组长，负责项目的组织工作；</w:t>
      </w:r>
      <w:r>
        <w:rPr>
          <w:rStyle w:val="16"/>
          <w:rFonts w:hint="eastAsia" w:ascii="楷体" w:hAnsi="楷体" w:eastAsia="楷体" w:cs="Times New Roman"/>
          <w:b w:val="0"/>
          <w:bCs w:val="0"/>
          <w:spacing w:val="-4"/>
          <w:sz w:val="32"/>
          <w:szCs w:val="32"/>
          <w:lang w:val="en-US" w:eastAsia="zh-CN"/>
        </w:rPr>
        <w:t>王俊伟</w:t>
      </w:r>
      <w:r>
        <w:rPr>
          <w:rStyle w:val="16"/>
          <w:rFonts w:hint="eastAsia" w:ascii="楷体" w:hAnsi="楷体" w:eastAsia="楷体" w:cs="Times New Roman"/>
          <w:b w:val="0"/>
          <w:bCs w:val="0"/>
          <w:spacing w:val="-4"/>
          <w:sz w:val="32"/>
          <w:szCs w:val="32"/>
        </w:rPr>
        <w:t>任副组长，负责项目的实施工作；组员包括：</w:t>
      </w:r>
      <w:r>
        <w:rPr>
          <w:rStyle w:val="16"/>
          <w:rFonts w:hint="eastAsia" w:ascii="楷体" w:hAnsi="楷体" w:eastAsia="楷体" w:cs="Times New Roman"/>
          <w:b w:val="0"/>
          <w:bCs w:val="0"/>
          <w:spacing w:val="-4"/>
          <w:sz w:val="32"/>
          <w:szCs w:val="32"/>
          <w:lang w:val="en-US" w:eastAsia="zh-CN"/>
        </w:rPr>
        <w:t>罗振兴</w:t>
      </w:r>
      <w:r>
        <w:rPr>
          <w:rStyle w:val="16"/>
          <w:rFonts w:hint="eastAsia" w:ascii="楷体" w:hAnsi="楷体" w:eastAsia="楷体" w:cs="Times New Roman"/>
          <w:b w:val="0"/>
          <w:bCs w:val="0"/>
          <w:spacing w:val="-4"/>
          <w:sz w:val="32"/>
          <w:szCs w:val="32"/>
        </w:rPr>
        <w:t>，主要负责项目监督管理、验收以及资金核拨等工作。</w:t>
      </w:r>
    </w:p>
    <w:p w14:paraId="19BC4A57">
      <w:pPr>
        <w:spacing w:line="540" w:lineRule="exact"/>
        <w:ind w:firstLine="567" w:firstLineChars="0"/>
        <w:rPr>
          <w:rFonts w:hint="eastAsia"/>
          <w:color w:val="auto"/>
        </w:rPr>
      </w:pPr>
      <w:r>
        <w:rPr>
          <w:rStyle w:val="16"/>
          <w:rFonts w:hint="eastAsia" w:ascii="楷体" w:hAnsi="楷体" w:eastAsia="楷体" w:cs="Times New Roman"/>
          <w:b w:val="0"/>
          <w:bCs w:val="0"/>
          <w:spacing w:val="-4"/>
          <w:sz w:val="32"/>
          <w:szCs w:val="32"/>
        </w:rPr>
        <w:t>综上所述，本</w:t>
      </w:r>
      <w:r>
        <w:rPr>
          <w:rStyle w:val="16"/>
          <w:rFonts w:hint="eastAsia" w:ascii="楷体" w:hAnsi="楷体" w:eastAsia="楷体" w:cs="Times New Roman"/>
          <w:b w:val="0"/>
          <w:bCs w:val="0"/>
          <w:spacing w:val="-4"/>
          <w:sz w:val="32"/>
          <w:szCs w:val="32"/>
          <w:lang w:eastAsia="zh-Hans"/>
        </w:rPr>
        <w:t>指标满分为</w:t>
      </w:r>
      <w:r>
        <w:rPr>
          <w:rStyle w:val="16"/>
          <w:rFonts w:hint="eastAsia" w:ascii="楷体" w:hAnsi="楷体" w:eastAsia="楷体" w:cs="Times New Roman"/>
          <w:b w:val="0"/>
          <w:bCs w:val="0"/>
          <w:spacing w:val="-4"/>
          <w:sz w:val="32"/>
          <w:szCs w:val="32"/>
        </w:rPr>
        <w:t>4</w:t>
      </w:r>
      <w:r>
        <w:rPr>
          <w:rStyle w:val="16"/>
          <w:rFonts w:hint="eastAsia" w:ascii="楷体" w:hAnsi="楷体" w:eastAsia="楷体" w:cs="Times New Roman"/>
          <w:b w:val="0"/>
          <w:bCs w:val="0"/>
          <w:spacing w:val="-4"/>
          <w:sz w:val="32"/>
          <w:szCs w:val="32"/>
          <w:lang w:val="en-US" w:eastAsia="zh-CN"/>
        </w:rPr>
        <w:t>.00</w:t>
      </w:r>
      <w:r>
        <w:rPr>
          <w:rStyle w:val="16"/>
          <w:rFonts w:hint="eastAsia" w:ascii="楷体" w:hAnsi="楷体" w:eastAsia="楷体" w:cs="Times New Roman"/>
          <w:b w:val="0"/>
          <w:bCs w:val="0"/>
          <w:spacing w:val="-4"/>
          <w:sz w:val="32"/>
          <w:szCs w:val="32"/>
          <w:lang w:val="en-US" w:eastAsia="zh-Hans"/>
        </w:rPr>
        <w:t>分，根据评分标准得</w:t>
      </w:r>
      <w:r>
        <w:rPr>
          <w:rStyle w:val="16"/>
          <w:rFonts w:hint="eastAsia" w:ascii="楷体" w:hAnsi="楷体" w:eastAsia="楷体" w:cs="Times New Roman"/>
          <w:b w:val="0"/>
          <w:bCs w:val="0"/>
          <w:spacing w:val="-4"/>
          <w:sz w:val="32"/>
          <w:szCs w:val="32"/>
          <w:lang w:val="en-US" w:eastAsia="zh-CN"/>
        </w:rPr>
        <w:t>4</w:t>
      </w:r>
      <w:r>
        <w:rPr>
          <w:rStyle w:val="16"/>
          <w:rFonts w:hint="eastAsia" w:ascii="楷体" w:hAnsi="楷体" w:eastAsia="楷体" w:cs="Times New Roman"/>
          <w:b w:val="0"/>
          <w:bCs w:val="0"/>
          <w:spacing w:val="-4"/>
          <w:sz w:val="32"/>
          <w:szCs w:val="32"/>
          <w:lang w:val="en-US" w:eastAsia="zh-Hans"/>
        </w:rPr>
        <w:t>分</w:t>
      </w:r>
      <w:r>
        <w:rPr>
          <w:rStyle w:val="16"/>
          <w:rFonts w:hint="eastAsia" w:ascii="楷体" w:hAnsi="楷体" w:eastAsia="楷体" w:cs="Times New Roman"/>
          <w:b w:val="0"/>
          <w:bCs w:val="0"/>
          <w:spacing w:val="-4"/>
          <w:sz w:val="32"/>
          <w:szCs w:val="32"/>
          <w:lang w:val="en-US" w:eastAsia="zh-CN"/>
        </w:rPr>
        <w:t>，本项目所建立制度执行有效。</w:t>
      </w:r>
    </w:p>
    <w:p w14:paraId="0C1C774F">
      <w:pPr>
        <w:spacing w:line="540" w:lineRule="exact"/>
        <w:ind w:firstLine="567" w:firstLineChars="181"/>
        <w:rPr>
          <w:color w:val="auto"/>
        </w:rPr>
      </w:pPr>
      <w:r>
        <w:rPr>
          <w:rFonts w:hint="eastAsia" w:ascii="楷体" w:hAnsi="楷体" w:eastAsia="楷体" w:cs="Times New Roman"/>
          <w:b/>
          <w:spacing w:val="-4"/>
          <w:sz w:val="32"/>
          <w:szCs w:val="32"/>
        </w:rPr>
        <w:t>（三）项目产出情况</w:t>
      </w:r>
    </w:p>
    <w:p w14:paraId="5F0BFF3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项目产出类指标由</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个二级指标和</w:t>
      </w:r>
      <w:r>
        <w:rPr>
          <w:rStyle w:val="16"/>
          <w:rFonts w:hint="eastAsia" w:ascii="楷体" w:hAnsi="楷体" w:eastAsia="楷体" w:cs="Times New Roman"/>
          <w:b w:val="0"/>
          <w:bCs w:val="0"/>
          <w:spacing w:val="-4"/>
          <w:kern w:val="2"/>
          <w:sz w:val="32"/>
          <w:szCs w:val="32"/>
          <w:lang w:val="en-US" w:eastAsia="zh-CN" w:bidi="ar-SA"/>
        </w:rPr>
        <w:t>3</w:t>
      </w:r>
      <w:r>
        <w:rPr>
          <w:rStyle w:val="16"/>
          <w:rFonts w:hint="default" w:ascii="楷体" w:hAnsi="楷体" w:eastAsia="楷体" w:cs="Times New Roman"/>
          <w:b w:val="0"/>
          <w:bCs w:val="0"/>
          <w:spacing w:val="-4"/>
          <w:kern w:val="2"/>
          <w:sz w:val="32"/>
          <w:szCs w:val="32"/>
          <w:lang w:val="en-US" w:eastAsia="zh-CN" w:bidi="ar-SA"/>
        </w:rPr>
        <w:t>个三级指标构成，权重分</w:t>
      </w:r>
      <w:r>
        <w:rPr>
          <w:rStyle w:val="16"/>
          <w:rFonts w:hint="eastAsia" w:ascii="楷体" w:hAnsi="楷体" w:eastAsia="楷体" w:cs="Times New Roman"/>
          <w:b w:val="0"/>
          <w:bCs w:val="0"/>
          <w:spacing w:val="-4"/>
          <w:kern w:val="2"/>
          <w:sz w:val="32"/>
          <w:szCs w:val="32"/>
          <w:lang w:val="en-US" w:eastAsia="zh-CN" w:bidi="ar-SA"/>
        </w:rPr>
        <w:t>20.0</w:t>
      </w:r>
      <w:r>
        <w:rPr>
          <w:rStyle w:val="16"/>
          <w:rFonts w:hint="default" w:ascii="楷体" w:hAnsi="楷体" w:eastAsia="楷体" w:cs="Times New Roman"/>
          <w:b w:val="0"/>
          <w:bCs w:val="0"/>
          <w:spacing w:val="-4"/>
          <w:kern w:val="2"/>
          <w:sz w:val="32"/>
          <w:szCs w:val="32"/>
          <w:lang w:val="en-US" w:eastAsia="zh-CN" w:bidi="ar-SA"/>
        </w:rPr>
        <w:t>分，实际得分</w:t>
      </w:r>
      <w:r>
        <w:rPr>
          <w:rStyle w:val="16"/>
          <w:rFonts w:hint="eastAsia" w:ascii="楷体" w:hAnsi="楷体" w:eastAsia="楷体" w:cs="Times New Roman"/>
          <w:b w:val="0"/>
          <w:bCs w:val="0"/>
          <w:spacing w:val="-4"/>
          <w:kern w:val="2"/>
          <w:sz w:val="32"/>
          <w:szCs w:val="32"/>
          <w:lang w:val="en-US" w:eastAsia="zh-CN" w:bidi="ar-SA"/>
        </w:rPr>
        <w:t>20.0</w:t>
      </w:r>
      <w:r>
        <w:rPr>
          <w:rStyle w:val="16"/>
          <w:rFonts w:hint="default" w:ascii="楷体" w:hAnsi="楷体" w:eastAsia="楷体" w:cs="Times New Roman"/>
          <w:b w:val="0"/>
          <w:bCs w:val="0"/>
          <w:spacing w:val="-4"/>
          <w:kern w:val="2"/>
          <w:sz w:val="32"/>
          <w:szCs w:val="32"/>
          <w:lang w:val="en-US" w:eastAsia="zh-CN" w:bidi="ar-SA"/>
        </w:rPr>
        <w:t>分。</w:t>
      </w:r>
    </w:p>
    <w:p w14:paraId="6FCC2262">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1.数量指标完成情况分析</w:t>
      </w:r>
    </w:p>
    <w:p w14:paraId="564B5A7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购买党报党刊</w:t>
      </w:r>
      <w:r>
        <w:rPr>
          <w:rStyle w:val="16"/>
          <w:rFonts w:hint="default" w:ascii="楷体" w:hAnsi="楷体" w:eastAsia="楷体" w:cs="Times New Roman"/>
          <w:b w:val="0"/>
          <w:bCs w:val="0"/>
          <w:spacing w:val="-4"/>
          <w:kern w:val="2"/>
          <w:sz w:val="32"/>
          <w:szCs w:val="32"/>
          <w:lang w:val="en-US" w:eastAsia="zh-CN" w:bidi="ar-SA"/>
        </w:rPr>
        <w:t>数量”指标：预期指标值为</w:t>
      </w:r>
      <w:r>
        <w:rPr>
          <w:rStyle w:val="16"/>
          <w:rFonts w:hint="eastAsia" w:ascii="楷体" w:hAnsi="楷体" w:eastAsia="楷体" w:cs="Times New Roman"/>
          <w:b w:val="0"/>
          <w:bCs w:val="0"/>
          <w:spacing w:val="-4"/>
          <w:kern w:val="2"/>
          <w:sz w:val="32"/>
          <w:szCs w:val="32"/>
          <w:lang w:val="en-US" w:eastAsia="zh-CN" w:bidi="ar-SA"/>
        </w:rPr>
        <w:t>“&lt;=10346本”</w:t>
      </w:r>
      <w:r>
        <w:rPr>
          <w:rStyle w:val="16"/>
          <w:rFonts w:hint="default" w:ascii="楷体" w:hAnsi="楷体" w:eastAsia="楷体" w:cs="Times New Roman"/>
          <w:b w:val="0"/>
          <w:bCs w:val="0"/>
          <w:spacing w:val="-4"/>
          <w:kern w:val="2"/>
          <w:sz w:val="32"/>
          <w:szCs w:val="32"/>
          <w:lang w:val="en-US" w:eastAsia="zh-CN" w:bidi="ar-SA"/>
        </w:rPr>
        <w:t>，实际完成指标值为</w:t>
      </w:r>
      <w:r>
        <w:rPr>
          <w:rStyle w:val="16"/>
          <w:rFonts w:hint="eastAsia" w:ascii="楷体" w:hAnsi="楷体" w:eastAsia="楷体" w:cs="Times New Roman"/>
          <w:b w:val="0"/>
          <w:bCs w:val="0"/>
          <w:spacing w:val="-4"/>
          <w:kern w:val="2"/>
          <w:sz w:val="32"/>
          <w:szCs w:val="32"/>
          <w:lang w:val="en-US" w:eastAsia="zh-CN" w:bidi="ar-SA"/>
        </w:rPr>
        <w:t>“=10346本”</w:t>
      </w:r>
      <w:r>
        <w:rPr>
          <w:rStyle w:val="16"/>
          <w:rFonts w:hint="default" w:ascii="楷体" w:hAnsi="楷体" w:eastAsia="楷体" w:cs="Times New Roman"/>
          <w:b w:val="0"/>
          <w:bCs w:val="0"/>
          <w:spacing w:val="-4"/>
          <w:kern w:val="2"/>
          <w:sz w:val="32"/>
          <w:szCs w:val="32"/>
          <w:lang w:val="en-US" w:eastAsia="zh-CN" w:bidi="ar-SA"/>
        </w:rPr>
        <w:t>，指标完成率为</w:t>
      </w:r>
      <w:r>
        <w:rPr>
          <w:rStyle w:val="16"/>
          <w:rFonts w:hint="eastAsia" w:ascii="楷体" w:hAnsi="楷体" w:eastAsia="楷体" w:cs="Times New Roman"/>
          <w:b w:val="0"/>
          <w:bCs w:val="0"/>
          <w:spacing w:val="-4"/>
          <w:kern w:val="2"/>
          <w:sz w:val="32"/>
          <w:szCs w:val="32"/>
          <w:lang w:val="en-US" w:eastAsia="zh-CN" w:bidi="ar-SA"/>
        </w:rPr>
        <w:t>“</w:t>
      </w:r>
      <w:r>
        <w:rPr>
          <w:rStyle w:val="16"/>
          <w:rFonts w:hint="default" w:ascii="楷体" w:hAnsi="楷体" w:eastAsia="楷体" w:cs="Times New Roman"/>
          <w:b w:val="0"/>
          <w:bCs w:val="0"/>
          <w:spacing w:val="-4"/>
          <w:kern w:val="2"/>
          <w:sz w:val="32"/>
          <w:szCs w:val="32"/>
          <w:lang w:val="en-US" w:eastAsia="zh-CN" w:bidi="ar-SA"/>
        </w:rPr>
        <w:t>100%</w:t>
      </w:r>
      <w:r>
        <w:rPr>
          <w:rStyle w:val="16"/>
          <w:rFonts w:hint="eastAsia" w:ascii="楷体" w:hAnsi="楷体" w:eastAsia="楷体" w:cs="Times New Roman"/>
          <w:b w:val="0"/>
          <w:bCs w:val="0"/>
          <w:spacing w:val="-4"/>
          <w:kern w:val="2"/>
          <w:sz w:val="32"/>
          <w:szCs w:val="32"/>
          <w:lang w:val="en-US" w:eastAsia="zh-CN" w:bidi="ar-SA"/>
        </w:rPr>
        <w:t>”。</w:t>
      </w:r>
    </w:p>
    <w:p w14:paraId="2325B46C">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综上所述，本指标满分为</w:t>
      </w:r>
      <w:r>
        <w:rPr>
          <w:rStyle w:val="16"/>
          <w:rFonts w:hint="eastAsia" w:ascii="楷体" w:hAnsi="楷体" w:eastAsia="楷体" w:cs="Times New Roman"/>
          <w:b w:val="0"/>
          <w:bCs w:val="0"/>
          <w:spacing w:val="-4"/>
          <w:kern w:val="2"/>
          <w:sz w:val="32"/>
          <w:szCs w:val="32"/>
          <w:lang w:val="en-US" w:eastAsia="zh-CN" w:bidi="ar-SA"/>
        </w:rPr>
        <w:t>10</w:t>
      </w:r>
      <w:r>
        <w:rPr>
          <w:rStyle w:val="16"/>
          <w:rFonts w:hint="default" w:ascii="楷体" w:hAnsi="楷体" w:eastAsia="楷体" w:cs="Times New Roman"/>
          <w:b w:val="0"/>
          <w:bCs w:val="0"/>
          <w:spacing w:val="-4"/>
          <w:kern w:val="2"/>
          <w:sz w:val="32"/>
          <w:szCs w:val="32"/>
          <w:lang w:val="en-US" w:eastAsia="zh-CN" w:bidi="ar-SA"/>
        </w:rPr>
        <w:t>分，根据评分标准得</w:t>
      </w:r>
      <w:r>
        <w:rPr>
          <w:rStyle w:val="16"/>
          <w:rFonts w:hint="eastAsia" w:ascii="楷体" w:hAnsi="楷体" w:eastAsia="楷体" w:cs="Times New Roman"/>
          <w:b w:val="0"/>
          <w:bCs w:val="0"/>
          <w:spacing w:val="-4"/>
          <w:kern w:val="2"/>
          <w:sz w:val="32"/>
          <w:szCs w:val="32"/>
          <w:lang w:val="en-US" w:eastAsia="zh-CN" w:bidi="ar-SA"/>
        </w:rPr>
        <w:t>10</w:t>
      </w:r>
      <w:r>
        <w:rPr>
          <w:rStyle w:val="16"/>
          <w:rFonts w:hint="default" w:ascii="楷体" w:hAnsi="楷体" w:eastAsia="楷体" w:cs="Times New Roman"/>
          <w:b w:val="0"/>
          <w:bCs w:val="0"/>
          <w:spacing w:val="-4"/>
          <w:kern w:val="2"/>
          <w:sz w:val="32"/>
          <w:szCs w:val="32"/>
          <w:lang w:val="en-US" w:eastAsia="zh-CN" w:bidi="ar-SA"/>
        </w:rPr>
        <w:t>分。</w:t>
      </w:r>
    </w:p>
    <w:p w14:paraId="6983B6E6">
      <w:pPr>
        <w:pStyle w:val="4"/>
        <w:ind w:firstLine="562"/>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2.质量指标完成情况分析</w:t>
      </w:r>
    </w:p>
    <w:p w14:paraId="2A37DE4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购买党报党刊质量</w:t>
      </w:r>
      <w:r>
        <w:rPr>
          <w:rStyle w:val="16"/>
          <w:rFonts w:hint="default" w:ascii="楷体" w:hAnsi="楷体" w:eastAsia="楷体" w:cs="Times New Roman"/>
          <w:b w:val="0"/>
          <w:bCs w:val="0"/>
          <w:spacing w:val="-4"/>
          <w:kern w:val="2"/>
          <w:sz w:val="32"/>
          <w:szCs w:val="32"/>
          <w:lang w:val="en-US" w:eastAsia="zh-CN" w:bidi="ar-SA"/>
        </w:rPr>
        <w:t>”指标：预期指标值为“&gt;=95%”，实际完成指标值为“=95%”，指标完成率为“100%”</w:t>
      </w:r>
      <w:r>
        <w:rPr>
          <w:rStyle w:val="16"/>
          <w:rFonts w:hint="eastAsia" w:ascii="楷体" w:hAnsi="楷体" w:eastAsia="楷体" w:cs="Times New Roman"/>
          <w:b w:val="0"/>
          <w:bCs w:val="0"/>
          <w:spacing w:val="-4"/>
          <w:kern w:val="2"/>
          <w:sz w:val="32"/>
          <w:szCs w:val="32"/>
          <w:lang w:val="en-US" w:eastAsia="zh-CN" w:bidi="ar-SA"/>
        </w:rPr>
        <w:t>。</w:t>
      </w:r>
    </w:p>
    <w:p w14:paraId="6B5962B8">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综上所述，本指标满分为</w:t>
      </w:r>
      <w:r>
        <w:rPr>
          <w:rStyle w:val="16"/>
          <w:rFonts w:hint="eastAsia" w:ascii="楷体" w:hAnsi="楷体" w:eastAsia="楷体" w:cs="Times New Roman"/>
          <w:b w:val="0"/>
          <w:bCs w:val="0"/>
          <w:spacing w:val="-4"/>
          <w:kern w:val="2"/>
          <w:sz w:val="32"/>
          <w:szCs w:val="32"/>
          <w:lang w:val="en-US" w:eastAsia="zh-CN" w:bidi="ar-SA"/>
        </w:rPr>
        <w:t>5</w:t>
      </w:r>
      <w:r>
        <w:rPr>
          <w:rStyle w:val="16"/>
          <w:rFonts w:hint="default" w:ascii="楷体" w:hAnsi="楷体" w:eastAsia="楷体" w:cs="Times New Roman"/>
          <w:b w:val="0"/>
          <w:bCs w:val="0"/>
          <w:spacing w:val="-4"/>
          <w:kern w:val="2"/>
          <w:sz w:val="32"/>
          <w:szCs w:val="32"/>
          <w:lang w:val="en-US" w:eastAsia="zh-CN" w:bidi="ar-SA"/>
        </w:rPr>
        <w:t>分，根据评分标准得</w:t>
      </w:r>
      <w:r>
        <w:rPr>
          <w:rStyle w:val="16"/>
          <w:rFonts w:hint="eastAsia" w:ascii="楷体" w:hAnsi="楷体" w:eastAsia="楷体" w:cs="Times New Roman"/>
          <w:b w:val="0"/>
          <w:bCs w:val="0"/>
          <w:spacing w:val="-4"/>
          <w:kern w:val="2"/>
          <w:sz w:val="32"/>
          <w:szCs w:val="32"/>
          <w:lang w:val="en-US" w:eastAsia="zh-CN" w:bidi="ar-SA"/>
        </w:rPr>
        <w:t>5</w:t>
      </w:r>
      <w:r>
        <w:rPr>
          <w:rStyle w:val="16"/>
          <w:rFonts w:hint="default" w:ascii="楷体" w:hAnsi="楷体" w:eastAsia="楷体" w:cs="Times New Roman"/>
          <w:b w:val="0"/>
          <w:bCs w:val="0"/>
          <w:spacing w:val="-4"/>
          <w:kern w:val="2"/>
          <w:sz w:val="32"/>
          <w:szCs w:val="32"/>
          <w:lang w:val="en-US" w:eastAsia="zh-CN" w:bidi="ar-SA"/>
        </w:rPr>
        <w:t>分。</w:t>
      </w:r>
    </w:p>
    <w:p w14:paraId="622FCA26">
      <w:pPr>
        <w:pStyle w:val="4"/>
        <w:ind w:left="0" w:leftChars="0" w:firstLine="624" w:firstLineChars="20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3.时效指标完成情况分析</w:t>
      </w:r>
    </w:p>
    <w:p w14:paraId="3B93687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购买党报党刊及时率</w:t>
      </w:r>
      <w:r>
        <w:rPr>
          <w:rStyle w:val="16"/>
          <w:rFonts w:hint="default" w:ascii="楷体" w:hAnsi="楷体" w:eastAsia="楷体" w:cs="Times New Roman"/>
          <w:b w:val="0"/>
          <w:bCs w:val="0"/>
          <w:spacing w:val="-4"/>
          <w:kern w:val="2"/>
          <w:sz w:val="32"/>
          <w:szCs w:val="32"/>
          <w:lang w:val="en-US" w:eastAsia="zh-CN" w:bidi="ar-SA"/>
        </w:rPr>
        <w:t>”指标：预期指标值为“&gt;=95%”，实际完成指标值为“=95%”，指标完成率为“100%”</w:t>
      </w:r>
      <w:r>
        <w:rPr>
          <w:rStyle w:val="16"/>
          <w:rFonts w:hint="eastAsia" w:ascii="楷体" w:hAnsi="楷体" w:eastAsia="楷体" w:cs="Times New Roman"/>
          <w:b w:val="0"/>
          <w:bCs w:val="0"/>
          <w:spacing w:val="-4"/>
          <w:kern w:val="2"/>
          <w:sz w:val="32"/>
          <w:szCs w:val="32"/>
          <w:lang w:val="en-US" w:eastAsia="zh-CN" w:bidi="ar-SA"/>
        </w:rPr>
        <w:t>。</w:t>
      </w:r>
    </w:p>
    <w:p w14:paraId="242A77D0">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eastAsia" w:ascii="Times New Roman" w:hAnsi="Times New Roman" w:eastAsia="方正仿宋_GBK" w:cs="Times New Roman"/>
          <w:color w:val="auto"/>
          <w:sz w:val="32"/>
          <w:szCs w:val="32"/>
          <w:lang w:eastAsia="zh-CN"/>
        </w:rPr>
      </w:pPr>
      <w:r>
        <w:rPr>
          <w:rStyle w:val="16"/>
          <w:rFonts w:hint="eastAsia" w:ascii="楷体" w:hAnsi="楷体" w:eastAsia="楷体" w:cs="Times New Roman"/>
          <w:b w:val="0"/>
          <w:bCs w:val="0"/>
          <w:spacing w:val="-4"/>
          <w:kern w:val="2"/>
          <w:sz w:val="32"/>
          <w:szCs w:val="32"/>
          <w:lang w:val="en-US" w:eastAsia="zh-CN" w:bidi="ar-SA"/>
        </w:rPr>
        <w:t>综上所述，本指标满分为5分，根据评分标准得5分。</w:t>
      </w:r>
    </w:p>
    <w:p w14:paraId="16AAD410">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（四）项目成本情况</w:t>
      </w:r>
    </w:p>
    <w:p w14:paraId="21565C40">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项目成本情况指标由1个二级指标和</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个三级指标构成，权重分</w:t>
      </w:r>
      <w:r>
        <w:rPr>
          <w:rStyle w:val="16"/>
          <w:rFonts w:hint="eastAsia" w:ascii="楷体" w:hAnsi="楷体" w:eastAsia="楷体" w:cs="Times New Roman"/>
          <w:b w:val="0"/>
          <w:bCs w:val="0"/>
          <w:spacing w:val="-4"/>
          <w:kern w:val="2"/>
          <w:sz w:val="32"/>
          <w:szCs w:val="32"/>
          <w:lang w:val="en-US" w:eastAsia="zh-CN" w:bidi="ar-SA"/>
        </w:rPr>
        <w:t>10</w:t>
      </w:r>
      <w:r>
        <w:rPr>
          <w:rStyle w:val="16"/>
          <w:rFonts w:hint="default" w:ascii="楷体" w:hAnsi="楷体" w:eastAsia="楷体" w:cs="Times New Roman"/>
          <w:b w:val="0"/>
          <w:bCs w:val="0"/>
          <w:spacing w:val="-4"/>
          <w:kern w:val="2"/>
          <w:sz w:val="32"/>
          <w:szCs w:val="32"/>
          <w:lang w:val="en-US" w:eastAsia="zh-CN" w:bidi="ar-SA"/>
        </w:rPr>
        <w:t>分，实际得分</w:t>
      </w:r>
      <w:r>
        <w:rPr>
          <w:rStyle w:val="16"/>
          <w:rFonts w:hint="eastAsia" w:ascii="楷体" w:hAnsi="楷体" w:eastAsia="楷体" w:cs="Times New Roman"/>
          <w:b w:val="0"/>
          <w:bCs w:val="0"/>
          <w:spacing w:val="-4"/>
          <w:kern w:val="2"/>
          <w:sz w:val="32"/>
          <w:szCs w:val="32"/>
          <w:lang w:val="en-US" w:eastAsia="zh-CN" w:bidi="ar-SA"/>
        </w:rPr>
        <w:t>10</w:t>
      </w:r>
      <w:r>
        <w:rPr>
          <w:rStyle w:val="16"/>
          <w:rFonts w:hint="default" w:ascii="楷体" w:hAnsi="楷体" w:eastAsia="楷体" w:cs="Times New Roman"/>
          <w:b w:val="0"/>
          <w:bCs w:val="0"/>
          <w:spacing w:val="-4"/>
          <w:kern w:val="2"/>
          <w:sz w:val="32"/>
          <w:szCs w:val="32"/>
          <w:lang w:val="en-US" w:eastAsia="zh-CN" w:bidi="ar-SA"/>
        </w:rPr>
        <w:t>分。</w:t>
      </w:r>
    </w:p>
    <w:p w14:paraId="2E8B519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1.经济成本指标完成情况分析</w:t>
      </w:r>
    </w:p>
    <w:p w14:paraId="63DC23A6">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人民日报成本标准</w:t>
      </w:r>
      <w:r>
        <w:rPr>
          <w:rStyle w:val="16"/>
          <w:rFonts w:hint="default" w:ascii="楷体" w:hAnsi="楷体" w:eastAsia="楷体" w:cs="Times New Roman"/>
          <w:b w:val="0"/>
          <w:bCs w:val="0"/>
          <w:spacing w:val="-4"/>
          <w:kern w:val="2"/>
          <w:sz w:val="32"/>
          <w:szCs w:val="32"/>
          <w:lang w:val="en-US" w:eastAsia="zh-CN" w:bidi="ar-SA"/>
        </w:rPr>
        <w:t>”指标：预期指标值为“&lt;=288元/本”，实际完成指标值为“=288元/本”，指标完成率为“100%”。</w:t>
      </w:r>
    </w:p>
    <w:p w14:paraId="69E3C6E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Hans" w:bidi="ar-SA"/>
        </w:rPr>
      </w:pPr>
      <w:r>
        <w:rPr>
          <w:rStyle w:val="16"/>
          <w:rFonts w:hint="eastAsia" w:ascii="楷体" w:hAnsi="楷体" w:eastAsia="楷体" w:cs="Times New Roman"/>
          <w:b w:val="0"/>
          <w:bCs w:val="0"/>
          <w:spacing w:val="-4"/>
          <w:kern w:val="2"/>
          <w:sz w:val="32"/>
          <w:szCs w:val="32"/>
          <w:lang w:val="en-US" w:eastAsia="zh-CN" w:bidi="ar-SA"/>
        </w:rPr>
        <w:t>综上所述，本</w:t>
      </w:r>
      <w:r>
        <w:rPr>
          <w:rStyle w:val="16"/>
          <w:rFonts w:hint="eastAsia" w:ascii="楷体" w:hAnsi="楷体" w:eastAsia="楷体" w:cs="Times New Roman"/>
          <w:b w:val="0"/>
          <w:bCs w:val="0"/>
          <w:spacing w:val="-4"/>
          <w:kern w:val="2"/>
          <w:sz w:val="32"/>
          <w:szCs w:val="32"/>
          <w:lang w:val="en-US" w:eastAsia="zh-Hans" w:bidi="ar-SA"/>
        </w:rPr>
        <w:t>指标满分为</w:t>
      </w:r>
      <w:r>
        <w:rPr>
          <w:rStyle w:val="16"/>
          <w:rFonts w:hint="eastAsia" w:ascii="楷体" w:hAnsi="楷体" w:eastAsia="楷体" w:cs="Times New Roman"/>
          <w:b w:val="0"/>
          <w:bCs w:val="0"/>
          <w:spacing w:val="-4"/>
          <w:kern w:val="2"/>
          <w:sz w:val="32"/>
          <w:szCs w:val="32"/>
          <w:lang w:val="en-US" w:eastAsia="zh-CN" w:bidi="ar-SA"/>
        </w:rPr>
        <w:t>5</w:t>
      </w:r>
      <w:r>
        <w:rPr>
          <w:rStyle w:val="16"/>
          <w:rFonts w:hint="eastAsia" w:ascii="楷体" w:hAnsi="楷体" w:eastAsia="楷体" w:cs="Times New Roman"/>
          <w:b w:val="0"/>
          <w:bCs w:val="0"/>
          <w:spacing w:val="-4"/>
          <w:kern w:val="2"/>
          <w:sz w:val="32"/>
          <w:szCs w:val="32"/>
          <w:lang w:val="en-US" w:eastAsia="zh-Hans" w:bidi="ar-SA"/>
        </w:rPr>
        <w:t>分，根据评分标准得</w:t>
      </w:r>
      <w:r>
        <w:rPr>
          <w:rStyle w:val="16"/>
          <w:rFonts w:hint="eastAsia" w:ascii="楷体" w:hAnsi="楷体" w:eastAsia="楷体" w:cs="Times New Roman"/>
          <w:b w:val="0"/>
          <w:bCs w:val="0"/>
          <w:spacing w:val="-4"/>
          <w:kern w:val="2"/>
          <w:sz w:val="32"/>
          <w:szCs w:val="32"/>
          <w:lang w:val="en-US" w:eastAsia="zh-CN" w:bidi="ar-SA"/>
        </w:rPr>
        <w:t>5</w:t>
      </w:r>
      <w:r>
        <w:rPr>
          <w:rStyle w:val="16"/>
          <w:rFonts w:hint="eastAsia" w:ascii="楷体" w:hAnsi="楷体" w:eastAsia="楷体" w:cs="Times New Roman"/>
          <w:b w:val="0"/>
          <w:bCs w:val="0"/>
          <w:spacing w:val="-4"/>
          <w:kern w:val="2"/>
          <w:sz w:val="32"/>
          <w:szCs w:val="32"/>
          <w:lang w:val="en-US" w:eastAsia="zh-Hans" w:bidi="ar-SA"/>
        </w:rPr>
        <w:t>分</w:t>
      </w:r>
      <w:r>
        <w:rPr>
          <w:rStyle w:val="16"/>
          <w:rFonts w:hint="default" w:ascii="楷体" w:hAnsi="楷体" w:eastAsia="楷体" w:cs="Times New Roman"/>
          <w:b w:val="0"/>
          <w:bCs w:val="0"/>
          <w:spacing w:val="-4"/>
          <w:kern w:val="2"/>
          <w:sz w:val="32"/>
          <w:szCs w:val="32"/>
          <w:lang w:val="en-US" w:eastAsia="zh-Hans" w:bidi="ar-SA"/>
        </w:rPr>
        <w:t>。</w:t>
      </w:r>
    </w:p>
    <w:p w14:paraId="0089598F">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w:t>
      </w:r>
      <w:r>
        <w:rPr>
          <w:rStyle w:val="16"/>
          <w:rFonts w:hint="eastAsia" w:ascii="楷体" w:hAnsi="楷体" w:eastAsia="楷体" w:cs="Times New Roman"/>
          <w:b w:val="0"/>
          <w:bCs w:val="0"/>
          <w:spacing w:val="-4"/>
          <w:kern w:val="2"/>
          <w:sz w:val="32"/>
          <w:szCs w:val="32"/>
          <w:lang w:val="en-US" w:eastAsia="zh-CN" w:bidi="ar-SA"/>
        </w:rPr>
        <w:t>求是杂志成本标准</w:t>
      </w:r>
      <w:r>
        <w:rPr>
          <w:rStyle w:val="16"/>
          <w:rFonts w:hint="default" w:ascii="楷体" w:hAnsi="楷体" w:eastAsia="楷体" w:cs="Times New Roman"/>
          <w:b w:val="0"/>
          <w:bCs w:val="0"/>
          <w:spacing w:val="-4"/>
          <w:kern w:val="2"/>
          <w:sz w:val="32"/>
          <w:szCs w:val="32"/>
          <w:lang w:val="en-US" w:eastAsia="zh-CN" w:bidi="ar-SA"/>
        </w:rPr>
        <w:t>”指标：预期指标值为“&lt;=264元/本”，实际完成指标值为“=264元/本”，指标完成率为“100%”。</w:t>
      </w:r>
    </w:p>
    <w:p w14:paraId="0401128A">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Hans" w:bidi="ar-SA"/>
        </w:rPr>
      </w:pPr>
      <w:r>
        <w:rPr>
          <w:rStyle w:val="16"/>
          <w:rFonts w:hint="eastAsia" w:ascii="楷体" w:hAnsi="楷体" w:eastAsia="楷体" w:cs="Times New Roman"/>
          <w:b w:val="0"/>
          <w:bCs w:val="0"/>
          <w:spacing w:val="-4"/>
          <w:kern w:val="2"/>
          <w:sz w:val="32"/>
          <w:szCs w:val="32"/>
          <w:lang w:val="en-US" w:eastAsia="zh-CN" w:bidi="ar-SA"/>
        </w:rPr>
        <w:t>综上所述，本</w:t>
      </w:r>
      <w:r>
        <w:rPr>
          <w:rStyle w:val="16"/>
          <w:rFonts w:hint="eastAsia" w:ascii="楷体" w:hAnsi="楷体" w:eastAsia="楷体" w:cs="Times New Roman"/>
          <w:b w:val="0"/>
          <w:bCs w:val="0"/>
          <w:spacing w:val="-4"/>
          <w:kern w:val="2"/>
          <w:sz w:val="32"/>
          <w:szCs w:val="32"/>
          <w:lang w:val="en-US" w:eastAsia="zh-Hans" w:bidi="ar-SA"/>
        </w:rPr>
        <w:t>指标满分为</w:t>
      </w:r>
      <w:r>
        <w:rPr>
          <w:rStyle w:val="16"/>
          <w:rFonts w:hint="eastAsia" w:ascii="楷体" w:hAnsi="楷体" w:eastAsia="楷体" w:cs="Times New Roman"/>
          <w:b w:val="0"/>
          <w:bCs w:val="0"/>
          <w:spacing w:val="-4"/>
          <w:kern w:val="2"/>
          <w:sz w:val="32"/>
          <w:szCs w:val="32"/>
          <w:lang w:val="en-US" w:eastAsia="zh-CN" w:bidi="ar-SA"/>
        </w:rPr>
        <w:t>5</w:t>
      </w:r>
      <w:r>
        <w:rPr>
          <w:rStyle w:val="16"/>
          <w:rFonts w:hint="eastAsia" w:ascii="楷体" w:hAnsi="楷体" w:eastAsia="楷体" w:cs="Times New Roman"/>
          <w:b w:val="0"/>
          <w:bCs w:val="0"/>
          <w:spacing w:val="-4"/>
          <w:kern w:val="2"/>
          <w:sz w:val="32"/>
          <w:szCs w:val="32"/>
          <w:lang w:val="en-US" w:eastAsia="zh-Hans" w:bidi="ar-SA"/>
        </w:rPr>
        <w:t>分，根据评分标准得</w:t>
      </w:r>
      <w:r>
        <w:rPr>
          <w:rStyle w:val="16"/>
          <w:rFonts w:hint="eastAsia" w:ascii="楷体" w:hAnsi="楷体" w:eastAsia="楷体" w:cs="Times New Roman"/>
          <w:b w:val="0"/>
          <w:bCs w:val="0"/>
          <w:spacing w:val="-4"/>
          <w:kern w:val="2"/>
          <w:sz w:val="32"/>
          <w:szCs w:val="32"/>
          <w:lang w:val="en-US" w:eastAsia="zh-CN" w:bidi="ar-SA"/>
        </w:rPr>
        <w:t>5</w:t>
      </w:r>
      <w:r>
        <w:rPr>
          <w:rStyle w:val="16"/>
          <w:rFonts w:hint="eastAsia" w:ascii="楷体" w:hAnsi="楷体" w:eastAsia="楷体" w:cs="Times New Roman"/>
          <w:b w:val="0"/>
          <w:bCs w:val="0"/>
          <w:spacing w:val="-4"/>
          <w:kern w:val="2"/>
          <w:sz w:val="32"/>
          <w:szCs w:val="32"/>
          <w:lang w:val="en-US" w:eastAsia="zh-Hans" w:bidi="ar-SA"/>
        </w:rPr>
        <w:t>分</w:t>
      </w:r>
      <w:r>
        <w:rPr>
          <w:rStyle w:val="16"/>
          <w:rFonts w:hint="default" w:ascii="楷体" w:hAnsi="楷体" w:eastAsia="楷体" w:cs="Times New Roman"/>
          <w:b w:val="0"/>
          <w:bCs w:val="0"/>
          <w:spacing w:val="-4"/>
          <w:kern w:val="2"/>
          <w:sz w:val="32"/>
          <w:szCs w:val="32"/>
          <w:lang w:val="en-US" w:eastAsia="zh-Hans" w:bidi="ar-SA"/>
        </w:rPr>
        <w:t>。</w:t>
      </w:r>
    </w:p>
    <w:p w14:paraId="7A64647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2.社会成本指标完成情况分析</w:t>
      </w:r>
    </w:p>
    <w:p w14:paraId="0606B56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无该类指标</w:t>
      </w:r>
    </w:p>
    <w:p w14:paraId="6950BE8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3.生态环境成本指标完成情况分析</w:t>
      </w:r>
    </w:p>
    <w:p w14:paraId="6701305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无该类指标</w:t>
      </w:r>
    </w:p>
    <w:p w14:paraId="3AE2405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（五）项目效益情况</w:t>
      </w:r>
    </w:p>
    <w:p w14:paraId="24D6F9D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项目效益类指标由</w:t>
      </w:r>
      <w:r>
        <w:rPr>
          <w:rStyle w:val="16"/>
          <w:rFonts w:hint="eastAsia" w:ascii="楷体" w:hAnsi="楷体" w:eastAsia="楷体" w:cs="Times New Roman"/>
          <w:b w:val="0"/>
          <w:bCs w:val="0"/>
          <w:spacing w:val="-4"/>
          <w:kern w:val="2"/>
          <w:sz w:val="32"/>
          <w:szCs w:val="32"/>
          <w:lang w:val="en-US" w:eastAsia="zh-CN" w:bidi="ar-SA"/>
        </w:rPr>
        <w:t>1</w:t>
      </w:r>
      <w:r>
        <w:rPr>
          <w:rStyle w:val="16"/>
          <w:rFonts w:hint="default" w:ascii="楷体" w:hAnsi="楷体" w:eastAsia="楷体" w:cs="Times New Roman"/>
          <w:b w:val="0"/>
          <w:bCs w:val="0"/>
          <w:spacing w:val="-4"/>
          <w:kern w:val="2"/>
          <w:sz w:val="32"/>
          <w:szCs w:val="32"/>
          <w:lang w:val="en-US" w:eastAsia="zh-CN" w:bidi="ar-SA"/>
        </w:rPr>
        <w:t>个二级指标和</w:t>
      </w:r>
      <w:r>
        <w:rPr>
          <w:rStyle w:val="16"/>
          <w:rFonts w:hint="eastAsia" w:ascii="楷体" w:hAnsi="楷体" w:eastAsia="楷体" w:cs="Times New Roman"/>
          <w:b w:val="0"/>
          <w:bCs w:val="0"/>
          <w:spacing w:val="-4"/>
          <w:kern w:val="2"/>
          <w:sz w:val="32"/>
          <w:szCs w:val="32"/>
          <w:lang w:val="en-US" w:eastAsia="zh-CN" w:bidi="ar-SA"/>
        </w:rPr>
        <w:t>2</w:t>
      </w:r>
      <w:r>
        <w:rPr>
          <w:rStyle w:val="16"/>
          <w:rFonts w:hint="default" w:ascii="楷体" w:hAnsi="楷体" w:eastAsia="楷体" w:cs="Times New Roman"/>
          <w:b w:val="0"/>
          <w:bCs w:val="0"/>
          <w:spacing w:val="-4"/>
          <w:kern w:val="2"/>
          <w:sz w:val="32"/>
          <w:szCs w:val="32"/>
          <w:lang w:val="en-US" w:eastAsia="zh-CN" w:bidi="ar-SA"/>
        </w:rPr>
        <w:t>个三级指标构成，权重分</w:t>
      </w:r>
      <w:r>
        <w:rPr>
          <w:rStyle w:val="16"/>
          <w:rFonts w:hint="eastAsia" w:ascii="楷体" w:hAnsi="楷体" w:eastAsia="楷体" w:cs="Times New Roman"/>
          <w:b w:val="0"/>
          <w:bCs w:val="0"/>
          <w:spacing w:val="-4"/>
          <w:kern w:val="2"/>
          <w:sz w:val="32"/>
          <w:szCs w:val="32"/>
          <w:lang w:val="en-US" w:eastAsia="zh-CN" w:bidi="ar-SA"/>
        </w:rPr>
        <w:t>30</w:t>
      </w:r>
      <w:r>
        <w:rPr>
          <w:rStyle w:val="16"/>
          <w:rFonts w:hint="default" w:ascii="楷体" w:hAnsi="楷体" w:eastAsia="楷体" w:cs="Times New Roman"/>
          <w:b w:val="0"/>
          <w:bCs w:val="0"/>
          <w:spacing w:val="-4"/>
          <w:kern w:val="2"/>
          <w:sz w:val="32"/>
          <w:szCs w:val="32"/>
          <w:lang w:val="en-US" w:eastAsia="zh-CN" w:bidi="ar-SA"/>
        </w:rPr>
        <w:t>分，实际得分</w:t>
      </w:r>
      <w:r>
        <w:rPr>
          <w:rStyle w:val="16"/>
          <w:rFonts w:hint="eastAsia" w:ascii="楷体" w:hAnsi="楷体" w:eastAsia="楷体" w:cs="Times New Roman"/>
          <w:b w:val="0"/>
          <w:bCs w:val="0"/>
          <w:spacing w:val="-4"/>
          <w:kern w:val="2"/>
          <w:sz w:val="32"/>
          <w:szCs w:val="32"/>
          <w:lang w:val="en-US" w:eastAsia="zh-CN" w:bidi="ar-SA"/>
        </w:rPr>
        <w:t>30</w:t>
      </w:r>
      <w:r>
        <w:rPr>
          <w:rStyle w:val="16"/>
          <w:rFonts w:hint="default" w:ascii="楷体" w:hAnsi="楷体" w:eastAsia="楷体" w:cs="Times New Roman"/>
          <w:b w:val="0"/>
          <w:bCs w:val="0"/>
          <w:spacing w:val="-4"/>
          <w:kern w:val="2"/>
          <w:sz w:val="32"/>
          <w:szCs w:val="32"/>
          <w:lang w:val="en-US" w:eastAsia="zh-CN" w:bidi="ar-SA"/>
        </w:rPr>
        <w:t>分。</w:t>
      </w:r>
    </w:p>
    <w:p w14:paraId="1562D220">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1.经济效益完成情况分析</w:t>
      </w:r>
    </w:p>
    <w:p w14:paraId="37DB5ED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无该类指标</w:t>
      </w:r>
    </w:p>
    <w:p w14:paraId="25C11D58">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2.社会效益完成情况分析</w:t>
      </w:r>
    </w:p>
    <w:p w14:paraId="3D62CB6C">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“提升党员政治素养”指标：预期指标值为“稳步提升”，实际完成指标值为“</w:t>
      </w:r>
      <w:r>
        <w:rPr>
          <w:rStyle w:val="16"/>
          <w:rFonts w:hint="eastAsia" w:ascii="楷体" w:hAnsi="楷体" w:eastAsia="楷体" w:cs="Times New Roman"/>
          <w:b w:val="0"/>
          <w:bCs w:val="0"/>
          <w:spacing w:val="-4"/>
          <w:kern w:val="2"/>
          <w:sz w:val="32"/>
          <w:szCs w:val="32"/>
          <w:lang w:val="en-US" w:eastAsia="zh-CN" w:bidi="ar-SA"/>
        </w:rPr>
        <w:t>达到预期指标</w:t>
      </w:r>
      <w:r>
        <w:rPr>
          <w:rStyle w:val="16"/>
          <w:rFonts w:hint="default" w:ascii="楷体" w:hAnsi="楷体" w:eastAsia="楷体" w:cs="Times New Roman"/>
          <w:b w:val="0"/>
          <w:bCs w:val="0"/>
          <w:spacing w:val="-4"/>
          <w:kern w:val="2"/>
          <w:sz w:val="32"/>
          <w:szCs w:val="32"/>
          <w:lang w:val="en-US" w:eastAsia="zh-CN" w:bidi="ar-SA"/>
        </w:rPr>
        <w:t>”，指标完成率为100.0%。</w:t>
      </w:r>
    </w:p>
    <w:p w14:paraId="5A336157">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Hans" w:bidi="ar-SA"/>
        </w:rPr>
      </w:pPr>
      <w:r>
        <w:rPr>
          <w:rStyle w:val="16"/>
          <w:rFonts w:hint="eastAsia" w:ascii="楷体" w:hAnsi="楷体" w:eastAsia="楷体" w:cs="Times New Roman"/>
          <w:b w:val="0"/>
          <w:bCs w:val="0"/>
          <w:spacing w:val="-4"/>
          <w:kern w:val="2"/>
          <w:sz w:val="32"/>
          <w:szCs w:val="32"/>
          <w:lang w:val="en-US" w:eastAsia="zh-CN" w:bidi="ar-SA"/>
        </w:rPr>
        <w:t>综上所述，本</w:t>
      </w:r>
      <w:r>
        <w:rPr>
          <w:rStyle w:val="16"/>
          <w:rFonts w:hint="eastAsia" w:ascii="楷体" w:hAnsi="楷体" w:eastAsia="楷体" w:cs="Times New Roman"/>
          <w:b w:val="0"/>
          <w:bCs w:val="0"/>
          <w:spacing w:val="-4"/>
          <w:kern w:val="2"/>
          <w:sz w:val="32"/>
          <w:szCs w:val="32"/>
          <w:lang w:val="en-US" w:eastAsia="zh-Hans" w:bidi="ar-SA"/>
        </w:rPr>
        <w:t>指标满分为</w:t>
      </w:r>
      <w:r>
        <w:rPr>
          <w:rStyle w:val="16"/>
          <w:rFonts w:hint="eastAsia" w:ascii="楷体" w:hAnsi="楷体" w:eastAsia="楷体" w:cs="Times New Roman"/>
          <w:b w:val="0"/>
          <w:bCs w:val="0"/>
          <w:spacing w:val="-4"/>
          <w:kern w:val="2"/>
          <w:sz w:val="32"/>
          <w:szCs w:val="32"/>
          <w:lang w:val="en-US" w:eastAsia="zh-CN" w:bidi="ar-SA"/>
        </w:rPr>
        <w:t>20</w:t>
      </w:r>
      <w:r>
        <w:rPr>
          <w:rStyle w:val="16"/>
          <w:rFonts w:hint="eastAsia" w:ascii="楷体" w:hAnsi="楷体" w:eastAsia="楷体" w:cs="Times New Roman"/>
          <w:b w:val="0"/>
          <w:bCs w:val="0"/>
          <w:spacing w:val="-4"/>
          <w:kern w:val="2"/>
          <w:sz w:val="32"/>
          <w:szCs w:val="32"/>
          <w:lang w:val="en-US" w:eastAsia="zh-Hans" w:bidi="ar-SA"/>
        </w:rPr>
        <w:t>分，根据评分标准得</w:t>
      </w:r>
      <w:r>
        <w:rPr>
          <w:rStyle w:val="16"/>
          <w:rFonts w:hint="eastAsia" w:ascii="楷体" w:hAnsi="楷体" w:eastAsia="楷体" w:cs="Times New Roman"/>
          <w:b w:val="0"/>
          <w:bCs w:val="0"/>
          <w:spacing w:val="-4"/>
          <w:kern w:val="2"/>
          <w:sz w:val="32"/>
          <w:szCs w:val="32"/>
          <w:lang w:val="en-US" w:eastAsia="zh-CN" w:bidi="ar-SA"/>
        </w:rPr>
        <w:t>20</w:t>
      </w:r>
      <w:r>
        <w:rPr>
          <w:rStyle w:val="16"/>
          <w:rFonts w:hint="eastAsia" w:ascii="楷体" w:hAnsi="楷体" w:eastAsia="楷体" w:cs="Times New Roman"/>
          <w:b w:val="0"/>
          <w:bCs w:val="0"/>
          <w:spacing w:val="-4"/>
          <w:kern w:val="2"/>
          <w:sz w:val="32"/>
          <w:szCs w:val="32"/>
          <w:lang w:val="en-US" w:eastAsia="zh-Hans" w:bidi="ar-SA"/>
        </w:rPr>
        <w:t>分</w:t>
      </w:r>
      <w:r>
        <w:rPr>
          <w:rStyle w:val="16"/>
          <w:rFonts w:hint="default" w:ascii="楷体" w:hAnsi="楷体" w:eastAsia="楷体" w:cs="Times New Roman"/>
          <w:b w:val="0"/>
          <w:bCs w:val="0"/>
          <w:spacing w:val="-4"/>
          <w:kern w:val="2"/>
          <w:sz w:val="32"/>
          <w:szCs w:val="32"/>
          <w:lang w:val="en-US" w:eastAsia="zh-Hans" w:bidi="ar-SA"/>
        </w:rPr>
        <w:t>。</w:t>
      </w:r>
    </w:p>
    <w:p w14:paraId="7971614B">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3.生态效益完成情况分析</w:t>
      </w:r>
    </w:p>
    <w:p w14:paraId="24B33106">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无该类指标</w:t>
      </w:r>
    </w:p>
    <w:p w14:paraId="76B32AC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4.满意度完成情况分析</w:t>
      </w:r>
    </w:p>
    <w:p w14:paraId="026C0D7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“各单位满意度”指标：预期指标值为“&gt;=95%”，实际完成指标值为“</w:t>
      </w:r>
      <w:r>
        <w:rPr>
          <w:rStyle w:val="16"/>
          <w:rFonts w:hint="eastAsia" w:ascii="楷体" w:hAnsi="楷体" w:eastAsia="楷体" w:cs="Times New Roman"/>
          <w:b w:val="0"/>
          <w:bCs w:val="0"/>
          <w:spacing w:val="-4"/>
          <w:kern w:val="2"/>
          <w:sz w:val="32"/>
          <w:szCs w:val="32"/>
          <w:lang w:val="en-US" w:eastAsia="zh-CN" w:bidi="ar-SA"/>
        </w:rPr>
        <w:t>=</w:t>
      </w:r>
      <w:r>
        <w:rPr>
          <w:rStyle w:val="16"/>
          <w:rFonts w:hint="default" w:ascii="楷体" w:hAnsi="楷体" w:eastAsia="楷体" w:cs="Times New Roman"/>
          <w:b w:val="0"/>
          <w:bCs w:val="0"/>
          <w:spacing w:val="-4"/>
          <w:kern w:val="2"/>
          <w:sz w:val="32"/>
          <w:szCs w:val="32"/>
          <w:lang w:val="en-US" w:eastAsia="zh-CN" w:bidi="ar-SA"/>
        </w:rPr>
        <w:t>100%”，指标完成率为100%。</w:t>
      </w:r>
    </w:p>
    <w:p w14:paraId="0D65A91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eastAsia" w:ascii="Times New Roman" w:hAnsi="Times New Roman" w:eastAsia="方正仿宋_GBK" w:cs="Times New Roman"/>
          <w:color w:val="auto"/>
          <w:sz w:val="32"/>
          <w:szCs w:val="32"/>
          <w:lang w:eastAsia="zh-Hans"/>
        </w:rPr>
      </w:pPr>
      <w:r>
        <w:rPr>
          <w:rStyle w:val="16"/>
          <w:rFonts w:hint="eastAsia" w:ascii="楷体" w:hAnsi="楷体" w:eastAsia="楷体" w:cs="Times New Roman"/>
          <w:b w:val="0"/>
          <w:bCs w:val="0"/>
          <w:spacing w:val="-4"/>
          <w:kern w:val="2"/>
          <w:sz w:val="32"/>
          <w:szCs w:val="32"/>
          <w:lang w:val="en-US" w:eastAsia="zh-CN" w:bidi="ar-SA"/>
        </w:rPr>
        <w:t>综上所述，本</w:t>
      </w:r>
      <w:r>
        <w:rPr>
          <w:rStyle w:val="16"/>
          <w:rFonts w:hint="eastAsia" w:ascii="楷体" w:hAnsi="楷体" w:eastAsia="楷体" w:cs="Times New Roman"/>
          <w:b w:val="0"/>
          <w:bCs w:val="0"/>
          <w:spacing w:val="-4"/>
          <w:kern w:val="2"/>
          <w:sz w:val="32"/>
          <w:szCs w:val="32"/>
          <w:lang w:val="en-US" w:eastAsia="zh-Hans" w:bidi="ar-SA"/>
        </w:rPr>
        <w:t>指标满分为</w:t>
      </w:r>
      <w:r>
        <w:rPr>
          <w:rStyle w:val="16"/>
          <w:rFonts w:hint="eastAsia" w:ascii="楷体" w:hAnsi="楷体" w:eastAsia="楷体" w:cs="Times New Roman"/>
          <w:b w:val="0"/>
          <w:bCs w:val="0"/>
          <w:spacing w:val="-4"/>
          <w:kern w:val="2"/>
          <w:sz w:val="32"/>
          <w:szCs w:val="32"/>
          <w:lang w:val="en-US" w:eastAsia="zh-CN" w:bidi="ar-SA"/>
        </w:rPr>
        <w:t>10</w:t>
      </w:r>
      <w:r>
        <w:rPr>
          <w:rStyle w:val="16"/>
          <w:rFonts w:hint="eastAsia" w:ascii="楷体" w:hAnsi="楷体" w:eastAsia="楷体" w:cs="Times New Roman"/>
          <w:b w:val="0"/>
          <w:bCs w:val="0"/>
          <w:spacing w:val="-4"/>
          <w:kern w:val="2"/>
          <w:sz w:val="32"/>
          <w:szCs w:val="32"/>
          <w:lang w:val="en-US" w:eastAsia="zh-Hans" w:bidi="ar-SA"/>
        </w:rPr>
        <w:t>分，根据评分标准得</w:t>
      </w:r>
      <w:r>
        <w:rPr>
          <w:rStyle w:val="16"/>
          <w:rFonts w:hint="eastAsia" w:ascii="楷体" w:hAnsi="楷体" w:eastAsia="楷体" w:cs="Times New Roman"/>
          <w:b w:val="0"/>
          <w:bCs w:val="0"/>
          <w:spacing w:val="-4"/>
          <w:kern w:val="2"/>
          <w:sz w:val="32"/>
          <w:szCs w:val="32"/>
          <w:lang w:val="en-US" w:eastAsia="zh-CN" w:bidi="ar-SA"/>
        </w:rPr>
        <w:t>10</w:t>
      </w:r>
      <w:r>
        <w:rPr>
          <w:rStyle w:val="16"/>
          <w:rFonts w:hint="eastAsia" w:ascii="楷体" w:hAnsi="楷体" w:eastAsia="楷体" w:cs="Times New Roman"/>
          <w:b w:val="0"/>
          <w:bCs w:val="0"/>
          <w:spacing w:val="-4"/>
          <w:kern w:val="2"/>
          <w:sz w:val="32"/>
          <w:szCs w:val="32"/>
          <w:lang w:val="en-US" w:eastAsia="zh-Hans" w:bidi="ar-SA"/>
        </w:rPr>
        <w:t>分</w:t>
      </w:r>
      <w:r>
        <w:rPr>
          <w:rStyle w:val="16"/>
          <w:rFonts w:hint="default" w:ascii="楷体" w:hAnsi="楷体" w:eastAsia="楷体" w:cs="Times New Roman"/>
          <w:b w:val="0"/>
          <w:bCs w:val="0"/>
          <w:spacing w:val="-4"/>
          <w:kern w:val="2"/>
          <w:sz w:val="32"/>
          <w:szCs w:val="32"/>
          <w:lang w:val="en-US" w:eastAsia="zh-Hans" w:bidi="ar-SA"/>
        </w:rPr>
        <w:t>。</w:t>
      </w:r>
    </w:p>
    <w:p w14:paraId="682D02E7">
      <w:pPr>
        <w:pStyle w:val="2"/>
        <w:ind w:firstLine="643"/>
        <w:rPr>
          <w:color w:val="auto"/>
        </w:rPr>
      </w:pPr>
      <w:r>
        <w:rPr>
          <w:rStyle w:val="16"/>
          <w:rFonts w:hint="eastAsia" w:ascii="黑体" w:hAnsi="黑体" w:eastAsia="黑体" w:cs="Times New Roman"/>
          <w:b w:val="0"/>
          <w:spacing w:val="-4"/>
          <w:kern w:val="2"/>
          <w:sz w:val="32"/>
          <w:szCs w:val="32"/>
          <w:lang w:val="en-US" w:eastAsia="zh-CN" w:bidi="ar-SA"/>
        </w:rPr>
        <w:t>五、主要经验及做法、存在的问题及原因分析</w:t>
      </w:r>
    </w:p>
    <w:p w14:paraId="18448C23">
      <w:pPr>
        <w:pStyle w:val="3"/>
        <w:numPr>
          <w:ilvl w:val="0"/>
          <w:numId w:val="0"/>
        </w:numPr>
        <w:ind w:firstLine="624" w:firstLineChars="200"/>
        <w:rPr>
          <w:rStyle w:val="16"/>
          <w:rFonts w:hint="eastAsia" w:ascii="楷体" w:hAnsi="楷体" w:eastAsia="楷体" w:cs="Times New Roman"/>
          <w:b w:val="0"/>
          <w:bCs w:val="0"/>
          <w:spacing w:val="-4"/>
          <w:kern w:val="2"/>
          <w:sz w:val="32"/>
          <w:szCs w:val="32"/>
          <w:lang w:val="en-US" w:eastAsia="zh-CN" w:bidi="ar-SA"/>
        </w:rPr>
      </w:pPr>
      <w:bookmarkStart w:id="12" w:name="_Toc1921"/>
      <w:bookmarkStart w:id="13" w:name="_Toc28290"/>
      <w:r>
        <w:rPr>
          <w:rStyle w:val="16"/>
          <w:rFonts w:hint="eastAsia" w:ascii="楷体" w:hAnsi="楷体" w:eastAsia="楷体" w:cs="Times New Roman"/>
          <w:b w:val="0"/>
          <w:bCs w:val="0"/>
          <w:spacing w:val="-4"/>
          <w:kern w:val="2"/>
          <w:sz w:val="32"/>
          <w:szCs w:val="32"/>
          <w:lang w:val="en-US" w:eastAsia="zh-CN" w:bidi="ar-SA"/>
        </w:rPr>
        <w:t>（一）主要经验及做法</w:t>
      </w:r>
    </w:p>
    <w:bookmarkEnd w:id="12"/>
    <w:bookmarkEnd w:id="13"/>
    <w:p w14:paraId="695500B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2025年党报党刊项目以156.42万元预算为核心，围绕思想引领、舆论引导和服务群众三大方向，全面推动新时代党的宣传事业高质量发展。在思想引领方面，项目坚持将党的创新理论融入内容生产，通过系统化的专题策划和深层次的政策解读，有效提升了党报党刊的政治站位和理论深度。通过整合多方资源，形成了以党报为核心、多平台联动的传播矩阵，进一步巩固了主流舆论阵地。在党报党刊订阅方面，确保了全县各级党政机关、企事业单位、学校、社区等单位的全覆盖，有效提升了党员干部和群众对党的政策、理论知识的了解和掌握。在发行和宣传方面，通过举办专题讲座、读书会、知识竞赛等形式，进一步扩大了党报党刊的影响力，增强了党员干部和群众的学习积极性，营造了浓厚的学习氛围。在舆论引导方面，项目注重以群众需求为导向，通过创新表达形式和传播手段，增强了内容的吸引力和感染力。例如，通过融合传统纸媒与新媒体技术，实现了信息的立体化传播，扩大了受众覆盖面。同时，项目积极回应社会热点问题，强化了党报党刊在舆论场中的权威性和公信力。在服务群众方面，项目聚焦基层实际，通过开展系列主题活动，搭建了党群沟通桥梁，切实解决了群众关心的实际问题，增强了群众的获得感和满意度。</w:t>
      </w:r>
    </w:p>
    <w:p w14:paraId="0AD401A6">
      <w:pPr>
        <w:pStyle w:val="3"/>
        <w:numPr>
          <w:ilvl w:val="0"/>
          <w:numId w:val="0"/>
        </w:numPr>
        <w:ind w:firstLine="624" w:firstLineChars="200"/>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（二）存在的问题及原因分析</w:t>
      </w:r>
    </w:p>
    <w:p w14:paraId="56518FEE">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left="0" w:leftChars="0"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bookmarkStart w:id="14" w:name="_Hlk193715338"/>
      <w:r>
        <w:rPr>
          <w:rStyle w:val="16"/>
          <w:rFonts w:hint="default" w:ascii="楷体" w:hAnsi="楷体" w:eastAsia="楷体" w:cs="Times New Roman"/>
          <w:b w:val="0"/>
          <w:bCs w:val="0"/>
          <w:spacing w:val="-4"/>
          <w:kern w:val="2"/>
          <w:sz w:val="32"/>
          <w:szCs w:val="32"/>
          <w:lang w:val="en-US" w:eastAsia="zh-CN" w:bidi="ar-SA"/>
        </w:rPr>
        <w:t>1.</w:t>
      </w:r>
      <w:r>
        <w:rPr>
          <w:rStyle w:val="16"/>
          <w:rFonts w:hint="eastAsia" w:ascii="楷体" w:hAnsi="楷体" w:eastAsia="楷体" w:cs="Times New Roman"/>
          <w:b w:val="0"/>
          <w:bCs w:val="0"/>
          <w:spacing w:val="-4"/>
          <w:kern w:val="2"/>
          <w:sz w:val="32"/>
          <w:szCs w:val="32"/>
          <w:lang w:val="en-US" w:eastAsia="zh-CN" w:bidi="ar-SA"/>
        </w:rPr>
        <w:t>问题：</w:t>
      </w:r>
      <w:r>
        <w:rPr>
          <w:rStyle w:val="16"/>
          <w:rFonts w:hint="default" w:ascii="楷体" w:hAnsi="楷体" w:eastAsia="楷体" w:cs="Times New Roman"/>
          <w:b w:val="0"/>
          <w:bCs w:val="0"/>
          <w:spacing w:val="-4"/>
          <w:kern w:val="2"/>
          <w:sz w:val="32"/>
          <w:szCs w:val="32"/>
          <w:lang w:val="en-US" w:eastAsia="zh-CN" w:bidi="ar-SA"/>
        </w:rPr>
        <w:t>预算执行与规划存在脱节：部分资金分配未能充分结合实际需求，导致资源配置效率不足。例如，在内容生产与传播技术投入之间未能形成动态平衡，部分领域出现重复投入或资源闲置现象。主要原因是预算编制前调研不够深入，对各环节实际需求掌握不精准，缺乏动态调整机制。</w:t>
      </w:r>
    </w:p>
    <w:p w14:paraId="598114AB">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原因：</w:t>
      </w:r>
      <w:r>
        <w:rPr>
          <w:rStyle w:val="16"/>
          <w:rFonts w:hint="default" w:ascii="楷体" w:hAnsi="楷体" w:eastAsia="楷体" w:cs="Times New Roman"/>
          <w:b w:val="0"/>
          <w:bCs w:val="0"/>
          <w:spacing w:val="-4"/>
          <w:kern w:val="2"/>
          <w:sz w:val="32"/>
          <w:szCs w:val="32"/>
          <w:lang w:val="en-US" w:eastAsia="zh-CN" w:bidi="ar-SA"/>
        </w:rPr>
        <w:t>资金分配未能精准匹配实际需求，导致部分领域资源浪费或不足，影响整体项目效益。例如，内容生产与技术投入比例失衡，部分设备或平台利用率低，而关键环节（如新媒体运营）却缺乏足够支持。</w:t>
      </w:r>
    </w:p>
    <w:p w14:paraId="157E3E56">
      <w:pPr>
        <w:pStyle w:val="26"/>
        <w:keepNext w:val="0"/>
        <w:keepLines w:val="0"/>
        <w:pageBreakBefore w:val="0"/>
        <w:widowControl/>
        <w:numPr>
          <w:ilvl w:val="0"/>
          <w:numId w:val="0"/>
        </w:numPr>
        <w:kinsoku/>
        <w:wordWrap/>
        <w:overflowPunct/>
        <w:topLinePunct w:val="0"/>
        <w:autoSpaceDE/>
        <w:autoSpaceDN/>
        <w:bidi w:val="0"/>
        <w:adjustRightInd/>
        <w:snapToGrid/>
        <w:spacing w:before="0" w:after="0" w:line="560" w:lineRule="exact"/>
        <w:ind w:left="0" w:leftChars="0"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w:t>
      </w:r>
      <w:r>
        <w:rPr>
          <w:rStyle w:val="16"/>
          <w:rFonts w:hint="eastAsia" w:ascii="楷体" w:hAnsi="楷体" w:eastAsia="楷体" w:cs="Times New Roman"/>
          <w:b w:val="0"/>
          <w:bCs w:val="0"/>
          <w:spacing w:val="-4"/>
          <w:kern w:val="2"/>
          <w:sz w:val="32"/>
          <w:szCs w:val="32"/>
          <w:lang w:val="en-US" w:eastAsia="zh-CN" w:bidi="ar-SA"/>
        </w:rPr>
        <w:t>问题：</w:t>
      </w:r>
      <w:r>
        <w:rPr>
          <w:rStyle w:val="16"/>
          <w:rFonts w:hint="default" w:ascii="楷体" w:hAnsi="楷体" w:eastAsia="楷体" w:cs="Times New Roman"/>
          <w:b w:val="0"/>
          <w:bCs w:val="0"/>
          <w:spacing w:val="-4"/>
          <w:kern w:val="2"/>
          <w:sz w:val="32"/>
          <w:szCs w:val="32"/>
          <w:lang w:val="en-US" w:eastAsia="zh-CN" w:bidi="ar-SA"/>
        </w:rPr>
        <w:t>内容创新力度有待加强：部分报道仍存在形式单一、互动性不足的问题，未能充分适应新媒体时代受众的多样化需求。群众反馈显示，部分内容与基层实际结合不够紧密，理论性与实践性需进一步协调。原因在于对新媒体传播规律和受众需求研究不够，创新意识和能力不足，选题策划缺乏群众参与。</w:t>
      </w:r>
    </w:p>
    <w:p w14:paraId="01980029">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 xml:space="preserve"> 原因：</w:t>
      </w:r>
      <w:r>
        <w:rPr>
          <w:rStyle w:val="16"/>
          <w:rFonts w:hint="default" w:ascii="楷体" w:hAnsi="楷体" w:eastAsia="楷体" w:cs="Times New Roman"/>
          <w:b w:val="0"/>
          <w:bCs w:val="0"/>
          <w:spacing w:val="-4"/>
          <w:kern w:val="2"/>
          <w:sz w:val="32"/>
          <w:szCs w:val="32"/>
          <w:lang w:val="en-US" w:eastAsia="zh-CN" w:bidi="ar-SA"/>
        </w:rPr>
        <w:t>报道形式单一、互动性弱，难以吸引新媒体受众，部分内容脱离基层实际，导致群众参与感低。</w:t>
      </w:r>
    </w:p>
    <w:p w14:paraId="1977CBCA">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3.</w:t>
      </w:r>
      <w:r>
        <w:rPr>
          <w:rStyle w:val="16"/>
          <w:rFonts w:hint="eastAsia" w:ascii="楷体" w:hAnsi="楷体" w:eastAsia="楷体" w:cs="Times New Roman"/>
          <w:b w:val="0"/>
          <w:bCs w:val="0"/>
          <w:spacing w:val="-4"/>
          <w:kern w:val="2"/>
          <w:sz w:val="32"/>
          <w:szCs w:val="32"/>
          <w:lang w:val="en-US" w:eastAsia="zh-CN" w:bidi="ar-SA"/>
        </w:rPr>
        <w:t>问题：</w:t>
      </w:r>
      <w:r>
        <w:rPr>
          <w:rStyle w:val="16"/>
          <w:rFonts w:hint="default" w:ascii="楷体" w:hAnsi="楷体" w:eastAsia="楷体" w:cs="Times New Roman"/>
          <w:b w:val="0"/>
          <w:bCs w:val="0"/>
          <w:spacing w:val="-4"/>
          <w:kern w:val="2"/>
          <w:sz w:val="32"/>
          <w:szCs w:val="32"/>
          <w:lang w:val="en-US" w:eastAsia="zh-CN" w:bidi="ar-SA"/>
        </w:rPr>
        <w:t>跨部门协作机制不完善：项目涉及多部门协同推进，但由于职责划分模糊和沟通渠道不畅，导致信息共享滞后、决策效率偏低，影响了整体实施效果。主要是因为缺乏有效的跨部门协调机制，各部门职责分工不明确，沟通协作不顺畅。</w:t>
      </w:r>
    </w:p>
    <w:p w14:paraId="36B9C87A">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原因：</w:t>
      </w:r>
      <w:r>
        <w:rPr>
          <w:rStyle w:val="16"/>
          <w:rFonts w:hint="default" w:ascii="楷体" w:hAnsi="楷体" w:eastAsia="楷体" w:cs="Times New Roman"/>
          <w:b w:val="0"/>
          <w:bCs w:val="0"/>
          <w:spacing w:val="-4"/>
          <w:kern w:val="2"/>
          <w:sz w:val="32"/>
          <w:szCs w:val="32"/>
          <w:lang w:val="en-US" w:eastAsia="zh-CN" w:bidi="ar-SA"/>
        </w:rPr>
        <w:t>职责边界模糊、沟通成本高，导致信息滞后和决策效率低下，影响项目推进速度</w:t>
      </w:r>
      <w:r>
        <w:rPr>
          <w:rStyle w:val="16"/>
          <w:rFonts w:hint="eastAsia" w:ascii="楷体" w:hAnsi="楷体" w:eastAsia="楷体" w:cs="Times New Roman"/>
          <w:b w:val="0"/>
          <w:bCs w:val="0"/>
          <w:spacing w:val="-4"/>
          <w:kern w:val="2"/>
          <w:sz w:val="32"/>
          <w:szCs w:val="32"/>
          <w:lang w:val="en-US" w:eastAsia="zh-CN" w:bidi="ar-SA"/>
        </w:rPr>
        <w:t>。</w:t>
      </w:r>
    </w:p>
    <w:p w14:paraId="231073EA">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4.</w:t>
      </w:r>
      <w:r>
        <w:rPr>
          <w:rStyle w:val="16"/>
          <w:rFonts w:hint="eastAsia" w:ascii="楷体" w:hAnsi="楷体" w:eastAsia="楷体" w:cs="Times New Roman"/>
          <w:b w:val="0"/>
          <w:bCs w:val="0"/>
          <w:spacing w:val="-4"/>
          <w:kern w:val="2"/>
          <w:sz w:val="32"/>
          <w:szCs w:val="32"/>
          <w:lang w:val="en-US" w:eastAsia="zh-CN" w:bidi="ar-SA"/>
        </w:rPr>
        <w:t>问题：</w:t>
      </w:r>
      <w:r>
        <w:rPr>
          <w:rStyle w:val="16"/>
          <w:rFonts w:hint="default" w:ascii="楷体" w:hAnsi="楷体" w:eastAsia="楷体" w:cs="Times New Roman"/>
          <w:b w:val="0"/>
          <w:bCs w:val="0"/>
          <w:spacing w:val="-4"/>
          <w:kern w:val="2"/>
          <w:sz w:val="32"/>
          <w:szCs w:val="32"/>
          <w:lang w:val="en-US" w:eastAsia="zh-CN" w:bidi="ar-SA"/>
        </w:rPr>
        <w:t>数字化平台应用深度不足：虽然搭建了新媒体传播渠道，但在用户粘性提升、数据挖掘分析等方面缺乏系统性规划，未能充分发挥数字化工具的优势。原因是对数字化转型重视不够，缺乏专业技术人才和系统规划，投入资源不足。</w:t>
      </w:r>
    </w:p>
    <w:p w14:paraId="730A9E4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eastAsia"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原因：</w:t>
      </w:r>
      <w:r>
        <w:rPr>
          <w:rStyle w:val="16"/>
          <w:rFonts w:hint="default" w:ascii="楷体" w:hAnsi="楷体" w:eastAsia="楷体" w:cs="Times New Roman"/>
          <w:b w:val="0"/>
          <w:bCs w:val="0"/>
          <w:spacing w:val="-4"/>
          <w:kern w:val="2"/>
          <w:sz w:val="32"/>
          <w:szCs w:val="32"/>
          <w:lang w:val="en-US" w:eastAsia="zh-CN" w:bidi="ar-SA"/>
        </w:rPr>
        <w:t>新媒体渠道仅停留在信息发布层面，缺乏用户粘性建设和数据分析能力，未能发挥数字化优势。</w:t>
      </w:r>
    </w:p>
    <w:p w14:paraId="429730D1">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5.</w:t>
      </w:r>
      <w:r>
        <w:rPr>
          <w:rStyle w:val="16"/>
          <w:rFonts w:hint="eastAsia" w:ascii="楷体" w:hAnsi="楷体" w:eastAsia="楷体" w:cs="Times New Roman"/>
          <w:b w:val="0"/>
          <w:bCs w:val="0"/>
          <w:spacing w:val="-4"/>
          <w:kern w:val="2"/>
          <w:sz w:val="32"/>
          <w:szCs w:val="32"/>
          <w:lang w:val="en-US" w:eastAsia="zh-CN" w:bidi="ar-SA"/>
        </w:rPr>
        <w:t>问题：</w:t>
      </w:r>
      <w:r>
        <w:rPr>
          <w:rStyle w:val="16"/>
          <w:rFonts w:hint="default" w:ascii="楷体" w:hAnsi="楷体" w:eastAsia="楷体" w:cs="Times New Roman"/>
          <w:b w:val="0"/>
          <w:bCs w:val="0"/>
          <w:spacing w:val="-4"/>
          <w:kern w:val="2"/>
          <w:sz w:val="32"/>
          <w:szCs w:val="32"/>
          <w:lang w:val="en-US" w:eastAsia="zh-CN" w:bidi="ar-SA"/>
        </w:rPr>
        <w:t>偏远地区发行时效性问题：部分地区交通不便，导致发行时效性受到影响，部分偏远地区的党报党刊未能及时送达，影响了学习效果。主要是因为偏远地区物流配送网络不完善，配送力量不足。</w:t>
      </w:r>
    </w:p>
    <w:p w14:paraId="673FD8DC">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eastAsia" w:ascii="楷体" w:hAnsi="楷体" w:eastAsia="楷体" w:cs="Times New Roman"/>
          <w:b w:val="0"/>
          <w:bCs w:val="0"/>
          <w:spacing w:val="-4"/>
          <w:kern w:val="2"/>
          <w:sz w:val="32"/>
          <w:szCs w:val="32"/>
          <w:lang w:val="en-US" w:eastAsia="zh-CN" w:bidi="ar-SA"/>
        </w:rPr>
        <w:t>原因：</w:t>
      </w:r>
      <w:r>
        <w:rPr>
          <w:rStyle w:val="16"/>
          <w:rFonts w:hint="default" w:ascii="楷体" w:hAnsi="楷体" w:eastAsia="楷体" w:cs="Times New Roman"/>
          <w:b w:val="0"/>
          <w:bCs w:val="0"/>
          <w:spacing w:val="-4"/>
          <w:kern w:val="2"/>
          <w:sz w:val="32"/>
          <w:szCs w:val="32"/>
          <w:lang w:val="en-US" w:eastAsia="zh-CN" w:bidi="ar-SA"/>
        </w:rPr>
        <w:t>受交通条件限制，部分村（社区）党报党刊投递延迟，影响政策传达和学习效果。</w:t>
      </w:r>
    </w:p>
    <w:p w14:paraId="169A603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6.</w:t>
      </w:r>
      <w:r>
        <w:rPr>
          <w:rStyle w:val="16"/>
          <w:rFonts w:hint="eastAsia" w:ascii="楷体" w:hAnsi="楷体" w:eastAsia="楷体" w:cs="Times New Roman"/>
          <w:b w:val="0"/>
          <w:bCs w:val="0"/>
          <w:spacing w:val="-4"/>
          <w:kern w:val="2"/>
          <w:sz w:val="32"/>
          <w:szCs w:val="32"/>
          <w:lang w:val="en-US" w:eastAsia="zh-CN" w:bidi="ar-SA"/>
        </w:rPr>
        <w:t>问题：</w:t>
      </w:r>
      <w:r>
        <w:rPr>
          <w:rStyle w:val="16"/>
          <w:rFonts w:hint="default" w:ascii="楷体" w:hAnsi="楷体" w:eastAsia="楷体" w:cs="Times New Roman"/>
          <w:b w:val="0"/>
          <w:bCs w:val="0"/>
          <w:spacing w:val="-4"/>
          <w:kern w:val="2"/>
          <w:sz w:val="32"/>
          <w:szCs w:val="32"/>
          <w:lang w:val="en-US" w:eastAsia="zh-CN" w:bidi="ar-SA"/>
        </w:rPr>
        <w:t>宣传活动效果不佳：部分活动的组织策划不够精细，未能充分考虑到参与者的实际需求和兴趣，导致参与度不高，活动效果未达预期。原因是活动策划前期调研不足，对参与者需求把握不准，活动形式和内容缺乏吸引力。</w:t>
      </w:r>
    </w:p>
    <w:p w14:paraId="50D22D87">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eastAsia" w:ascii="Times New Roman" w:hAnsi="Times New Roman" w:eastAsia="方正仿宋_GBK" w:cs="Times New Roman"/>
          <w:color w:val="auto"/>
          <w:sz w:val="32"/>
          <w:szCs w:val="32"/>
          <w:lang w:val="en-US" w:eastAsia="zh-CN"/>
        </w:rPr>
      </w:pPr>
      <w:r>
        <w:rPr>
          <w:rStyle w:val="16"/>
          <w:rFonts w:hint="eastAsia" w:ascii="楷体" w:hAnsi="楷体" w:eastAsia="楷体" w:cs="Times New Roman"/>
          <w:b w:val="0"/>
          <w:bCs w:val="0"/>
          <w:spacing w:val="-4"/>
          <w:kern w:val="2"/>
          <w:sz w:val="32"/>
          <w:szCs w:val="32"/>
          <w:lang w:val="en-US" w:eastAsia="zh-CN" w:bidi="ar-SA"/>
        </w:rPr>
        <w:t>原因：</w:t>
      </w:r>
      <w:r>
        <w:rPr>
          <w:rStyle w:val="16"/>
          <w:rFonts w:hint="default" w:ascii="楷体" w:hAnsi="楷体" w:eastAsia="楷体" w:cs="Times New Roman"/>
          <w:b w:val="0"/>
          <w:bCs w:val="0"/>
          <w:spacing w:val="-4"/>
          <w:kern w:val="2"/>
          <w:sz w:val="32"/>
          <w:szCs w:val="32"/>
          <w:lang w:val="en-US" w:eastAsia="zh-CN" w:bidi="ar-SA"/>
        </w:rPr>
        <w:t>活动策划脱离群众兴趣，形式化严重，导致参与度低，未能有效传播政策价值。</w:t>
      </w:r>
    </w:p>
    <w:p w14:paraId="62C7103B">
      <w:pPr>
        <w:spacing w:line="540" w:lineRule="exact"/>
        <w:ind w:firstLine="640" w:firstLineChars="0"/>
        <w:rPr>
          <w:color w:val="auto"/>
        </w:rPr>
      </w:pPr>
      <w:r>
        <w:rPr>
          <w:rStyle w:val="16"/>
          <w:rFonts w:hint="eastAsia" w:ascii="黑体" w:hAnsi="黑体" w:eastAsia="黑体" w:cs="Times New Roman"/>
          <w:b w:val="0"/>
          <w:spacing w:val="-4"/>
          <w:sz w:val="32"/>
          <w:szCs w:val="32"/>
          <w:lang w:val="en-US" w:eastAsia="zh-CN"/>
        </w:rPr>
        <w:t>六、有关建议</w:t>
      </w:r>
      <w:bookmarkEnd w:id="14"/>
    </w:p>
    <w:p w14:paraId="47129AA1">
      <w:pPr>
        <w:pStyle w:val="4"/>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1.预算执行与规划脱节问题</w:t>
      </w:r>
    </w:p>
    <w:p w14:paraId="378E904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建议措施：建立“需求调研—预算编制—动态调整”的闭环管理机制。在项目启动前，由宣传、财政、邮政等部门联合开展基层调研，明确资金优先级（如数字化传播、偏远地区投递等）。推行“滚动预算”模式，每季度评估执行情况，对低效投入及时调整。同时，引入第三方审计，确保资金流向透明化，提升资源配置精准度。</w:t>
      </w:r>
    </w:p>
    <w:p w14:paraId="51E6E5C5">
      <w:pPr>
        <w:pStyle w:val="4"/>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2.内容创新不足问题</w:t>
      </w:r>
    </w:p>
    <w:p w14:paraId="7FB1CD9D">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建议措施：实施“内容供给侧改革”，设立“群众点单+专家策划”的选题机制。通过线上问卷、基层座谈会收集群众关注热点（如乡村振兴、民生政策），结合专家解读形成“理论+案例”的报道模式。增设互动专栏（如“你问我答”“基层故事汇”），利用短视频、H5等新媒体形式增强可读性。定期开展“好新闻评选”，激励记者深入一线采写鲜活素材。</w:t>
      </w:r>
    </w:p>
    <w:p w14:paraId="0BF284C0">
      <w:pPr>
        <w:pStyle w:val="4"/>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3.跨部门协作不畅问题</w:t>
      </w:r>
    </w:p>
    <w:p w14:paraId="46FDA354">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建议措施：成立“党报党刊工作专班”，由县委宣传部牵头，明确邮政、财政、乡镇党委等成员单位的权责清单。建立“周例会+线上协同平台”机制，共享任务进度和数据资源。推行“首接负责制”，首个对接部门需全程跟踪问题直至解决。同时，将协作效率纳入部门年度考核，对推诿行为通报批评，强化问责力度。</w:t>
      </w:r>
    </w:p>
    <w:p w14:paraId="5DC36CEB">
      <w:pPr>
        <w:pStyle w:val="4"/>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4.数字化平台应用浅层化问题</w:t>
      </w:r>
    </w:p>
    <w:p w14:paraId="5565B363">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建议措施：打造“智慧党报”融合平台，整合微信公众号、APP、乡村大喇叭等渠道，实现“一次采集、多元分发”。引入用户行为分析工具，根据阅读偏好推送个性化内容（如党员推荐栏目）。增设“学习积分”系统，对活跃读者给予荣誉激励（如“学习标兵”评选）。联合技术公司开展数字技能培训，提升宣传队伍的数据运营能力。</w:t>
      </w:r>
    </w:p>
    <w:p w14:paraId="75DEE527">
      <w:pPr>
        <w:pStyle w:val="4"/>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5.偏远地区发行时效性问题</w:t>
      </w:r>
    </w:p>
    <w:p w14:paraId="3A3300F9">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建议措施：优化“县—乡—村”三级物流网络，对偏远地区采取“邮政专线+志愿者配送”双轨模式。在乡镇设立临时分发点，由村干部或驻村工作队负责“最后一公里”投递。探索“数字党报”优先推送机制，为网络覆盖区提供电子版同步阅读。建立“投递时效红黑榜”，对延迟率高的线路约谈整改，确保年度投递准时率达95%以上。</w:t>
      </w:r>
    </w:p>
    <w:p w14:paraId="370DD082">
      <w:pPr>
        <w:pStyle w:val="4"/>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Style w:val="16"/>
          <w:rFonts w:hint="default" w:ascii="楷体" w:hAnsi="楷体" w:eastAsia="楷体" w:cs="Times New Roman"/>
          <w:b w:val="0"/>
          <w:bCs w:val="0"/>
          <w:spacing w:val="-4"/>
          <w:kern w:val="2"/>
          <w:sz w:val="32"/>
          <w:szCs w:val="32"/>
          <w:lang w:val="en-US" w:eastAsia="zh-CN" w:bidi="ar-SA"/>
        </w:rPr>
      </w:pPr>
      <w:r>
        <w:rPr>
          <w:rStyle w:val="16"/>
          <w:rFonts w:hint="default" w:ascii="楷体" w:hAnsi="楷体" w:eastAsia="楷体" w:cs="Times New Roman"/>
          <w:b w:val="0"/>
          <w:bCs w:val="0"/>
          <w:spacing w:val="-4"/>
          <w:kern w:val="2"/>
          <w:sz w:val="32"/>
          <w:szCs w:val="32"/>
          <w:lang w:val="en-US" w:eastAsia="zh-CN" w:bidi="ar-SA"/>
        </w:rPr>
        <w:t>6.宣传活动效果不佳问题</w:t>
      </w:r>
    </w:p>
    <w:p w14:paraId="780FB4CE">
      <w:pPr>
        <w:pStyle w:val="26"/>
        <w:keepNext w:val="0"/>
        <w:keepLines w:val="0"/>
        <w:pageBreakBefore w:val="0"/>
        <w:widowControl/>
        <w:kinsoku/>
        <w:wordWrap/>
        <w:overflowPunct/>
        <w:topLinePunct w:val="0"/>
        <w:autoSpaceDE/>
        <w:autoSpaceDN/>
        <w:bidi w:val="0"/>
        <w:adjustRightInd/>
        <w:snapToGrid/>
        <w:spacing w:before="0" w:after="0" w:line="560" w:lineRule="exact"/>
        <w:ind w:firstLine="624" w:firstLineChars="200"/>
        <w:textAlignment w:val="auto"/>
        <w:rPr>
          <w:rFonts w:hint="default" w:ascii="Times New Roman" w:hAnsi="Times New Roman" w:eastAsia="方正仿宋_GBK" w:cs="Times New Roman"/>
          <w:color w:val="auto"/>
          <w:sz w:val="32"/>
          <w:szCs w:val="32"/>
        </w:rPr>
      </w:pPr>
      <w:r>
        <w:rPr>
          <w:rStyle w:val="16"/>
          <w:rFonts w:hint="default" w:ascii="楷体" w:hAnsi="楷体" w:eastAsia="楷体" w:cs="Times New Roman"/>
          <w:b w:val="0"/>
          <w:bCs w:val="0"/>
          <w:spacing w:val="-4"/>
          <w:kern w:val="2"/>
          <w:sz w:val="32"/>
          <w:szCs w:val="32"/>
          <w:lang w:val="en-US" w:eastAsia="zh-CN" w:bidi="ar-SA"/>
        </w:rPr>
        <w:t>建议措施：推行“精准化活动策划”，前期通过大数据分析（如舆情热点、参与历史）锁定目标群体需求。采用“小切口、大主题”形式，例如结合“农民丰收节”开展“党报中的三农政策”竞赛，或组织“老党员讲报”社区沙龙。设立活动效果评估体系，从参与人数、互动质量、后续反馈等维度量化成效，及时优化方案。</w:t>
      </w:r>
    </w:p>
    <w:p w14:paraId="1980D7F7">
      <w:pPr>
        <w:pStyle w:val="2"/>
        <w:ind w:firstLine="643"/>
        <w:rPr>
          <w:color w:val="auto"/>
        </w:rPr>
      </w:pPr>
      <w:r>
        <w:rPr>
          <w:rStyle w:val="16"/>
          <w:rFonts w:hint="eastAsia" w:ascii="黑体" w:hAnsi="黑体" w:eastAsia="黑体"/>
          <w:b w:val="0"/>
          <w:spacing w:val="-4"/>
          <w:sz w:val="32"/>
          <w:szCs w:val="32"/>
          <w:lang w:val="en-US" w:eastAsia="zh-CN"/>
        </w:rPr>
        <w:t>七</w:t>
      </w:r>
      <w:r>
        <w:rPr>
          <w:rStyle w:val="16"/>
          <w:rFonts w:hint="eastAsia" w:ascii="黑体" w:hAnsi="黑体" w:eastAsia="黑体"/>
          <w:b w:val="0"/>
          <w:spacing w:val="-4"/>
          <w:sz w:val="32"/>
          <w:szCs w:val="32"/>
        </w:rPr>
        <w:t>、其他需要说明的问题</w:t>
      </w:r>
    </w:p>
    <w:p w14:paraId="7FF02DB5">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（一）本项目部分间接产生的效果无法准确在短期内衡量，因此很难认定项目产生的全部效果。通过指标来反映绩效，指标的科学性和全面性需要不断地完善和研究。</w:t>
      </w:r>
    </w:p>
    <w:p w14:paraId="59932FA1">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（二）评价结果作为安排政府预算、完善政策和改进管理的重要依据。原则上，对评价等级为优、良的，根据情况予以支持；对评价等级为中、差的，要完善政策、改进管理，根据情况核减预算。</w:t>
      </w:r>
    </w:p>
    <w:p w14:paraId="3D97F61C">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（三）评价结果分别编入政府决算和部门预算，报送本级人民代表大会常务委员会，并依法予以公开。</w:t>
      </w:r>
    </w:p>
    <w:p w14:paraId="09248084">
      <w:pPr>
        <w:spacing w:line="540" w:lineRule="exact"/>
        <w:ind w:firstLine="567" w:firstLineChars="0"/>
        <w:rPr>
          <w:rStyle w:val="16"/>
          <w:rFonts w:hint="eastAsia" w:ascii="楷体" w:hAnsi="楷体" w:eastAsia="楷体" w:cs="Times New Roman"/>
          <w:b w:val="0"/>
          <w:bCs w:val="0"/>
          <w:spacing w:val="-4"/>
          <w:sz w:val="32"/>
          <w:szCs w:val="32"/>
        </w:rPr>
      </w:pPr>
      <w:r>
        <w:rPr>
          <w:rStyle w:val="16"/>
          <w:rFonts w:hint="eastAsia" w:ascii="楷体" w:hAnsi="楷体" w:eastAsia="楷体" w:cs="Times New Roman"/>
          <w:b w:val="0"/>
          <w:bCs w:val="0"/>
          <w:spacing w:val="-4"/>
          <w:sz w:val="32"/>
          <w:szCs w:val="32"/>
        </w:rPr>
        <w:t>（四）我单位对上述项目支出绩效评价报告内反映内容的真实性、完整性负责，接受上级部门及社会公众监督。</w:t>
      </w:r>
    </w:p>
    <w:p w14:paraId="7F4A9ABD">
      <w:pPr>
        <w:spacing w:line="540" w:lineRule="exact"/>
        <w:ind w:firstLine="567" w:firstLineChars="0"/>
        <w:rPr>
          <w:rStyle w:val="16"/>
          <w:rFonts w:hint="eastAsia" w:ascii="楷体" w:hAnsi="楷体" w:eastAsia="楷体" w:cs="Times New Roman"/>
          <w:b w:val="0"/>
          <w:bCs w:val="0"/>
          <w:spacing w:val="-4"/>
          <w:sz w:val="32"/>
          <w:szCs w:val="32"/>
        </w:rPr>
      </w:pPr>
    </w:p>
    <w:p w14:paraId="3AB771D5">
      <w:pPr>
        <w:spacing w:line="540" w:lineRule="exact"/>
        <w:ind w:firstLine="567" w:firstLineChars="0"/>
        <w:rPr>
          <w:rFonts w:hint="eastAsia"/>
          <w:color w:val="auto"/>
        </w:rPr>
      </w:pPr>
      <w:r>
        <w:rPr>
          <w:rStyle w:val="16"/>
          <w:rFonts w:hint="eastAsia" w:ascii="楷体" w:hAnsi="楷体" w:eastAsia="楷体" w:cs="Times New Roman"/>
          <w:b w:val="0"/>
          <w:bCs w:val="0"/>
          <w:spacing w:val="-4"/>
          <w:sz w:val="32"/>
          <w:szCs w:val="32"/>
        </w:rPr>
        <w:t>附件</w:t>
      </w:r>
      <w:r>
        <w:rPr>
          <w:rStyle w:val="16"/>
          <w:rFonts w:hint="eastAsia" w:ascii="楷体" w:hAnsi="楷体" w:eastAsia="楷体" w:cs="Times New Roman"/>
          <w:b w:val="0"/>
          <w:bCs w:val="0"/>
          <w:spacing w:val="-4"/>
          <w:sz w:val="32"/>
          <w:szCs w:val="32"/>
          <w:lang w:val="en-US" w:eastAsia="zh-CN"/>
        </w:rPr>
        <w:t>1</w:t>
      </w:r>
      <w:r>
        <w:rPr>
          <w:rStyle w:val="16"/>
          <w:rFonts w:hint="eastAsia" w:ascii="楷体" w:hAnsi="楷体" w:eastAsia="楷体" w:cs="Times New Roman"/>
          <w:b w:val="0"/>
          <w:bCs w:val="0"/>
          <w:spacing w:val="-4"/>
          <w:sz w:val="32"/>
          <w:szCs w:val="32"/>
        </w:rPr>
        <w:t>：项目支出绩效评价体系</w:t>
      </w:r>
    </w:p>
    <w:sectPr>
      <w:headerReference r:id="rId7" w:type="first"/>
      <w:footerReference r:id="rId10" w:type="first"/>
      <w:headerReference r:id="rId5" w:type="default"/>
      <w:footerReference r:id="rId8" w:type="default"/>
      <w:headerReference r:id="rId6" w:type="even"/>
      <w:footerReference r:id="rId9" w:type="even"/>
      <w:pgSz w:w="11906" w:h="16838"/>
      <w:pgMar w:top="1928" w:right="1531" w:bottom="1701" w:left="1531" w:header="737" w:footer="851"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560"/>
      </w:pPr>
      <w:r>
        <w:separator/>
      </w:r>
    </w:p>
  </w:endnote>
  <w:endnote w:type="continuationSeparator" w:id="1">
    <w:p>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华文中宋">
    <w:panose1 w:val="02010600040101010101"/>
    <w:charset w:val="86"/>
    <w:family w:val="auto"/>
    <w:pitch w:val="default"/>
    <w:sig w:usb0="00000287" w:usb1="080F0000" w:usb2="00000000" w:usb3="00000000" w:csb0="0004009F" w:csb1="DFD70000"/>
  </w:font>
  <w:font w:name="方正仿宋_GBK">
    <w:altName w:val="微软雅黑"/>
    <w:panose1 w:val="03000509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2F5348">
    <w:pPr>
      <w:pStyle w:val="9"/>
      <w:ind w:firstLine="360"/>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6F2A19">
                          <w:pPr>
                            <w:pStyle w:val="9"/>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E6F2A19">
                    <w:pPr>
                      <w:pStyle w:val="9"/>
                      <w:ind w:firstLine="360"/>
                      <w:rPr>
                        <w:rFonts w:hint="eastAsia"/>
                      </w:rPr>
                    </w:pP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36DF6">
    <w:pPr>
      <w:pStyle w:val="9"/>
      <w:ind w:firstLine="360"/>
      <w:rPr>
        <w:rFonts w:hint="eastAsi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6D8596">
    <w:pPr>
      <w:pStyle w:val="9"/>
      <w:ind w:firstLine="360"/>
      <w:rPr>
        <w:rFonts w:hint="eastAsi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560"/>
      </w:pPr>
      <w:r>
        <w:separator/>
      </w:r>
    </w:p>
  </w:footnote>
  <w:footnote w:type="continuationSeparator" w:id="1">
    <w:p>
      <w:pPr>
        <w:spacing w:line="240" w:lineRule="auto"/>
        <w:ind w:firstLine="56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C8371D">
    <w:pPr>
      <w:pStyle w:val="10"/>
      <w:ind w:firstLine="360"/>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AB3AE6">
    <w:pPr>
      <w:pStyle w:val="10"/>
      <w:ind w:firstLine="360"/>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6FF6D1">
    <w:pPr>
      <w:pStyle w:val="10"/>
      <w:ind w:firstLine="360"/>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44B7D5"/>
    <w:multiLevelType w:val="singleLevel"/>
    <w:tmpl w:val="3244B7D5"/>
    <w:lvl w:ilvl="0" w:tentative="0">
      <w:start w:val="1"/>
      <w:numFmt w:val="decimal"/>
      <w:suff w:val="nothing"/>
      <w:lvlText w:val="（%1）"/>
      <w:lvlJc w:val="left"/>
    </w:lvl>
  </w:abstractNum>
  <w:abstractNum w:abstractNumId="1">
    <w:nsid w:val="3A7260C0"/>
    <w:multiLevelType w:val="multilevel"/>
    <w:tmpl w:val="3A7260C0"/>
    <w:lvl w:ilvl="0" w:tentative="0">
      <w:start w:val="1"/>
      <w:numFmt w:val="chineseCountingThousand"/>
      <w:pStyle w:val="19"/>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embedSystemFonts/>
  <w:bordersDoNotSurroundHeader w:val="1"/>
  <w:bordersDoNotSurroundFooter w:val="1"/>
  <w:documentProtection w:enforcement="0"/>
  <w:defaultTabStop w:val="42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ljOTM0MzU3ZGU4ZDZlOTc3OTEyZmUzNzJiNTI5YTMifQ=="/>
  </w:docVars>
  <w:rsids>
    <w:rsidRoot w:val="68291A1A"/>
    <w:rsid w:val="000B7895"/>
    <w:rsid w:val="000C53A7"/>
    <w:rsid w:val="000F4558"/>
    <w:rsid w:val="001B5A24"/>
    <w:rsid w:val="001C088B"/>
    <w:rsid w:val="0022799E"/>
    <w:rsid w:val="00272D23"/>
    <w:rsid w:val="002A2558"/>
    <w:rsid w:val="002D7541"/>
    <w:rsid w:val="00521976"/>
    <w:rsid w:val="005370F2"/>
    <w:rsid w:val="00556A79"/>
    <w:rsid w:val="00621A6A"/>
    <w:rsid w:val="0075298E"/>
    <w:rsid w:val="00763727"/>
    <w:rsid w:val="007E49E1"/>
    <w:rsid w:val="00885A15"/>
    <w:rsid w:val="008D788F"/>
    <w:rsid w:val="00954013"/>
    <w:rsid w:val="00962739"/>
    <w:rsid w:val="00A43D0F"/>
    <w:rsid w:val="00A4413D"/>
    <w:rsid w:val="00A83364"/>
    <w:rsid w:val="00AB5400"/>
    <w:rsid w:val="00C12290"/>
    <w:rsid w:val="00C36A43"/>
    <w:rsid w:val="00C74E01"/>
    <w:rsid w:val="00D123CA"/>
    <w:rsid w:val="00DA0BA5"/>
    <w:rsid w:val="00DB7A3A"/>
    <w:rsid w:val="00E01AC9"/>
    <w:rsid w:val="00E710AE"/>
    <w:rsid w:val="00EC4605"/>
    <w:rsid w:val="00F77FAE"/>
    <w:rsid w:val="00FB5B81"/>
    <w:rsid w:val="00FE2E85"/>
    <w:rsid w:val="01145B7B"/>
    <w:rsid w:val="011C15F3"/>
    <w:rsid w:val="01210E75"/>
    <w:rsid w:val="03655CA8"/>
    <w:rsid w:val="04FF572D"/>
    <w:rsid w:val="052B6055"/>
    <w:rsid w:val="057B7A05"/>
    <w:rsid w:val="06756D61"/>
    <w:rsid w:val="07416A2C"/>
    <w:rsid w:val="081B7838"/>
    <w:rsid w:val="099075D3"/>
    <w:rsid w:val="099D6902"/>
    <w:rsid w:val="09DB3C99"/>
    <w:rsid w:val="0A401CF1"/>
    <w:rsid w:val="0CBE7D01"/>
    <w:rsid w:val="0CEE5B51"/>
    <w:rsid w:val="0D537DC9"/>
    <w:rsid w:val="0D80365E"/>
    <w:rsid w:val="0E760F4E"/>
    <w:rsid w:val="0EAF6971"/>
    <w:rsid w:val="0EE4504F"/>
    <w:rsid w:val="0FDA3F59"/>
    <w:rsid w:val="103D30D7"/>
    <w:rsid w:val="10D10E21"/>
    <w:rsid w:val="128D4CBE"/>
    <w:rsid w:val="12F1313F"/>
    <w:rsid w:val="131037AA"/>
    <w:rsid w:val="13174AE5"/>
    <w:rsid w:val="13C022ED"/>
    <w:rsid w:val="152F6B69"/>
    <w:rsid w:val="17AF7810"/>
    <w:rsid w:val="18FF04F5"/>
    <w:rsid w:val="1A041D47"/>
    <w:rsid w:val="1A9812FC"/>
    <w:rsid w:val="1C5A616E"/>
    <w:rsid w:val="1D044315"/>
    <w:rsid w:val="1EE52BF7"/>
    <w:rsid w:val="20A32962"/>
    <w:rsid w:val="20A55464"/>
    <w:rsid w:val="245E1E24"/>
    <w:rsid w:val="25145328"/>
    <w:rsid w:val="255A40F3"/>
    <w:rsid w:val="25852050"/>
    <w:rsid w:val="25FE400E"/>
    <w:rsid w:val="26405F9C"/>
    <w:rsid w:val="28377363"/>
    <w:rsid w:val="2A053F0F"/>
    <w:rsid w:val="2A5C3075"/>
    <w:rsid w:val="2B1F5779"/>
    <w:rsid w:val="2B277B63"/>
    <w:rsid w:val="2BAB43EB"/>
    <w:rsid w:val="2C103347"/>
    <w:rsid w:val="2C205A98"/>
    <w:rsid w:val="2C3551D2"/>
    <w:rsid w:val="2CF326C3"/>
    <w:rsid w:val="2D2F3108"/>
    <w:rsid w:val="2E483E7E"/>
    <w:rsid w:val="2F45680A"/>
    <w:rsid w:val="2F8022EC"/>
    <w:rsid w:val="2FCE2953"/>
    <w:rsid w:val="31E600FA"/>
    <w:rsid w:val="32A024A8"/>
    <w:rsid w:val="332F7DDD"/>
    <w:rsid w:val="33944516"/>
    <w:rsid w:val="33B65F28"/>
    <w:rsid w:val="346C11F8"/>
    <w:rsid w:val="36185B49"/>
    <w:rsid w:val="361A74F3"/>
    <w:rsid w:val="36421CF5"/>
    <w:rsid w:val="3698689B"/>
    <w:rsid w:val="36FA437E"/>
    <w:rsid w:val="372035BF"/>
    <w:rsid w:val="373A29CC"/>
    <w:rsid w:val="377834F5"/>
    <w:rsid w:val="3834332F"/>
    <w:rsid w:val="387B14EE"/>
    <w:rsid w:val="38CC7587"/>
    <w:rsid w:val="38D17360"/>
    <w:rsid w:val="39026492"/>
    <w:rsid w:val="3AEF393C"/>
    <w:rsid w:val="3CBA77CC"/>
    <w:rsid w:val="3D170C47"/>
    <w:rsid w:val="3E28748D"/>
    <w:rsid w:val="3E482AA0"/>
    <w:rsid w:val="3F0C2153"/>
    <w:rsid w:val="3F892FDC"/>
    <w:rsid w:val="413E2617"/>
    <w:rsid w:val="4255600D"/>
    <w:rsid w:val="43A63197"/>
    <w:rsid w:val="444956D6"/>
    <w:rsid w:val="44B00772"/>
    <w:rsid w:val="44FF337F"/>
    <w:rsid w:val="469F0A9E"/>
    <w:rsid w:val="46D44283"/>
    <w:rsid w:val="474F4272"/>
    <w:rsid w:val="48B86E33"/>
    <w:rsid w:val="48C23F09"/>
    <w:rsid w:val="48EB14DD"/>
    <w:rsid w:val="4A94466D"/>
    <w:rsid w:val="4A996944"/>
    <w:rsid w:val="4B257098"/>
    <w:rsid w:val="4BDE380F"/>
    <w:rsid w:val="4C7958ED"/>
    <w:rsid w:val="4D657A3F"/>
    <w:rsid w:val="4E4A6D47"/>
    <w:rsid w:val="4E515A41"/>
    <w:rsid w:val="4E7B76FB"/>
    <w:rsid w:val="4F5665CD"/>
    <w:rsid w:val="4F733A2D"/>
    <w:rsid w:val="4FB67747"/>
    <w:rsid w:val="4FD56C07"/>
    <w:rsid w:val="502B33A2"/>
    <w:rsid w:val="511FF2A1"/>
    <w:rsid w:val="53FA3D1F"/>
    <w:rsid w:val="545033D7"/>
    <w:rsid w:val="55A5494A"/>
    <w:rsid w:val="55F7743D"/>
    <w:rsid w:val="56803BC3"/>
    <w:rsid w:val="56FD7960"/>
    <w:rsid w:val="57E26A3C"/>
    <w:rsid w:val="584C14C9"/>
    <w:rsid w:val="5A2C4B33"/>
    <w:rsid w:val="5AB67D0C"/>
    <w:rsid w:val="5AF86FAC"/>
    <w:rsid w:val="5C1318BA"/>
    <w:rsid w:val="5C971A34"/>
    <w:rsid w:val="5E47584B"/>
    <w:rsid w:val="5F330C6D"/>
    <w:rsid w:val="5F71037C"/>
    <w:rsid w:val="606B6954"/>
    <w:rsid w:val="60770662"/>
    <w:rsid w:val="60A25BAB"/>
    <w:rsid w:val="618129F7"/>
    <w:rsid w:val="62164F2C"/>
    <w:rsid w:val="62EE2619"/>
    <w:rsid w:val="63B877EE"/>
    <w:rsid w:val="64B82F21"/>
    <w:rsid w:val="653A5570"/>
    <w:rsid w:val="671F55B7"/>
    <w:rsid w:val="6779E203"/>
    <w:rsid w:val="68291A1A"/>
    <w:rsid w:val="691B1594"/>
    <w:rsid w:val="697A0DDA"/>
    <w:rsid w:val="69957CC8"/>
    <w:rsid w:val="6AB44342"/>
    <w:rsid w:val="6B4E4142"/>
    <w:rsid w:val="6C1B20C5"/>
    <w:rsid w:val="6C5E16AA"/>
    <w:rsid w:val="6C8C390A"/>
    <w:rsid w:val="6E1D3ED3"/>
    <w:rsid w:val="6ECD4BA8"/>
    <w:rsid w:val="6F0D6C22"/>
    <w:rsid w:val="6FD57E76"/>
    <w:rsid w:val="6FE32EFA"/>
    <w:rsid w:val="71621658"/>
    <w:rsid w:val="74370315"/>
    <w:rsid w:val="74C17348"/>
    <w:rsid w:val="76717C3A"/>
    <w:rsid w:val="76D2301A"/>
    <w:rsid w:val="774329A8"/>
    <w:rsid w:val="77861774"/>
    <w:rsid w:val="78025D12"/>
    <w:rsid w:val="78670B6C"/>
    <w:rsid w:val="78FD327E"/>
    <w:rsid w:val="79300B45"/>
    <w:rsid w:val="79A17504"/>
    <w:rsid w:val="79BF50D2"/>
    <w:rsid w:val="79D941CC"/>
    <w:rsid w:val="79FF3433"/>
    <w:rsid w:val="7B4E7AF0"/>
    <w:rsid w:val="7B686778"/>
    <w:rsid w:val="7B973F20"/>
    <w:rsid w:val="7BBD6A93"/>
    <w:rsid w:val="7C9E08D4"/>
    <w:rsid w:val="7E617414"/>
    <w:rsid w:val="7EE30820"/>
    <w:rsid w:val="7F477752"/>
    <w:rsid w:val="7F840255"/>
    <w:rsid w:val="7FF151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14:defaultImageDpi w14:val="96"/>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nhideWhenUsed="0" w:uiPriority="9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60" w:lineRule="exact"/>
      <w:ind w:firstLine="723" w:firstLineChars="200"/>
      <w:jc w:val="both"/>
    </w:pPr>
    <w:rPr>
      <w:rFonts w:ascii="仿宋_GB2312" w:hAnsi="仿宋_GB2312" w:eastAsia="仿宋_GB2312" w:cs="Times New Roman"/>
      <w:kern w:val="2"/>
      <w:sz w:val="28"/>
      <w:szCs w:val="24"/>
      <w:lang w:val="en-US" w:eastAsia="zh-CN" w:bidi="ar-SA"/>
    </w:rPr>
  </w:style>
  <w:style w:type="paragraph" w:styleId="2">
    <w:name w:val="heading 1"/>
    <w:basedOn w:val="1"/>
    <w:next w:val="1"/>
    <w:qFormat/>
    <w:uiPriority w:val="0"/>
    <w:pPr>
      <w:keepNext/>
      <w:keepLines/>
      <w:ind w:firstLine="964"/>
      <w:outlineLvl w:val="0"/>
    </w:pPr>
    <w:rPr>
      <w:rFonts w:ascii="Times New Roman" w:hAnsi="Times New Roman" w:eastAsia="黑体"/>
      <w:b/>
      <w:kern w:val="44"/>
      <w:sz w:val="32"/>
      <w:szCs w:val="22"/>
    </w:rPr>
  </w:style>
  <w:style w:type="paragraph" w:styleId="3">
    <w:name w:val="heading 2"/>
    <w:basedOn w:val="1"/>
    <w:next w:val="1"/>
    <w:unhideWhenUsed/>
    <w:qFormat/>
    <w:uiPriority w:val="0"/>
    <w:pPr>
      <w:keepNext/>
      <w:keepLines/>
      <w:ind w:firstLine="964"/>
      <w:outlineLvl w:val="1"/>
    </w:pPr>
    <w:rPr>
      <w:rFonts w:ascii="Arial" w:hAnsi="Arial" w:eastAsia="楷体_GB2312"/>
      <w:b/>
      <w:sz w:val="32"/>
    </w:rPr>
  </w:style>
  <w:style w:type="paragraph" w:styleId="4">
    <w:name w:val="heading 3"/>
    <w:basedOn w:val="1"/>
    <w:next w:val="1"/>
    <w:qFormat/>
    <w:uiPriority w:val="99"/>
    <w:pPr>
      <w:keepNext/>
      <w:keepLines/>
      <w:ind w:firstLine="883"/>
      <w:outlineLvl w:val="2"/>
    </w:pPr>
    <w:rPr>
      <w:b/>
      <w:bCs/>
      <w:kern w:val="0"/>
      <w:szCs w:val="32"/>
    </w:rPr>
  </w:style>
  <w:style w:type="character" w:default="1" w:styleId="15">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link w:val="24"/>
    <w:qFormat/>
    <w:uiPriority w:val="0"/>
    <w:pPr>
      <w:jc w:val="left"/>
    </w:pPr>
  </w:style>
  <w:style w:type="paragraph" w:styleId="6">
    <w:name w:val="Body Text"/>
    <w:basedOn w:val="1"/>
    <w:next w:val="7"/>
    <w:qFormat/>
    <w:uiPriority w:val="0"/>
  </w:style>
  <w:style w:type="paragraph" w:styleId="7">
    <w:name w:val="Body Text 2"/>
    <w:basedOn w:val="1"/>
    <w:qFormat/>
    <w:uiPriority w:val="0"/>
    <w:pPr>
      <w:spacing w:after="120" w:line="480" w:lineRule="auto"/>
    </w:pPr>
    <w:rPr>
      <w:rFonts w:ascii="Times New Roman" w:hAnsi="Times New Roman" w:eastAsia="宋体"/>
    </w:rPr>
  </w:style>
  <w:style w:type="paragraph" w:styleId="8">
    <w:name w:val="Balloon Text"/>
    <w:basedOn w:val="1"/>
    <w:link w:val="23"/>
    <w:qFormat/>
    <w:uiPriority w:val="0"/>
    <w:pPr>
      <w:spacing w:line="240" w:lineRule="auto"/>
    </w:pPr>
    <w:rPr>
      <w:sz w:val="18"/>
      <w:szCs w:val="18"/>
    </w:rPr>
  </w:style>
  <w:style w:type="paragraph" w:styleId="9">
    <w:name w:val="footer"/>
    <w:basedOn w:val="1"/>
    <w:qFormat/>
    <w:uiPriority w:val="0"/>
    <w:pPr>
      <w:tabs>
        <w:tab w:val="center" w:pos="4153"/>
        <w:tab w:val="right" w:pos="8306"/>
      </w:tabs>
      <w:snapToGrid w:val="0"/>
      <w:jc w:val="left"/>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pPr>
    <w:rPr>
      <w:sz w:val="18"/>
    </w:rPr>
  </w:style>
  <w:style w:type="paragraph" w:styleId="11">
    <w:name w:val="footnote text"/>
    <w:basedOn w:val="1"/>
    <w:unhideWhenUsed/>
    <w:qFormat/>
    <w:uiPriority w:val="0"/>
    <w:pPr>
      <w:snapToGrid w:val="0"/>
    </w:pPr>
    <w:rPr>
      <w:sz w:val="18"/>
      <w:szCs w:val="18"/>
    </w:rPr>
  </w:style>
  <w:style w:type="paragraph" w:styleId="12">
    <w:name w:val="annotation subject"/>
    <w:basedOn w:val="5"/>
    <w:next w:val="5"/>
    <w:link w:val="25"/>
    <w:qFormat/>
    <w:uiPriority w:val="0"/>
    <w:rPr>
      <w:b/>
      <w:bCs/>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6">
    <w:name w:val="Strong"/>
    <w:basedOn w:val="15"/>
    <w:qFormat/>
    <w:uiPriority w:val="0"/>
    <w:rPr>
      <w:b/>
      <w:bCs/>
    </w:rPr>
  </w:style>
  <w:style w:type="character" w:styleId="17">
    <w:name w:val="annotation reference"/>
    <w:basedOn w:val="15"/>
    <w:qFormat/>
    <w:uiPriority w:val="0"/>
    <w:rPr>
      <w:sz w:val="21"/>
      <w:szCs w:val="21"/>
    </w:rPr>
  </w:style>
  <w:style w:type="paragraph" w:customStyle="1" w:styleId="18">
    <w:name w:val="正文 A"/>
    <w:qFormat/>
    <w:uiPriority w:val="99"/>
    <w:pPr>
      <w:widowControl w:val="0"/>
      <w:spacing w:before="50" w:after="50" w:line="360" w:lineRule="auto"/>
    </w:pPr>
    <w:rPr>
      <w:rFonts w:ascii="Times New Roman" w:hAnsi="Arial Unicode MS" w:eastAsia="Arial Unicode MS" w:cs="Arial Unicode MS"/>
      <w:color w:val="000000"/>
      <w:kern w:val="2"/>
      <w:sz w:val="28"/>
      <w:szCs w:val="28"/>
      <w:u w:color="000000"/>
      <w:lang w:val="en-US" w:eastAsia="zh-CN" w:bidi="ar-SA"/>
    </w:rPr>
  </w:style>
  <w:style w:type="paragraph" w:customStyle="1" w:styleId="19">
    <w:name w:val="标题2"/>
    <w:basedOn w:val="3"/>
    <w:qFormat/>
    <w:uiPriority w:val="0"/>
    <w:pPr>
      <w:numPr>
        <w:ilvl w:val="0"/>
        <w:numId w:val="1"/>
      </w:numPr>
      <w:spacing w:before="120" w:after="120" w:line="500" w:lineRule="exact"/>
    </w:pPr>
    <w:rPr>
      <w:rFonts w:ascii="仿宋_GB2312" w:eastAsia="仿宋_GB2312"/>
    </w:rPr>
  </w:style>
  <w:style w:type="paragraph" w:customStyle="1" w:styleId="20">
    <w:name w:val="Body text|1"/>
    <w:basedOn w:val="1"/>
    <w:qFormat/>
    <w:uiPriority w:val="0"/>
    <w:pPr>
      <w:spacing w:line="420" w:lineRule="auto"/>
      <w:ind w:firstLine="400"/>
    </w:pPr>
    <w:rPr>
      <w:rFonts w:ascii="宋体" w:hAnsi="宋体" w:cs="宋体"/>
      <w:sz w:val="30"/>
      <w:szCs w:val="30"/>
      <w:lang w:val="zh-TW" w:eastAsia="zh-TW" w:bidi="zh-TW"/>
    </w:rPr>
  </w:style>
  <w:style w:type="paragraph" w:customStyle="1" w:styleId="21">
    <w:name w:val="闻政正文"/>
    <w:basedOn w:val="1"/>
    <w:qFormat/>
    <w:uiPriority w:val="99"/>
    <w:pPr>
      <w:spacing w:line="500" w:lineRule="exact"/>
      <w:ind w:firstLine="883"/>
    </w:pPr>
    <w:rPr>
      <w:rFonts w:ascii="Times New Roman" w:hAnsi="Times New Roman"/>
      <w:kern w:val="0"/>
      <w:szCs w:val="28"/>
    </w:rPr>
  </w:style>
  <w:style w:type="paragraph" w:customStyle="1" w:styleId="22">
    <w:name w:val="闻政-正文段落文字"/>
    <w:basedOn w:val="1"/>
    <w:qFormat/>
    <w:uiPriority w:val="3"/>
    <w:pPr>
      <w:spacing w:line="500" w:lineRule="exact"/>
      <w:ind w:firstLine="200"/>
    </w:pPr>
    <w:rPr>
      <w:rFonts w:ascii="Times New Roman" w:hAnsi="Times New Roman"/>
      <w:kern w:val="0"/>
      <w:szCs w:val="28"/>
    </w:rPr>
  </w:style>
  <w:style w:type="character" w:customStyle="1" w:styleId="23">
    <w:name w:val="批注框文本 字符"/>
    <w:basedOn w:val="15"/>
    <w:link w:val="8"/>
    <w:qFormat/>
    <w:uiPriority w:val="0"/>
    <w:rPr>
      <w:rFonts w:ascii="仿宋_GB2312" w:hAnsi="仿宋_GB2312" w:eastAsia="仿宋_GB2312"/>
      <w:kern w:val="2"/>
      <w:sz w:val="18"/>
      <w:szCs w:val="18"/>
    </w:rPr>
  </w:style>
  <w:style w:type="character" w:customStyle="1" w:styleId="24">
    <w:name w:val="批注文字 字符"/>
    <w:basedOn w:val="15"/>
    <w:link w:val="5"/>
    <w:qFormat/>
    <w:uiPriority w:val="0"/>
    <w:rPr>
      <w:rFonts w:ascii="仿宋_GB2312" w:hAnsi="仿宋_GB2312" w:eastAsia="仿宋_GB2312"/>
      <w:kern w:val="2"/>
      <w:sz w:val="28"/>
      <w:szCs w:val="24"/>
    </w:rPr>
  </w:style>
  <w:style w:type="character" w:customStyle="1" w:styleId="25">
    <w:name w:val="批注主题 字符"/>
    <w:basedOn w:val="24"/>
    <w:link w:val="12"/>
    <w:qFormat/>
    <w:uiPriority w:val="0"/>
    <w:rPr>
      <w:rFonts w:ascii="仿宋_GB2312" w:hAnsi="仿宋_GB2312" w:eastAsia="仿宋_GB2312"/>
      <w:b/>
      <w:bCs/>
      <w:kern w:val="2"/>
      <w:sz w:val="28"/>
      <w:szCs w:val="24"/>
    </w:rPr>
  </w:style>
  <w:style w:type="paragraph" w:customStyle="1" w:styleId="26">
    <w:name w:val="_Style 13"/>
    <w:qFormat/>
    <w:uiPriority w:val="0"/>
    <w:pPr>
      <w:spacing w:before="120" w:after="120" w:line="288" w:lineRule="auto"/>
      <w:ind w:left="0"/>
      <w:jc w:val="left"/>
    </w:pPr>
    <w:rPr>
      <w:rFonts w:ascii="Arial" w:hAnsi="Arial" w:eastAsia="等线" w:cs="Arial"/>
      <w:sz w:val="22"/>
      <w:szCs w:val="2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Apothecary">
      <a:dk1>
        <a:sysClr val="windowText" lastClr="000000"/>
      </a:dk1>
      <a:lt1>
        <a:sysClr val="window" lastClr="FFFFFF"/>
      </a:lt1>
      <a:dk2>
        <a:srgbClr val="564B3C"/>
      </a:dk2>
      <a:lt2>
        <a:srgbClr val="ECEDD1"/>
      </a:lt2>
      <a:accent1>
        <a:srgbClr val="93A299"/>
      </a:accent1>
      <a:accent2>
        <a:srgbClr val="CF543F"/>
      </a:accent2>
      <a:accent3>
        <a:srgbClr val="B5AE53"/>
      </a:accent3>
      <a:accent4>
        <a:srgbClr val="848058"/>
      </a:accent4>
      <a:accent5>
        <a:srgbClr val="E8B54D"/>
      </a:accent5>
      <a:accent6>
        <a:srgbClr val="786C71"/>
      </a:accent6>
      <a:hlink>
        <a:srgbClr val="CCCC00"/>
      </a:hlink>
      <a:folHlink>
        <a:srgbClr val="B2B2B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DoubleOX</Company>
  <Pages>27</Pages>
  <Words>12520</Words>
  <Characters>13183</Characters>
  <Lines>67</Lines>
  <Paragraphs>18</Paragraphs>
  <TotalTime>6</TotalTime>
  <ScaleCrop>false</ScaleCrop>
  <LinksUpToDate>false</LinksUpToDate>
  <CharactersWithSpaces>13200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2020-04-02T03:28:00Z</dcterms:created>
  <dc:creator>驰远天合-柴万顺-18690160103</dc:creator>
  <cp:lastModifiedBy>青青</cp:lastModifiedBy>
  <cp:lastPrinted>2025-04-17T08:05:00Z</cp:lastPrinted>
  <dcterms:modified xsi:type="dcterms:W3CDTF">2025-09-22T08:44:14Z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4A54F7F5AC894CB2B261903DB0D7D49D_13</vt:lpwstr>
  </property>
  <property fmtid="{D5CDD505-2E9C-101B-9397-08002B2CF9AE}" pid="4" name="KSOTemplateDocerSaveRecord">
    <vt:lpwstr>eyJoZGlkIjoiMGQwNTUwY2Y3NzNhN2YyMWYyN2ZiODRmYTBmNDUyN2UiLCJ1c2VySWQiOiI1NDgxMDgyMTUifQ==</vt:lpwstr>
  </property>
</Properties>
</file>