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25B1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E56E04F">
      <w:pPr>
        <w:spacing w:line="540" w:lineRule="exact"/>
        <w:jc w:val="center"/>
        <w:rPr>
          <w:rFonts w:ascii="华文中宋" w:hAnsi="华文中宋" w:eastAsia="华文中宋" w:cs="宋体"/>
          <w:b/>
          <w:kern w:val="0"/>
          <w:sz w:val="52"/>
          <w:szCs w:val="52"/>
        </w:rPr>
      </w:pPr>
    </w:p>
    <w:p w14:paraId="6EB8761C">
      <w:pPr>
        <w:spacing w:line="540" w:lineRule="exact"/>
        <w:jc w:val="center"/>
        <w:rPr>
          <w:rFonts w:ascii="华文中宋" w:hAnsi="华文中宋" w:eastAsia="华文中宋" w:cs="宋体"/>
          <w:b/>
          <w:kern w:val="0"/>
          <w:sz w:val="52"/>
          <w:szCs w:val="52"/>
        </w:rPr>
      </w:pPr>
    </w:p>
    <w:p w14:paraId="3D8BAFCC">
      <w:pPr>
        <w:spacing w:line="540" w:lineRule="exact"/>
        <w:jc w:val="center"/>
        <w:rPr>
          <w:rFonts w:ascii="华文中宋" w:hAnsi="华文中宋" w:eastAsia="华文中宋" w:cs="宋体"/>
          <w:b/>
          <w:kern w:val="0"/>
          <w:sz w:val="52"/>
          <w:szCs w:val="52"/>
        </w:rPr>
      </w:pPr>
    </w:p>
    <w:p w14:paraId="71872407">
      <w:pPr>
        <w:spacing w:line="540" w:lineRule="exact"/>
        <w:jc w:val="center"/>
        <w:rPr>
          <w:rFonts w:ascii="华文中宋" w:hAnsi="华文中宋" w:eastAsia="华文中宋" w:cs="宋体"/>
          <w:b/>
          <w:kern w:val="0"/>
          <w:sz w:val="52"/>
          <w:szCs w:val="52"/>
        </w:rPr>
      </w:pPr>
    </w:p>
    <w:p w14:paraId="478703DE">
      <w:pPr>
        <w:spacing w:line="540" w:lineRule="exact"/>
        <w:jc w:val="center"/>
        <w:rPr>
          <w:rFonts w:ascii="华文中宋" w:hAnsi="华文中宋" w:eastAsia="华文中宋" w:cs="宋体"/>
          <w:b/>
          <w:kern w:val="0"/>
          <w:sz w:val="52"/>
          <w:szCs w:val="52"/>
        </w:rPr>
      </w:pPr>
    </w:p>
    <w:p w14:paraId="755F6E53">
      <w:pPr>
        <w:spacing w:line="540" w:lineRule="exact"/>
        <w:jc w:val="center"/>
        <w:rPr>
          <w:rFonts w:ascii="华文中宋" w:hAnsi="华文中宋" w:eastAsia="华文中宋" w:cs="宋体"/>
          <w:b/>
          <w:kern w:val="0"/>
          <w:sz w:val="52"/>
          <w:szCs w:val="52"/>
        </w:rPr>
      </w:pPr>
    </w:p>
    <w:p w14:paraId="295D788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A6D72C8">
      <w:pPr>
        <w:spacing w:line="540" w:lineRule="exact"/>
        <w:jc w:val="center"/>
        <w:rPr>
          <w:rFonts w:ascii="华文中宋" w:hAnsi="华文中宋" w:eastAsia="华文中宋" w:cs="宋体"/>
          <w:b/>
          <w:kern w:val="0"/>
          <w:sz w:val="52"/>
          <w:szCs w:val="52"/>
        </w:rPr>
      </w:pPr>
    </w:p>
    <w:p w14:paraId="48C4FE9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74CCF9C">
      <w:pPr>
        <w:spacing w:line="540" w:lineRule="exact"/>
        <w:jc w:val="center"/>
        <w:rPr>
          <w:rFonts w:hAnsi="宋体" w:eastAsia="仿宋_GB2312" w:cs="宋体"/>
          <w:kern w:val="0"/>
          <w:sz w:val="30"/>
          <w:szCs w:val="30"/>
        </w:rPr>
      </w:pPr>
    </w:p>
    <w:p w14:paraId="18140682">
      <w:pPr>
        <w:spacing w:line="540" w:lineRule="exact"/>
        <w:jc w:val="center"/>
        <w:rPr>
          <w:rFonts w:hAnsi="宋体" w:eastAsia="仿宋_GB2312" w:cs="宋体"/>
          <w:kern w:val="0"/>
          <w:sz w:val="30"/>
          <w:szCs w:val="30"/>
        </w:rPr>
      </w:pPr>
    </w:p>
    <w:p w14:paraId="245E1616">
      <w:pPr>
        <w:spacing w:line="540" w:lineRule="exact"/>
        <w:jc w:val="center"/>
        <w:rPr>
          <w:rFonts w:hAnsi="宋体" w:eastAsia="仿宋_GB2312" w:cs="宋体"/>
          <w:kern w:val="0"/>
          <w:sz w:val="30"/>
          <w:szCs w:val="30"/>
        </w:rPr>
      </w:pPr>
    </w:p>
    <w:p w14:paraId="1B62D0AD">
      <w:pPr>
        <w:spacing w:line="540" w:lineRule="exact"/>
        <w:jc w:val="center"/>
        <w:rPr>
          <w:rFonts w:hAnsi="宋体" w:eastAsia="仿宋_GB2312" w:cs="宋体"/>
          <w:kern w:val="0"/>
          <w:sz w:val="30"/>
          <w:szCs w:val="30"/>
        </w:rPr>
      </w:pPr>
    </w:p>
    <w:p w14:paraId="4D02110D">
      <w:pPr>
        <w:spacing w:line="540" w:lineRule="exact"/>
        <w:jc w:val="center"/>
        <w:rPr>
          <w:rFonts w:hAnsi="宋体" w:eastAsia="仿宋_GB2312" w:cs="宋体"/>
          <w:kern w:val="0"/>
          <w:sz w:val="30"/>
          <w:szCs w:val="30"/>
        </w:rPr>
      </w:pPr>
    </w:p>
    <w:p w14:paraId="69C55F20">
      <w:pPr>
        <w:spacing w:line="540" w:lineRule="exact"/>
        <w:jc w:val="center"/>
        <w:rPr>
          <w:rFonts w:hAnsi="宋体" w:eastAsia="仿宋_GB2312" w:cs="宋体"/>
          <w:kern w:val="0"/>
          <w:sz w:val="30"/>
          <w:szCs w:val="30"/>
        </w:rPr>
      </w:pPr>
    </w:p>
    <w:p w14:paraId="6B1E49F0">
      <w:pPr>
        <w:spacing w:line="540" w:lineRule="exact"/>
        <w:rPr>
          <w:rFonts w:hAnsi="宋体" w:eastAsia="仿宋_GB2312" w:cs="宋体"/>
          <w:kern w:val="0"/>
          <w:sz w:val="30"/>
          <w:szCs w:val="30"/>
        </w:rPr>
      </w:pPr>
    </w:p>
    <w:p w14:paraId="3809DA9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FB0B4B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2023年6月至2024年9月北苑小区人才公寓租金</w:t>
      </w:r>
    </w:p>
    <w:p w14:paraId="16463A1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中共呼图壁县委员会组织部</w:t>
      </w:r>
    </w:p>
    <w:p w14:paraId="3A55B0D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中共呼图壁县委员会组织部</w:t>
      </w:r>
    </w:p>
    <w:p w14:paraId="02F5B0A8">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马季茹</w:t>
      </w:r>
    </w:p>
    <w:p w14:paraId="4D93773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2025年06月16日</w:t>
      </w:r>
    </w:p>
    <w:p w14:paraId="66E73117">
      <w:pPr>
        <w:spacing w:line="700" w:lineRule="exact"/>
        <w:ind w:firstLine="708" w:firstLineChars="236"/>
        <w:jc w:val="left"/>
        <w:rPr>
          <w:rFonts w:hAnsi="宋体" w:eastAsia="仿宋_GB2312" w:cs="宋体"/>
          <w:kern w:val="0"/>
          <w:sz w:val="30"/>
          <w:szCs w:val="30"/>
        </w:rPr>
      </w:pPr>
    </w:p>
    <w:p w14:paraId="77889428">
      <w:pPr>
        <w:spacing w:line="540" w:lineRule="exact"/>
        <w:rPr>
          <w:rStyle w:val="18"/>
          <w:rFonts w:ascii="黑体" w:hAnsi="黑体" w:eastAsia="黑体"/>
          <w:b w:val="0"/>
          <w:spacing w:val="-4"/>
          <w:sz w:val="32"/>
          <w:szCs w:val="32"/>
        </w:rPr>
      </w:pPr>
    </w:p>
    <w:p w14:paraId="1F94472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192F32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1C3B9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知识经济时代，人才是城市和地区发展的核心竞争力。提供免费住房等优惠政策，有助于在激烈的人才竞争中脱颖而出，吸引更多优秀研究生前来工作、学习和生活。根据《关于做好自治州事业单位引进急需紧缺专业人才暨“千名硕士进昌吉”引才活动相关工作的通知》《关于实施县市“人才公寓”建设项目的通知》要求，经县委研究同意，2019年在北苑小区17号楼公租房建设人才公寓72套（每套面积45.7平方米），为引进人才免费提供住宿，租金通过财政拨款由组织部支付给住建局。本项目根据《呼图壁县人民政府关于呼图壁县公共租赁住房租金标准的批复》（呼县政函〔2014〕5号）要求，40平方米以上公共租赁住房租金标准为300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（1）项目名称：2023年6月至2024年9月北苑小区人才公寓租金项目（以下简称“该项目”或“项目”）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（2）项目主要内容：该项目根据《呼图壁县人民政府关于呼图壁县公共租赁住房租金标准的批复》（呼县政函〔2014〕5号）要求，40平方米以上公共租赁住房租金标准为300元/月。 本项目总投资</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万元，主要用于支人才公租房租金，2024年申报项目预算</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实施主体：中共呼图壁县委员会组织部。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2019年在北苑小区17号楼公租房建设人才公寓72套（每套面积45.7平方米），为引进人才免费提供住宿，租金通过财政拨款由组织部支付给住建局。本项目根据《呼图壁县人民政府关于呼图壁县公共租赁住房租金标准的批复》（呼县政函〔2014〕5号）要求，40平方米以上公共租赁住房租金标准为300元/月。截止2024年12月31日该项目已完成72套人才公寓自2023年6月-2024年9月租金的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员会组织部（直属机关工作委员会、老干部局、县公务员局）负责贯彻落实党中央关于组织体系、领导班子建设，领导干部队伍、公务员队伍、人才队伍建设和离退休干部工作的方针政策、决策部署和自治区、自治州、县党委的工作要求，把坚持和加强党对组织体系、领导班子建设，领导干部队伍，公务员队伍、人才队伍建设和离退休干部工作的集中统一领导落实到履行职责过程中。主要职责是：（一）负责党的组织制度建设；（二）负责基支组织和党员队伍建设；（三）负责领导班子和领导干部队伍特别是优秀年轻干部队伍建设；（四）负责公务员队伍建设；（五）负责人才工作；（六）负责干部队伍建设宏观指导和干部教育培训、管理监督、综合（绩效）考核工作；（七）负责干部人才援疆工作（八）负责党的建设和组织工作研究；（九）统一规划、组织部署县属机关党的工作，指导基层党组织开展党的政治建设、思想建设、组织建设和作风建设、做好对党员的管理教育工作，并进行监督检查；（十）统一管理离退休干部工作，负责指导全县离退休干部政治建设、思想建设和党组织建设，组织协调开展离退休干部各项活动等工作。（十一）统一管理中共呼图壁县委员会机构编制委员会办公室。（十二）完成县委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组织部下属3个事业单位：呼图壁县干部远程教育中心（参公）、呼图壁县干部综合考核评价服务中心（事业），呼图壁县基层党建指导服务中心（事业），下设8个处室，分别是：办公室（组织人事科）、组织一科（党代表联络办）、组织二科、干部科（公务员管理科）、老干部科、调查研究科（干部教育科）、人才科（人才援疆科）、干部监督科（巡视巡察审计整改工作办公室、举报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万元，资金来源为县本级财政拨款，其中：财政资金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万元，其他资金0万元，2024年实际收到预算资金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万元，预算执行率100%。本项目资金主要用于支付2023年6月至2024年9月北苑小区人才公寓租金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万元、本项目根据《呼图壁县人民政府关于呼图壁县公共租赁住房租金标准的批复》（呼县政函〔2014〕5号）要求，40平方米以上公共租赁住房租金标准为300元/月。</w:t>
      </w:r>
    </w:p>
    <w:p w14:paraId="67BB30B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A3B35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2023年6月至2024年9月北苑小区人才公寓租金共72套，每套每月租金300元，本次支付15个月租金共计</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万元，资金支付及时率100%，项目成本控制率100%，人才住房保障率不低于95%,为引进人才，留住人才提供保障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“人才公寓数量”指标，预期指标值为“大于等于72套”；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“引进人才住房保障率”指标，预期指标值为“等于95%”；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“15个月租金费用”指标，预期指标值为“小于等于300元/套”；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“为引进人才，留住人才提供有力保障”指标，预期指标值为“有效保障”；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“引进人才满意度”指标，预期指标值为“大于等于95%”。</w:t>
      </w:r>
    </w:p>
    <w:p w14:paraId="3447A7A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27648F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98B0C6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此次我单位根据《财政支出绩效评价管理暂行办法》（财预〔2020〕10号）文件要求实施评价工作，本次评价对象为2023年6月至2024年9月北苑小区人才公寓租金项目，评价核心为项目资金、项目产出、项目效益。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(5)《呼图壁县公租房租赁合同》；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(6)《公寓入住情况统计表》；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(7)项目评价调查问卷。</w:t>
      </w:r>
    </w:p>
    <w:p w14:paraId="255A704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482052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正确的评价方法是评价工作顺利开展的保障，在结合实际经验的情况下，绩效评价小组根据该项目资金的性质和特点，选用如下方法对项目进行评价：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①定量评价法：通过可量化的数据指标(如验收合格率、资金使用偏差率、完成时效等）客观衡量项目成果与目标的匹配程度，强调数值化验证和精确性。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②过程跟踪法：对项目实施全周期进行动态监控与节点考核，确保进度、资金、质量等关键环节按计划推进，及时干预潜在风险。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③综合评价法：整合定量与定性指标，通过权重分配和加权评分形成系统性评价结论，全面反映项目的多维成效。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④满意度调查法：通过问卷调查、深度访谈等方式收集农户对服务的直接反馈，衡量服务的接受度、实用性及社会认可度。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⑤成本效益分析法：对比项目投入与直接经济效益（如成本节约）及间接社会效益（如就业带动），评估资源使用的经济性与可持续性。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D421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B3E793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马季茹（评价小组组长）：主要负责项目策划和监督，全面负责项目绩效评价办稿的最终质量，对评估人员出具的最终报告质量进行复核，确保评估结果的客观性；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孙思硕（评价小组组员）：主要负责资料的收集，取证、数据统计分析；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王钫（评价小组组员）：主要负责项目报告的制定，指标的研判，数据分析及报告撰写。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经调研了解，该项目主要受益群体包括引进研究生人才。我们根据绩效评价目标和绩效指标体系，设计满意度调查问卷进行问卷调查，其中72个受益对象共选取样本30人，共发放问卷30份，最终收回30份。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2024年3月11日-3月16日，评价小组按照绩效评价的原则和规范，对取得的资料进行审查核实，对采集的数据进行分析，按照绩效评价指标评分表逐项进行打分、分析、汇总各方评价结果。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2024年3月17日-3月25日，评价小组撰写绩效评价报告，按照新疆维吾尔自治区财政绩效管理信息系统绩效评价模块中统一格式和文本框架撰写绩效评价报告并提交审核。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46AF64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5A83D3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北苑小区72套人才公寓，每套300元/月，共计15个月的租金支付，各项工作完成及时率100%引进人才住房保障率95%，进一步提高了我县引进研究生的住房保障率，为我县为引进人才，留住人才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6AB81B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45FC611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0480915">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关于做好自治州事业单位引进急需紧缺专业人才暨“千硕进昌”引才活动相关工作的通知》《关于实施县市“人才公寓”建设项目的通知》《呼图壁县公共租赁住房管理实施细则》《呼图壁县人民政府关于呼图壁县公共租赁住房租金标准的批复》（呼县政函〔2014〕5号）要求，40平方米以上公共租赁住房租金标准为300元/月，符合国家法律法规、国民经济发展规划和相关政策；与呼图壁县住房和城乡建设局签订的《呼图壁县公租房租赁合同》，符合行业发展规划和政策要求；本项目立项符合《关于做好自治州事业单位引进急需紧缺专业人才暨“千硕进昌”引才活动相关工作的通知》中的“免费提供“拎包入住”式人才公寓，属于我单位履职所需；根据《财政资金直接支付申请书》，本项目资金性质为“公共财政预算”功能分类为“其他组织事务支出”经济分类为“商品和服务类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做好自治州事业单位引进急需紧缺专业人才暨“千硕进昌”引才活动相关工作的通知》《关于实施县市“人才公寓”建设项目的通知》《呼图壁县公共租赁住房管理实施细则》《呼图壁县人民政府关于呼图壁县公共租赁住房租金标准的批复》（呼县政函〔2014〕5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本项目已设置年度绩效目标，具体内容为“2023年6月至2024年9月北苑小区人才公寓租金共72套，每套每月租金300元，本次支付15个月租金共计</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万元，资金支付及时率100%，项目成本控制率100%，人才住房保障率不低于95%,为引进人才，留住人才提供保障”；本项目实际工作内容为：支付2023年6月至2024年9月北苑小区人才公寓72套住房15个月租金共计</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万元；绩效目标与实际工作内容一致，两者具有相关性;本项目预算申请资金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预算确定资金量与实际工作任务相匹配。本项目按照绩效目标完成了数量指标、质量指标、时效指标、成本指标，有效保障了引进人才住房保障率,为引进人才，留住人才提供保障，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7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本项目《呼图壁县人民政府关于呼图壁县公共租赁住房租金标准的批复》得出，即预算编制较科学且经过论证；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预算申请内容为“2023年6月至2024年9月北苑小区人才公寓租金共72套，每套每月租金300元，本次支付15个月租金共计</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万元，项目实际内容为“2023年6月至2024年9月北苑小区人才公寓租金共72套，每套每月租金300元，本次支付15个月租金共计</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万元，预算申请与《呼图壁县公租房租赁合同》中涉及的项目内容匹配；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我单位在预算申请中严格按照单位标准和数量进行核算，其中：单位标准为每套每月租金300元，数量为72套，共计15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北苑小区人才公寓公租房租金的请示》和《呼图壁县公租房租赁合同》为依据进行资金分配，预算资金分配依据充分。根据《北苑小区人才公寓公租房租金下达文件》文件显示，本项目实际到位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2B0486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7F9C7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万元，其中：本级财政安排资金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万元，其他资金0万元，实际到位资金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万元，资金到位率=（实际到位资金/预算资金）×100.00%=（</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万元，预算执行率=（实际支出资金/实际到位资金）×100.00%=（</w:t>
      </w:r>
      <w:r>
        <w:rPr>
          <w:rStyle w:val="18"/>
          <w:rFonts w:hint="eastAsia" w:ascii="楷体" w:hAnsi="楷体" w:eastAsia="楷体"/>
          <w:b w:val="0"/>
          <w:bCs w:val="0"/>
          <w:spacing w:val="-4"/>
          <w:sz w:val="32"/>
          <w:szCs w:val="32"/>
          <w:lang w:eastAsia="zh-CN"/>
        </w:rPr>
        <w:t>32.40</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32.</w:t>
      </w:r>
      <w:bookmarkStart w:id="0" w:name="_GoBack"/>
      <w:bookmarkEnd w:id="0"/>
      <w:r>
        <w:rPr>
          <w:rStyle w:val="18"/>
          <w:rFonts w:hint="eastAsia" w:ascii="楷体" w:hAnsi="楷体" w:eastAsia="楷体"/>
          <w:b w:val="0"/>
          <w:bCs w:val="0"/>
          <w:spacing w:val="-4"/>
          <w:sz w:val="32"/>
          <w:szCs w:val="32"/>
          <w:lang w:eastAsia="zh-CN"/>
        </w:rPr>
        <w:t>40</w:t>
      </w:r>
      <w:r>
        <w:rPr>
          <w:rStyle w:val="18"/>
          <w:rFonts w:hint="eastAsia" w:ascii="楷体" w:hAnsi="楷体" w:eastAsia="楷体"/>
          <w:b w:val="0"/>
          <w:bCs w:val="0"/>
          <w:spacing w:val="-4"/>
          <w:sz w:val="32"/>
          <w:szCs w:val="32"/>
        </w:rPr>
        <w:t>）*100.00%=100%。得分=预算执行率*分值=100%*5=5分。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中共呼图壁县委员会组织部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中共呼图壁县委员会组织部资金管理办法》《中共呼图壁县委员会组织部收支业务管理制度》《中共呼图壁县委员会组织部政府采购业务管理制度》《中共呼图壁县委员会组织部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关于申请拨付北苑小区人才公寓公租房租金的请示》、《呼图壁县公租房租赁合同》等资料齐全并及时进行了归档。项目资金支出严格按照自治区、地区、市以及本单位资金管理办法执行，项目启动实施后，为了加快本项目的实施，成立了北苑小区人才公寓公租房租金项目工作领导小组，由常务副部长杜长青任组长，负责项目的组织工作；马季茹任副组长，负责项目的实施工作；组员包括：刘家鑫和王钫，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4662B56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F88192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“人才公寓数量”指标：预期指标值为“≥72套”，实际完成指标值为“72套”，指标完成率为100.0%。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“工作质量达标率”指标：预期指标值为“≥95%”，实际完成指标值为“95%”，指标完成率为100%。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“引进人才住房保障率”指标：预期指标值为“≥95%”，实际完成指标什“95%”指标完成率100%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“各项工作完成及时率”指标：预期指标值为“＝100%”，实际完成指标值为“100%”，指标完成率为100%。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“15个月租金费用”指标：预期指标值为“≤300元/月”，实际完成指标值为“300元/月”，指标完成率为100%。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A8E970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719BC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“为引进人才、留住人才提供有力保障”指标：预期指标值为“有效保障”，实际完成指标值为“达到预算指标”，指标完成率为100%。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1EB52F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“引进人才满意度标：预期指标值为“≥95%，完成指标值为“100%完成率为100%。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A114B4B">
      <w:pPr>
        <w:spacing w:line="540" w:lineRule="exact"/>
        <w:ind w:firstLine="567"/>
        <w:rPr>
          <w:rStyle w:val="18"/>
          <w:rFonts w:hint="eastAsia" w:ascii="楷体" w:hAnsi="楷体" w:eastAsia="楷体"/>
          <w:b w:val="0"/>
          <w:bCs w:val="0"/>
          <w:spacing w:val="-4"/>
          <w:sz w:val="32"/>
          <w:szCs w:val="32"/>
        </w:rPr>
      </w:pPr>
    </w:p>
    <w:p w14:paraId="117A837F">
      <w:pPr>
        <w:spacing w:line="540" w:lineRule="exact"/>
        <w:ind w:firstLine="567"/>
        <w:rPr>
          <w:rStyle w:val="18"/>
          <w:rFonts w:ascii="楷体" w:hAnsi="楷体" w:eastAsia="楷体"/>
          <w:spacing w:val="-4"/>
          <w:sz w:val="32"/>
          <w:szCs w:val="32"/>
        </w:rPr>
      </w:pPr>
    </w:p>
    <w:p w14:paraId="0564255F">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33C87A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为了吸引和留住优秀人才，人才公寓租金项目的实施显得尤为重要。这一项目的开展不仅是政策层面的必要举措，更是对人才的关心关爱以及做好人才服务保障工作的重要体现。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才公寓为人才提供了相对低廉且稳定的居住环境，降低了他们在生活成本方面的压力，使他们能够更加专注于自身的工作与事业发展。在关心关爱人才方面，人才公寓租金项目的实施展现了呼图壁县与引才单位对人才的重视。通过提供租金补贴，人才能够享受到便利居住条件，感受到组织的温暖与关怀，从而增强他们对呼图壁县的归属感与认同感。在做好人才服务保障工作方面，人才公寓租金项目的实施需要多部门协同合作，加强对人才公寓的管理，提供优质的服务，形成一个高效的服务保障体系，为人才提供全方位的支持。加强政策宣传，让更多的人才了解并享受到这一福利。建立健全监督机制，确保租金的发放过程公开透明，杜绝违规行为的发生。此外，还要注重人才公寓的配套设施建设，提供便利的生活环境，提升人才的居住体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人才公寓面临着房屋设施老化与社区化建设滞后的双重困境。公寓内部分基础设施，诸如水电系统、家具以及家电，由于长期使用，出现了不同程度的老化与损坏。水电系统故障频发，严重影响了人才的正常生活；家具磨损严重，家电性能下降，不仅降低了居住的舒适度，部分老化的线路与部件还可能引发安全隐患。设施老化导致维修频率大幅增加，给公寓管理工作带来了沉重负担，人力与物力成本显著上升。在社区化建设方面，人才公寓的进展相对缓慢。公共空间及配套设施严重匮乏，缺少休闲娱乐设施、健身场所和文化交流空间，限制了人才的日常放松与社交活动，不利于他们的身心健康以及社区归属感的培养。此外，公寓周边公共交通不便，通勤时间较长；教育资源短缺，给有子女教育需求的人才带来了诸多困扰，致使整体生活质量明显下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人才公寓管理工作中，日常关心关怀工作有待加强。现阶段，管理工作主要围绕房屋分配与设施维护展开，对人才入住期间的实际需求和生活体验关注度稍显不足。尚未建立起定期回访机制，难以第一时间知晓人才生活里遭遇的困难，也无法充分收集他们的意见建议。并且，公寓内社区化服务及活动相对较少，这在一定程度上影响了人才之间的交流互动，不利于构建活跃、融洽的社区氛围，使人才在公寓居住时，归属感的提升受到限制。</w:t>
      </w:r>
    </w:p>
    <w:p w14:paraId="056FE4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9D7610D">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（一）建立预算动态调整机制，结合往年执行情况和本年实际需求细化科目；设立应急准备金（如总预算的5%-10%）应对突发支出；加强财务与业务部门联动，定期召开预算协调会。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（二）简化审批流程，推行电子化报销系统加快资金拨付；制定《项目任务分解表》，明确责任人和时间节点；每月召开进度督办会，对滞后项目专项整改。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（三）组织年度财务知识培训，重点解读《政府会计制度》；编制《经费使用操作手册》，简化流程并下发至各部门；推动财务管理软件（如用友政务）应用，提升自动化水平。</w:t>
      </w:r>
    </w:p>
    <w:p w14:paraId="0F12B9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DEB95A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4556A9D3">
      <w:pPr>
        <w:spacing w:line="540" w:lineRule="exact"/>
        <w:ind w:firstLine="567"/>
        <w:rPr>
          <w:rStyle w:val="18"/>
          <w:rFonts w:ascii="仿宋" w:hAnsi="仿宋" w:eastAsia="仿宋"/>
          <w:b w:val="0"/>
          <w:spacing w:val="-4"/>
          <w:sz w:val="32"/>
          <w:szCs w:val="32"/>
        </w:rPr>
      </w:pPr>
    </w:p>
    <w:p w14:paraId="5933C36A">
      <w:pPr>
        <w:spacing w:line="540" w:lineRule="exact"/>
        <w:ind w:firstLine="567"/>
        <w:rPr>
          <w:rStyle w:val="18"/>
          <w:rFonts w:ascii="仿宋" w:hAnsi="仿宋" w:eastAsia="仿宋"/>
          <w:b w:val="0"/>
          <w:spacing w:val="-4"/>
          <w:sz w:val="32"/>
          <w:szCs w:val="32"/>
        </w:rPr>
      </w:pPr>
    </w:p>
    <w:p w14:paraId="1F9476DF">
      <w:pPr>
        <w:spacing w:line="540" w:lineRule="exact"/>
        <w:ind w:firstLine="567"/>
        <w:rPr>
          <w:rStyle w:val="18"/>
          <w:rFonts w:ascii="仿宋" w:hAnsi="仿宋" w:eastAsia="仿宋"/>
          <w:b w:val="0"/>
          <w:spacing w:val="-4"/>
          <w:sz w:val="32"/>
          <w:szCs w:val="32"/>
        </w:rPr>
      </w:pPr>
    </w:p>
    <w:p w14:paraId="66F85731">
      <w:pPr>
        <w:spacing w:line="540" w:lineRule="exact"/>
        <w:ind w:firstLine="567"/>
        <w:rPr>
          <w:rStyle w:val="18"/>
          <w:rFonts w:ascii="仿宋" w:hAnsi="仿宋" w:eastAsia="仿宋"/>
          <w:b w:val="0"/>
          <w:spacing w:val="-4"/>
          <w:sz w:val="32"/>
          <w:szCs w:val="32"/>
        </w:rPr>
      </w:pPr>
    </w:p>
    <w:p w14:paraId="54B7EAD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0A4165E">
        <w:pPr>
          <w:pStyle w:val="12"/>
          <w:jc w:val="center"/>
        </w:pPr>
        <w:r>
          <w:fldChar w:fldCharType="begin"/>
        </w:r>
        <w:r>
          <w:instrText xml:space="preserve">PAGE   \* MERGEFORMAT</w:instrText>
        </w:r>
        <w:r>
          <w:fldChar w:fldCharType="separate"/>
        </w:r>
        <w:r>
          <w:rPr>
            <w:lang w:val="zh-CN"/>
          </w:rPr>
          <w:t>2</w:t>
        </w:r>
        <w:r>
          <w:fldChar w:fldCharType="end"/>
        </w:r>
      </w:p>
    </w:sdtContent>
  </w:sdt>
  <w:p w14:paraId="1D473C2D">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9942D3B"/>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10824</Words>
  <Characters>11503</Characters>
  <Lines>4</Lines>
  <Paragraphs>1</Paragraphs>
  <TotalTime>8</TotalTime>
  <ScaleCrop>false</ScaleCrop>
  <LinksUpToDate>false</LinksUpToDate>
  <CharactersWithSpaces>11522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2025-08-12T11:48:44Z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