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25E530">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291EE5AE">
      <w:pPr>
        <w:spacing w:line="540" w:lineRule="exact"/>
        <w:jc w:val="center"/>
        <w:rPr>
          <w:rFonts w:ascii="华文中宋" w:hAnsi="华文中宋" w:eastAsia="华文中宋" w:cs="宋体"/>
          <w:b/>
          <w:kern w:val="0"/>
          <w:sz w:val="52"/>
          <w:szCs w:val="52"/>
        </w:rPr>
      </w:pPr>
    </w:p>
    <w:p w14:paraId="570F73E1">
      <w:pPr>
        <w:spacing w:line="540" w:lineRule="exact"/>
        <w:jc w:val="center"/>
        <w:rPr>
          <w:rFonts w:ascii="华文中宋" w:hAnsi="华文中宋" w:eastAsia="华文中宋" w:cs="宋体"/>
          <w:b/>
          <w:kern w:val="0"/>
          <w:sz w:val="52"/>
          <w:szCs w:val="52"/>
        </w:rPr>
      </w:pPr>
    </w:p>
    <w:p w14:paraId="076556AA">
      <w:pPr>
        <w:spacing w:line="540" w:lineRule="exact"/>
        <w:jc w:val="center"/>
        <w:rPr>
          <w:rFonts w:ascii="华文中宋" w:hAnsi="华文中宋" w:eastAsia="华文中宋" w:cs="宋体"/>
          <w:b/>
          <w:kern w:val="0"/>
          <w:sz w:val="52"/>
          <w:szCs w:val="52"/>
        </w:rPr>
      </w:pPr>
    </w:p>
    <w:p w14:paraId="7CBF3A3C">
      <w:pPr>
        <w:spacing w:line="540" w:lineRule="exact"/>
        <w:jc w:val="center"/>
        <w:rPr>
          <w:rFonts w:ascii="华文中宋" w:hAnsi="华文中宋" w:eastAsia="华文中宋" w:cs="宋体"/>
          <w:b/>
          <w:kern w:val="0"/>
          <w:sz w:val="52"/>
          <w:szCs w:val="52"/>
        </w:rPr>
      </w:pPr>
    </w:p>
    <w:p w14:paraId="61503F2F">
      <w:pPr>
        <w:spacing w:line="540" w:lineRule="exact"/>
        <w:jc w:val="center"/>
        <w:rPr>
          <w:rFonts w:ascii="华文中宋" w:hAnsi="华文中宋" w:eastAsia="华文中宋" w:cs="宋体"/>
          <w:b/>
          <w:kern w:val="0"/>
          <w:sz w:val="52"/>
          <w:szCs w:val="52"/>
        </w:rPr>
      </w:pPr>
    </w:p>
    <w:p w14:paraId="47F7F0FB">
      <w:pPr>
        <w:spacing w:line="540" w:lineRule="exact"/>
        <w:jc w:val="center"/>
        <w:rPr>
          <w:rFonts w:ascii="华文中宋" w:hAnsi="华文中宋" w:eastAsia="华文中宋" w:cs="宋体"/>
          <w:b/>
          <w:kern w:val="0"/>
          <w:sz w:val="52"/>
          <w:szCs w:val="52"/>
        </w:rPr>
      </w:pPr>
    </w:p>
    <w:p w14:paraId="14EB9BD1">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375604E8">
      <w:pPr>
        <w:spacing w:line="540" w:lineRule="exact"/>
        <w:jc w:val="center"/>
        <w:rPr>
          <w:rFonts w:ascii="华文中宋" w:hAnsi="华文中宋" w:eastAsia="华文中宋" w:cs="宋体"/>
          <w:b/>
          <w:kern w:val="0"/>
          <w:sz w:val="52"/>
          <w:szCs w:val="52"/>
        </w:rPr>
      </w:pPr>
    </w:p>
    <w:p w14:paraId="3FF4522B">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3A91277B">
      <w:pPr>
        <w:spacing w:line="540" w:lineRule="exact"/>
        <w:jc w:val="center"/>
        <w:rPr>
          <w:rFonts w:hAnsi="宋体" w:eastAsia="仿宋_GB2312" w:cs="宋体"/>
          <w:kern w:val="0"/>
          <w:sz w:val="30"/>
          <w:szCs w:val="30"/>
        </w:rPr>
      </w:pPr>
    </w:p>
    <w:p w14:paraId="6C80559F">
      <w:pPr>
        <w:spacing w:line="540" w:lineRule="exact"/>
        <w:jc w:val="center"/>
        <w:rPr>
          <w:rFonts w:hAnsi="宋体" w:eastAsia="仿宋_GB2312" w:cs="宋体"/>
          <w:kern w:val="0"/>
          <w:sz w:val="30"/>
          <w:szCs w:val="30"/>
        </w:rPr>
      </w:pPr>
    </w:p>
    <w:p w14:paraId="217F84C8">
      <w:pPr>
        <w:spacing w:line="540" w:lineRule="exact"/>
        <w:jc w:val="center"/>
        <w:rPr>
          <w:rFonts w:hAnsi="宋体" w:eastAsia="仿宋_GB2312" w:cs="宋体"/>
          <w:kern w:val="0"/>
          <w:sz w:val="30"/>
          <w:szCs w:val="30"/>
        </w:rPr>
      </w:pPr>
    </w:p>
    <w:p w14:paraId="7E8F3A7F">
      <w:pPr>
        <w:spacing w:line="540" w:lineRule="exact"/>
        <w:jc w:val="center"/>
        <w:rPr>
          <w:rFonts w:hAnsi="宋体" w:eastAsia="仿宋_GB2312" w:cs="宋体"/>
          <w:kern w:val="0"/>
          <w:sz w:val="30"/>
          <w:szCs w:val="30"/>
        </w:rPr>
      </w:pPr>
    </w:p>
    <w:p w14:paraId="7AAA21AF">
      <w:pPr>
        <w:spacing w:line="540" w:lineRule="exact"/>
        <w:jc w:val="center"/>
        <w:rPr>
          <w:rFonts w:hAnsi="宋体" w:eastAsia="仿宋_GB2312" w:cs="宋体"/>
          <w:kern w:val="0"/>
          <w:sz w:val="30"/>
          <w:szCs w:val="30"/>
        </w:rPr>
      </w:pPr>
    </w:p>
    <w:p w14:paraId="0379C7E4">
      <w:pPr>
        <w:spacing w:line="540" w:lineRule="exact"/>
        <w:jc w:val="center"/>
        <w:rPr>
          <w:rFonts w:hAnsi="宋体" w:eastAsia="仿宋_GB2312" w:cs="宋体"/>
          <w:kern w:val="0"/>
          <w:sz w:val="30"/>
          <w:szCs w:val="30"/>
        </w:rPr>
      </w:pPr>
    </w:p>
    <w:p w14:paraId="57C2622A">
      <w:pPr>
        <w:spacing w:line="540" w:lineRule="exact"/>
        <w:rPr>
          <w:rFonts w:hAnsi="宋体" w:eastAsia="仿宋_GB2312" w:cs="宋体"/>
          <w:kern w:val="0"/>
          <w:sz w:val="30"/>
          <w:szCs w:val="30"/>
        </w:rPr>
      </w:pPr>
    </w:p>
    <w:p w14:paraId="7073DB15">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2EC6C0A6">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关于呼图壁县纪检监察工作经费项目</w:t>
      </w:r>
    </w:p>
    <w:p w14:paraId="39DC4485">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中国共产党呼图壁县纪律检查委员会</w:t>
      </w:r>
    </w:p>
    <w:p w14:paraId="39B26936">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中国共产党呼图壁县纪律检查委员会</w:t>
      </w:r>
    </w:p>
    <w:p w14:paraId="13789AEB">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柳宝富</w:t>
      </w:r>
    </w:p>
    <w:p w14:paraId="40DF1F51">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2025年03月17日</w:t>
      </w:r>
    </w:p>
    <w:p w14:paraId="5E16EBB8">
      <w:pPr>
        <w:spacing w:line="700" w:lineRule="exact"/>
        <w:ind w:firstLine="708" w:firstLineChars="236"/>
        <w:jc w:val="left"/>
        <w:rPr>
          <w:rFonts w:hAnsi="宋体" w:eastAsia="仿宋_GB2312" w:cs="宋体"/>
          <w:kern w:val="0"/>
          <w:sz w:val="30"/>
          <w:szCs w:val="30"/>
        </w:rPr>
      </w:pPr>
    </w:p>
    <w:p w14:paraId="538A59AE">
      <w:pPr>
        <w:spacing w:line="540" w:lineRule="exact"/>
        <w:rPr>
          <w:rStyle w:val="18"/>
          <w:rFonts w:ascii="黑体" w:hAnsi="黑体" w:eastAsia="黑体"/>
          <w:b w:val="0"/>
          <w:spacing w:val="-4"/>
          <w:sz w:val="32"/>
          <w:szCs w:val="32"/>
        </w:rPr>
      </w:pPr>
    </w:p>
    <w:p w14:paraId="21F9AD5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7BF83CDA">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34A6D56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监察法》《中国共产党纪律检查机关监督执纪工作规则》等法律法规，落实纪委监委监督执纪的要求，纪检监察工作经费的设立，能够保证办案能力，提升监督质效。引导和支持基层纪检监察工作，加强纪检监察机关规范化、法治化、正规化建设，更好发挥全面从严治党政治引领和政治保障作用，坚持不懈推动纪检监察工作高质量发展。保障纪检监察业务工作的正常开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（1）项目名称：呼图壁县纪检监察协作工作经费项目（以下简称“该项目”或“项目”）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（2）项目主要内容：纪委监委协作工作经费，主要用于支付信息网络及软件购置更新、办公家具、通用设备、维修维护教育宣传片制作以及案件办理相关业务支出等，全力保障基层纪检监察工作正常开展。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实施主体：纪委监委协作工作经费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计划于2024年5月开始实施，通过该项目的实施，严防发生重大影响敏感类事件，严防重大安全事故发生数，保障了基层纪检监察办案和装备水平，提升服务能力，提高了工作效率。主要用于支付信息网络及软件购置更新、办公家具、通用设备、维修维护教育宣传片制作以及案件办理相关业务支出等，全力保障基层纪检监察工作正常开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1)、主管全县党的纪律检查工作。负责贯彻落实中央和区、州、县委关于加强党风廉政建设的决定，认真抓好反腐败斗争，维护党的章程和其他党内法规，检查党的路线、方针、政策和决议的执行情况。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2)、主管全县监察工作。负责贯彻落实党中央、国务院和区、州、县党委、政府有关行政监察工作的决定，监督检查县政府各部门及其工作人员和各乡镇人民政府及其主要负责人贯彻执行国家政策和法律法规、国民经济和社会发展计划及县政府颁发的决定、命令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3)、负责检查并处理县委、县政府机关各部门、各乡镇党组织和县委管理的党员领导干部违反党的章程及其他党内法规的案件。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4)、受理党员的控告和申诉，必要时直接查处下级党的纪律检查机关管辖范围内的比较重要或复杂的案件。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负责调查处理县政府各部门及其工作人员和各乡镇人民政府及其负责人违反国家政策、法律、法规以及违反政纪的行为，并根据责任人所犯错误的情节轻重，按照规定给予行政处分（对涉及选举产生的领导干部按法定程序办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6)、受理监察对象不服政纪处分的申诉，受理个人或单位对监察对象违纪行为的检举、控告。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国共产党呼图壁县纪律检查委员会无下属预算单位，下设12个处室，分别是：办公室、组织部、宣传部、党风政风监督室、信访室、案件监督管理室、第一纪检监察室、第二纪检监察室、第三纪检监察室、第四纪检监察室、案件审理室、纪检监察干部监督室；派驻纪检监察组6个、派出纪检监察工委1个。2018年成立呼图壁县监察委员会，与中国共产党呼图壁县纪律检查委员会合署办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中国共产党呼图壁县纪律检查委员会编制数132人，其中实有行政99人，事业12人。较上年退休6人，调出14人，调入12人，新录入5人。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w:t>
      </w:r>
      <w:r>
        <w:rPr>
          <w:rStyle w:val="18"/>
          <w:rFonts w:hint="eastAsia" w:ascii="楷体" w:hAnsi="楷体" w:eastAsia="楷体"/>
          <w:b w:val="0"/>
          <w:bCs w:val="0"/>
          <w:spacing w:val="-4"/>
          <w:sz w:val="32"/>
          <w:szCs w:val="32"/>
          <w:lang w:eastAsia="zh-CN"/>
        </w:rPr>
        <w:t>117.00</w:t>
      </w:r>
      <w:r>
        <w:rPr>
          <w:rStyle w:val="18"/>
          <w:rFonts w:hint="eastAsia" w:ascii="楷体" w:hAnsi="楷体" w:eastAsia="楷体"/>
          <w:b w:val="0"/>
          <w:bCs w:val="0"/>
          <w:spacing w:val="-4"/>
          <w:sz w:val="32"/>
          <w:szCs w:val="32"/>
        </w:rPr>
        <w:t>万元，资金来源为上级财政资金，其中：财政资金</w:t>
      </w:r>
      <w:r>
        <w:rPr>
          <w:rStyle w:val="18"/>
          <w:rFonts w:hint="eastAsia" w:ascii="楷体" w:hAnsi="楷体" w:eastAsia="楷体"/>
          <w:b w:val="0"/>
          <w:bCs w:val="0"/>
          <w:spacing w:val="-4"/>
          <w:sz w:val="32"/>
          <w:szCs w:val="32"/>
          <w:lang w:eastAsia="zh-CN"/>
        </w:rPr>
        <w:t>117.00</w:t>
      </w:r>
      <w:r>
        <w:rPr>
          <w:rStyle w:val="18"/>
          <w:rFonts w:hint="eastAsia" w:ascii="楷体" w:hAnsi="楷体" w:eastAsia="楷体"/>
          <w:b w:val="0"/>
          <w:bCs w:val="0"/>
          <w:spacing w:val="-4"/>
          <w:sz w:val="32"/>
          <w:szCs w:val="32"/>
        </w:rPr>
        <w:t>万元，其他资金0.0</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万元，2024年实际收到预算资金</w:t>
      </w:r>
      <w:r>
        <w:rPr>
          <w:rStyle w:val="18"/>
          <w:rFonts w:hint="eastAsia" w:ascii="楷体" w:hAnsi="楷体" w:eastAsia="楷体"/>
          <w:b w:val="0"/>
          <w:bCs w:val="0"/>
          <w:spacing w:val="-4"/>
          <w:sz w:val="32"/>
          <w:szCs w:val="32"/>
          <w:lang w:eastAsia="zh-CN"/>
        </w:rPr>
        <w:t>117.00</w:t>
      </w:r>
      <w:r>
        <w:rPr>
          <w:rStyle w:val="18"/>
          <w:rFonts w:hint="eastAsia" w:ascii="楷体" w:hAnsi="楷体" w:eastAsia="楷体"/>
          <w:b w:val="0"/>
          <w:bCs w:val="0"/>
          <w:spacing w:val="-4"/>
          <w:sz w:val="32"/>
          <w:szCs w:val="32"/>
        </w:rPr>
        <w:t>万元，预算资金到位率为100.</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w:t>
      </w:r>
      <w:r>
        <w:rPr>
          <w:rStyle w:val="18"/>
          <w:rFonts w:hint="eastAsia" w:ascii="楷体" w:hAnsi="楷体" w:eastAsia="楷体"/>
          <w:b w:val="0"/>
          <w:bCs w:val="0"/>
          <w:spacing w:val="-4"/>
          <w:sz w:val="32"/>
          <w:szCs w:val="32"/>
          <w:lang w:eastAsia="zh-CN"/>
        </w:rPr>
        <w:t>117.00</w:t>
      </w:r>
      <w:r>
        <w:rPr>
          <w:rStyle w:val="18"/>
          <w:rFonts w:hint="eastAsia" w:ascii="楷体" w:hAnsi="楷体" w:eastAsia="楷体"/>
          <w:b w:val="0"/>
          <w:bCs w:val="0"/>
          <w:spacing w:val="-4"/>
          <w:sz w:val="32"/>
          <w:szCs w:val="32"/>
        </w:rPr>
        <w:t>万元，预算执行率100.0</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本项目资金主要用于支付主要用于支付完成了一套信息网络及软件购置更新32万元、26套办公家具、9套通用设备以及40套密集柜购置21.31万元、累计维修维护14.73万元、委托2套教育宣传片制作费27万元、累计多笔案件办理相关业务支出21.96万元等，全力保障基层纪检监察工作正常开展。</w:t>
      </w:r>
    </w:p>
    <w:p w14:paraId="7ECDBF0F">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59A8D16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纪检监察协作工作经费，主要用于县市基层纪检监察机关办案经费，保障办案条件，调动纪检监察干部工作积极性，强化党风廉政建设，通过支持基层纪委监委协作工作，严防发生重大影响敏感类事件0件，严防重大安全事故发生0起，保障纪检监察工作完成率，促使地方县市级纪检监察部门办案经费保障水平稳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“支持基层纪委监委机关数量”指标，预期指标值为“&gt;=1个”；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“严防发生重大影响敏感类事件”指标，预期指标值为“&lt;=0件”；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“严防重大安全事故发生数（起）”指标，预期指标值为“&lt;=0起”；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“纪检监察工作完成率”指标，预期指标值为“&gt;=90%”；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“经费支出及时率”指标，预期指标值为“&gt;=100%”；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w:t>
      </w:r>
      <w:r>
        <w:rPr>
          <w:rStyle w:val="18"/>
          <w:rFonts w:hint="eastAsia" w:ascii="楷体" w:hAnsi="楷体" w:eastAsia="楷体"/>
          <w:b w:val="0"/>
          <w:bCs w:val="0"/>
          <w:spacing w:val="-4"/>
          <w:sz w:val="32"/>
          <w:szCs w:val="32"/>
        </w:rPr>
        <w:tab/>
        <w:t>软件维护标准”指标，预期指标值为“&lt;=32万元”；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“支持地方县市级纪检监察部门办案经费保障水平”指标，预期指标值为“稳步提升”；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“基层单位满意度”指标，预期指标值为“&gt;=95%”；</w:t>
      </w:r>
    </w:p>
    <w:p w14:paraId="68AC0ED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66BD946C">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2A7DBE8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此次我单位根据《财政支出绩效评价管理暂行办法》（财预〔2020〕10号）文件要求实施评价工作，本次评价对象为呼图壁县纪检监察协作工作经费项目，评价核心为项目资金、项目产出、项目效益。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p>
    <w:p w14:paraId="08E9819B">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4EC2979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定量评价法，定性评价法、比较分析法、过程跟踪法、综合评价法、成本效益分析法、满意度调查法对项目进行评价，旨在通过综合分析影响绩效目标实现、实施效果的内外部因素，从而评价本项目绩效。三级指标分析环节：定量评价法，定性评价法、比较分析法、过程跟踪法、综合评价法、成本效益分析法、满意度调查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1.定量评价法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通过可量化的数值指标（如严防发生重大影响敏感类事件和严防重大安全事故发生数）衡量项目目标的达成度，基于统计数据、财务支出记录等客观数据，分析资金使用效率、资源覆盖率等硬性成果。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2.定性评价法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通过非数值化的描述性分析（如基层单位满意度）评估项目的社会效益与隐性价值，依赖访谈记录、问卷调查等主观反馈，揭示政策落地的综合影响。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3.比较分析法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通过横向对比（与同类区域标准）和纵向对比（项目实施前后数据变化），识别资源配置、项目质量等维度的改进幅度与差距，验证纪检监察工作完成率。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4.过程跟踪法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对项目全周期（立项、执行、验收）进行动态监控，记录资金拨付进度、工程节点完成率等关键环节的执行状态，及时发现偏差并纠偏，保障实施过程规范可控。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5.综合评价法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整合定量与定性数据、短期成果与长期效益，构建多维度权重指标体系，通过加权计算得出项目整体绩效等级，实现全面评估。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6.成本效益分析法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对比项目投入成本（如设备采购、培训支出）与产出效益（如软件维护标准），计算投入产出比或成本节约率，验证资源配置的经济性与合理性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7.满意度调查法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基层单位满意度调查：依据《关于全面实施预算绩效管理的意见》中“社会效益优先”原则，设计问卷评估基层纪委监委机关人员体验的满意度。收集主观评价，以及管理者对跨部门协作、资金执行难点的反馈，识别隐性管理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4CFF6373">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09F4D15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柳宝富（评价小组组长）：主要负责项目策划和监督，全面负责项目绩效评价办稿的最终质量，对评估人员出具的最终报告质量进行复核，确保评估结果的客观性；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孟振永（评价小组组员）：主要负责资料的收集，取证、数据统计分析；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马晓丹（评价小组组员）：主要负责主要负责项目报告的制定，指标的研判，数据分析及报告撰写。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2025年3月2日-3月10日，评价工作进入实施阶段。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基层纪委监委。我们根据绩效评价目标和绩效指标体系，设计满意度调查问卷进行问卷调查，其中基层纪委监委单位受益对象共选取样本31人，共发放问卷31份，最终收回31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2025年3月11日-3月18日，评价小组按照绩效评价的原则和规范，对取得的资料进行审查核实，对采集的数据进行分析，按照绩效评价指标评分表逐项进行打分、分析、汇总各方评价结果。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2025年3月19日-3月25日，评价小组撰写绩效评价报告，按照新疆维吾尔自治区财政绩效管理信息系统绩效评价模块中统一格式和文本框架撰写绩效评价报告并提交审核。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4B8BD96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22BD59C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呼图壁县纪检监察工作经费项目的实施，严防发生重大影响敏感类事件0件，严防重大安全事故发生数0起，保障了基层纪检监察办案和装备水平，提升服务能力，提高了工作效率。项目预期绩效目标及各项具体指标均已全部达成。但在实施过程中也存在一些不足：在预算资金使用过程中，资金指标设置频繁调整，需要加强各部门之间协作沟通，提高预算精准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此次绩效评价通过绩效评价小组论证的评价指标体系及评分标准，采用因素分析法和比较法对本项目绩效进行客观评价，本项目共设置三级指标数量19个，实现三级指标数量19个，总体完成率为100.</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0%。最终评分结果：总分为100.0</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项目产出类指标共设置5个，满分指标5个，得分率100.0%；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项目效益类指标共设置2个，满分指标2个，得分率100.0%。</w:t>
      </w:r>
    </w:p>
    <w:p w14:paraId="2708CE51">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3C53F24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2F8E80C7">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中华人民共和国监察法》中：“实现国家监察全面覆盖，持续深化国家监察体制改革，推进国家治理体系和治理能力现代化”，符合国家法律法规、国民经济发展规划和相关政策；本项目立项符合《中国共产党纪律检查委员会工作条例》中：“党的各级纪律检查委员是党内监督专责机关，是党推进全面从严治党、开展党风廉政建设和反腐败斗争的专门力量。”内容，符合行业发展规划和政策要求；本项目立项符合《中共呼图壁县纪律检查委员会 呼图壁县监察委员会机关职能配置内设机构和人员编制规定》中职责范围中的“履行纪检、监察两项职责”，属于我单位履职所需；根据《财政资金直接支付申请书》，本项目资金性质为“公共财政预算”功能分类为“其他纪检监察事务支出”经济分类为“商品服务支出”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本项目为非基础建设类项目，属于专项资金安排项目，不涉及事前绩效评估、可行性研究以及风险评估，由我单位严格按照《调整下达呼图壁县纪检监察工作经费》昌州财行[2024]40号拨款文件要求实施项目。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本项目拟投入117万元用于完成基层纪检监察办案业务工作以及装备保障内容，通过该项目的实施，保障了基层纪检监察办案和装备水平，提升服务能力，提高了工作效率”；本项目实际工作内容为：完成了信息网络及软件购置更新32万元、办公设备购置21.31万元、维修维护14.73万元、委托业务27万元、案件办理相关业务支出21.96万元等以保障基层纪检监察工作正常开展。绩效目标与实际工作内容一致，两者具有相关性;本项目预算申请资金117万元，预算确定资金量与实际工作任务相匹配。本项目按照绩效目标完成了数量指标、质量指标、时效指标、成本指标，有效保障了地方县市级纪检监察部门办案经费保障水平稳步提升，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6个，三级指标8个，定量指标7个，定性指标1个，指标量化率为87.50%，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本项目预算编制通过市场询价得出，即预算编制较科学且经过论证；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信息网络及软件购置更新费32万元、办公设备购置费21.31万元、维修维护费14.73万元、委托业务费27万元、案件办理相关业务支出21.96万元等以保障基层纪检监察工作经费，项目实际内容为信息网络及软件购置更新费32万元、办公设备购置费21.31万元、维修维护费14.73万元、委托业务费27万元、案件办理相关业务支出21.96万元等以保障基层纪检监察工作经费，预算申请与《呼图壁县纪检监察协作工作经费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117万元，我单位在预算申请中严格按照单位标准和数量进行核算，其中：信息网络及软件购置更新费32万元、办公设备购置费21.31万元、维修维护费14.73万元、委托业务费27万元、案件办理相关业务支出21.96万元等以保障基层纪检监察工作经费，项目实际内容为信息网络及软件购置更新费32万元、办公设备购置费21.31万元、维修维护费14.73万元、委托业务费27万元、案件办理相关业务支出21.96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呼图壁县纪检监察协作工作经费项目资金的请示》和《呼图壁县纪检监察协作工作经费项目实施方案》为依据进行资金分配，预算资金分配依据充分。根据昌州财行[2024]16号、昌州财行[2024]28号、昌州财行[2024]40号文件显示，本项目实际到位资金117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69202DC8">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637DE56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本项目预算资金为117万元，其中：本级财政安排资金117万元，其他资金0万元，实际到位资金117万元，资金到位率=（实际到位资金/预算资金）×100.00%=（117/117）*100.00%=100.0</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本项目实际支出资金117万元，预算执行率=（实际支出资金/实际到位资金）×100.00%=（117/117）*100.00%=100.</w:t>
      </w:r>
      <w:r>
        <w:rPr>
          <w:rStyle w:val="18"/>
          <w:rFonts w:hint="eastAsia" w:ascii="楷体" w:hAnsi="楷体" w:eastAsia="楷体"/>
          <w:b w:val="0"/>
          <w:bCs w:val="0"/>
          <w:spacing w:val="-4"/>
          <w:sz w:val="32"/>
          <w:szCs w:val="32"/>
          <w:lang w:val="en-US" w:eastAsia="zh-CN"/>
        </w:rPr>
        <w:t>0</w:t>
      </w:r>
      <w:bookmarkStart w:id="0" w:name="_GoBack"/>
      <w:bookmarkEnd w:id="0"/>
      <w:r>
        <w:rPr>
          <w:rStyle w:val="18"/>
          <w:rFonts w:hint="eastAsia" w:ascii="楷体" w:hAnsi="楷体" w:eastAsia="楷体"/>
          <w:b w:val="0"/>
          <w:bCs w:val="0"/>
          <w:spacing w:val="-4"/>
          <w:sz w:val="32"/>
          <w:szCs w:val="32"/>
        </w:rPr>
        <w:t>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纪委监委单位资金管理办法》《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纪委监委资金管理办法》《呼图壁县纪委监委收支业务管理制度》《政府采购业务管理制度》《呼图壁县纪委监委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验收单、采购清单等资料齐全并及时进行了归档。项目资金支出严格按照自治区、地区、市以及本单位资金管理办法执行，项目启动实施后，为了加快本项目的实施，成立了呼图壁县纪委监委协作工作经费项目工作领导小组，由纪委副书记柳宝富任组长，负责项目的组织工作；屈鸿杰任副组长，负责项目的实施工作；组员包括：孟振永、马晓丹、时瑞，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综上所述，本指标满分为4.00分，根据评分标准得4.0分，本项目所建立制度执行有效。</w:t>
      </w:r>
    </w:p>
    <w:p w14:paraId="7885757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463FBA7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项目产出类指标由2个二级指标和5个三级指标构成，权重分20.0分，实际得分20.0分。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“支持基层纪委监委机关数量”指标：预期指标值为“&gt;=1个”，实际完成指标值为“=1家”，指标完成率为100.0%。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“严防发生重大影响敏感类事件”指标，预期指标值为“&lt;=0件”，实际完成指标值“=0件”，指标完成率为100.0%。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“严防重大安全事故发生数（起）”指标，预期指标值为“&lt;=0起”，实际完成指标值“=0起”，指标完成率为100.0%。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综上所述，本指标满分为9.0分，根据评分标准得9.0分。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“纪检监察工作完成率”指标，预期指标值为“&gt;=90%”，实际完成指标值为“=100%”，指标完成率为100.0%。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综上所述，本指标满分为6.0分，根据评分标准得6.0分。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“经费支出及时率”指标，预期指标值为“&gt;=90%”，实际完成指标值为“=100%”，指标完成率为100.0%。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综上所述，本指标满分为5.0分，根据评分标准得5.0分。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“软件维护标准”指标，预期指标值为“&lt;=32万元”，实际完成指标值为“=32万元”，指标完成率为100.0%。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40D6FAC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44025255">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项目效益类指标由2个二级指标和2个三级指标构成，权重分30.0分，实际得分30.0分。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“支持地方县市级纪检监察部门办案经费保障水平”指标，预期指标值为“稳步提升”，实际完成指标值为“达到预期指标”，指标完成率为100.0%。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2F9BCB9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“基层单位满意度”指标，预期指标值为“&gt;=95%”，实际完成指标值为“=100%”，指标完成率为100.0%。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综上所述，本指标满分为10.0分，根据评分标准得10.0分。</w:t>
      </w:r>
    </w:p>
    <w:p w14:paraId="581958C2">
      <w:pPr>
        <w:spacing w:line="540" w:lineRule="exact"/>
        <w:ind w:firstLine="567"/>
        <w:rPr>
          <w:rStyle w:val="18"/>
          <w:rFonts w:hint="eastAsia" w:ascii="楷体" w:hAnsi="楷体" w:eastAsia="楷体"/>
          <w:b w:val="0"/>
          <w:bCs w:val="0"/>
          <w:spacing w:val="-4"/>
          <w:sz w:val="32"/>
          <w:szCs w:val="32"/>
        </w:rPr>
      </w:pPr>
    </w:p>
    <w:p w14:paraId="603F2F17">
      <w:pPr>
        <w:spacing w:line="540" w:lineRule="exact"/>
        <w:ind w:firstLine="567"/>
        <w:rPr>
          <w:rStyle w:val="18"/>
          <w:rFonts w:ascii="楷体" w:hAnsi="楷体" w:eastAsia="楷体"/>
          <w:spacing w:val="-4"/>
          <w:sz w:val="32"/>
          <w:szCs w:val="32"/>
        </w:rPr>
      </w:pPr>
    </w:p>
    <w:p w14:paraId="5E4A96DF">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6588B6DC">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为有效推进纪检监察协作工作经费项目开展，提高财政资金使用效益，项目领导小组对照上级下达的资金文件要求全面梳理资金使用范围，紧抓落实，理顺内部分工和工作流程，明确责任和时间节点，一项一项抓好具体落实，确保了项目按时保质完成，保障了项目效益发挥。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2.强化绩效目标刚性约束，及时对项目进行跟踪问效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绩效目标的刚性约束，及时对项目实施进度与资金支付进度进行全程跟踪问效，发现问题及时解决，对于纪检监察工作经费项目使用发生的重大问题实行集体讨论，确保项目按计划进行，项目资金支付安排高效、合理，杜绝截留、挤占或挪用项目资金的情况发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缺乏专业人绩效管理人员。单位没有专业的纪检监察工作经费绩效管理人员。单位对全面实施绩效管理认识不够，绩效水平不高，单位内部绩效管理工作力量薄弱，仍然以财务人员牵头开展绩效管理，工作推动机制不全，业务人员业务能力和素质还有待进一步提升。</w:t>
      </w:r>
    </w:p>
    <w:p w14:paraId="479F3AB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5556FC18">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加强培训，提高相关人员工作水平。采取多种培训形式对单位业务科室人员进行集中培训，进一步树牢绩效观念，提高本单位工作人员的绩效管理能力和工作水平，不单一依赖财务人员开展绩效管理工作，培训专业业务人员为预算绩效管理相关工作的顺利开展提供保障。</w:t>
      </w:r>
    </w:p>
    <w:p w14:paraId="049C81B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30231A4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36FE3204">
      <w:pPr>
        <w:spacing w:line="540" w:lineRule="exact"/>
        <w:ind w:firstLine="567"/>
        <w:rPr>
          <w:rStyle w:val="18"/>
          <w:rFonts w:ascii="仿宋" w:hAnsi="仿宋" w:eastAsia="仿宋"/>
          <w:b w:val="0"/>
          <w:spacing w:val="-4"/>
          <w:sz w:val="32"/>
          <w:szCs w:val="32"/>
        </w:rPr>
      </w:pPr>
    </w:p>
    <w:p w14:paraId="6DF87072">
      <w:pPr>
        <w:spacing w:line="540" w:lineRule="exact"/>
        <w:ind w:firstLine="567"/>
        <w:rPr>
          <w:rStyle w:val="18"/>
          <w:rFonts w:ascii="仿宋" w:hAnsi="仿宋" w:eastAsia="仿宋"/>
          <w:b w:val="0"/>
          <w:spacing w:val="-4"/>
          <w:sz w:val="32"/>
          <w:szCs w:val="32"/>
        </w:rPr>
      </w:pPr>
    </w:p>
    <w:p w14:paraId="16FF87B3">
      <w:pPr>
        <w:spacing w:line="540" w:lineRule="exact"/>
        <w:ind w:firstLine="567"/>
        <w:rPr>
          <w:rStyle w:val="18"/>
          <w:rFonts w:ascii="仿宋" w:hAnsi="仿宋" w:eastAsia="仿宋"/>
          <w:b w:val="0"/>
          <w:spacing w:val="-4"/>
          <w:sz w:val="32"/>
          <w:szCs w:val="32"/>
        </w:rPr>
      </w:pPr>
    </w:p>
    <w:p w14:paraId="60F78D38">
      <w:pPr>
        <w:spacing w:line="540" w:lineRule="exact"/>
        <w:ind w:firstLine="567"/>
        <w:rPr>
          <w:rStyle w:val="18"/>
          <w:rFonts w:ascii="仿宋" w:hAnsi="仿宋" w:eastAsia="仿宋"/>
          <w:b w:val="0"/>
          <w:spacing w:val="-4"/>
          <w:sz w:val="32"/>
          <w:szCs w:val="32"/>
        </w:rPr>
      </w:pPr>
    </w:p>
    <w:p w14:paraId="60F378FF">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344339F">
        <w:pPr>
          <w:pStyle w:val="12"/>
          <w:jc w:val="center"/>
        </w:pPr>
        <w:r>
          <w:fldChar w:fldCharType="begin"/>
        </w:r>
        <w:r>
          <w:instrText xml:space="preserve">PAGE   \* MERGEFORMAT</w:instrText>
        </w:r>
        <w:r>
          <w:fldChar w:fldCharType="separate"/>
        </w:r>
        <w:r>
          <w:rPr>
            <w:lang w:val="zh-CN"/>
          </w:rPr>
          <w:t>2</w:t>
        </w:r>
        <w:r>
          <w:fldChar w:fldCharType="end"/>
        </w:r>
      </w:p>
    </w:sdtContent>
  </w:sdt>
  <w:p w14:paraId="6A8EB6AC">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1F962B5F"/>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10521</Words>
  <Characters>11213</Characters>
  <Lines>4</Lines>
  <Paragraphs>1</Paragraphs>
  <TotalTime>8</TotalTime>
  <ScaleCrop>false</ScaleCrop>
  <LinksUpToDate>false</LinksUpToDate>
  <CharactersWithSpaces>11241</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2025-08-12T11:51:04Z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