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D3AD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9478288">
      <w:pPr>
        <w:spacing w:line="540" w:lineRule="exact"/>
        <w:jc w:val="center"/>
        <w:rPr>
          <w:rFonts w:ascii="华文中宋" w:hAnsi="华文中宋" w:eastAsia="华文中宋" w:cs="宋体"/>
          <w:b/>
          <w:kern w:val="0"/>
          <w:sz w:val="52"/>
          <w:szCs w:val="52"/>
        </w:rPr>
      </w:pPr>
    </w:p>
    <w:p w14:paraId="3CC4E529">
      <w:pPr>
        <w:spacing w:line="540" w:lineRule="exact"/>
        <w:jc w:val="center"/>
        <w:rPr>
          <w:rFonts w:ascii="华文中宋" w:hAnsi="华文中宋" w:eastAsia="华文中宋" w:cs="宋体"/>
          <w:b/>
          <w:kern w:val="0"/>
          <w:sz w:val="52"/>
          <w:szCs w:val="52"/>
        </w:rPr>
      </w:pPr>
    </w:p>
    <w:p w14:paraId="3195397C">
      <w:pPr>
        <w:spacing w:line="540" w:lineRule="exact"/>
        <w:jc w:val="center"/>
        <w:rPr>
          <w:rFonts w:ascii="华文中宋" w:hAnsi="华文中宋" w:eastAsia="华文中宋" w:cs="宋体"/>
          <w:b/>
          <w:kern w:val="0"/>
          <w:sz w:val="52"/>
          <w:szCs w:val="52"/>
        </w:rPr>
      </w:pPr>
    </w:p>
    <w:p w14:paraId="6E8D6134">
      <w:pPr>
        <w:spacing w:line="540" w:lineRule="exact"/>
        <w:jc w:val="center"/>
        <w:rPr>
          <w:rFonts w:ascii="华文中宋" w:hAnsi="华文中宋" w:eastAsia="华文中宋" w:cs="宋体"/>
          <w:b/>
          <w:kern w:val="0"/>
          <w:sz w:val="52"/>
          <w:szCs w:val="52"/>
        </w:rPr>
      </w:pPr>
    </w:p>
    <w:p w14:paraId="05900EAB">
      <w:pPr>
        <w:spacing w:line="540" w:lineRule="exact"/>
        <w:jc w:val="center"/>
        <w:rPr>
          <w:rFonts w:ascii="华文中宋" w:hAnsi="华文中宋" w:eastAsia="华文中宋" w:cs="宋体"/>
          <w:b/>
          <w:kern w:val="0"/>
          <w:sz w:val="52"/>
          <w:szCs w:val="52"/>
        </w:rPr>
      </w:pPr>
    </w:p>
    <w:p w14:paraId="336CF5CC">
      <w:pPr>
        <w:spacing w:line="540" w:lineRule="exact"/>
        <w:jc w:val="center"/>
        <w:rPr>
          <w:rFonts w:ascii="华文中宋" w:hAnsi="华文中宋" w:eastAsia="华文中宋" w:cs="宋体"/>
          <w:b/>
          <w:kern w:val="0"/>
          <w:sz w:val="52"/>
          <w:szCs w:val="52"/>
        </w:rPr>
      </w:pPr>
    </w:p>
    <w:p w14:paraId="65E2874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32A5245">
      <w:pPr>
        <w:spacing w:line="540" w:lineRule="exact"/>
        <w:jc w:val="center"/>
        <w:rPr>
          <w:rFonts w:ascii="华文中宋" w:hAnsi="华文中宋" w:eastAsia="华文中宋" w:cs="宋体"/>
          <w:b/>
          <w:kern w:val="0"/>
          <w:sz w:val="52"/>
          <w:szCs w:val="52"/>
        </w:rPr>
      </w:pPr>
    </w:p>
    <w:p w14:paraId="608BFA1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C9E906E">
      <w:pPr>
        <w:spacing w:line="540" w:lineRule="exact"/>
        <w:jc w:val="center"/>
        <w:rPr>
          <w:rFonts w:hAnsi="宋体" w:eastAsia="仿宋_GB2312" w:cs="宋体"/>
          <w:kern w:val="0"/>
          <w:sz w:val="30"/>
          <w:szCs w:val="30"/>
        </w:rPr>
      </w:pPr>
    </w:p>
    <w:p w14:paraId="46AA20D9">
      <w:pPr>
        <w:spacing w:line="540" w:lineRule="exact"/>
        <w:jc w:val="center"/>
        <w:rPr>
          <w:rFonts w:hAnsi="宋体" w:eastAsia="仿宋_GB2312" w:cs="宋体"/>
          <w:kern w:val="0"/>
          <w:sz w:val="30"/>
          <w:szCs w:val="30"/>
        </w:rPr>
      </w:pPr>
    </w:p>
    <w:p w14:paraId="60E0E91C">
      <w:pPr>
        <w:spacing w:line="540" w:lineRule="exact"/>
        <w:jc w:val="center"/>
        <w:rPr>
          <w:rFonts w:hAnsi="宋体" w:eastAsia="仿宋_GB2312" w:cs="宋体"/>
          <w:kern w:val="0"/>
          <w:sz w:val="30"/>
          <w:szCs w:val="30"/>
        </w:rPr>
      </w:pPr>
    </w:p>
    <w:p w14:paraId="09B8E322">
      <w:pPr>
        <w:spacing w:line="540" w:lineRule="exact"/>
        <w:jc w:val="center"/>
        <w:rPr>
          <w:rFonts w:hAnsi="宋体" w:eastAsia="仿宋_GB2312" w:cs="宋体"/>
          <w:kern w:val="0"/>
          <w:sz w:val="30"/>
          <w:szCs w:val="30"/>
        </w:rPr>
      </w:pPr>
    </w:p>
    <w:p w14:paraId="31176FE9">
      <w:pPr>
        <w:spacing w:line="540" w:lineRule="exact"/>
        <w:jc w:val="center"/>
        <w:rPr>
          <w:rFonts w:hAnsi="宋体" w:eastAsia="仿宋_GB2312" w:cs="宋体"/>
          <w:kern w:val="0"/>
          <w:sz w:val="30"/>
          <w:szCs w:val="30"/>
        </w:rPr>
      </w:pPr>
    </w:p>
    <w:p w14:paraId="6D85D25A">
      <w:pPr>
        <w:spacing w:line="540" w:lineRule="exact"/>
        <w:jc w:val="center"/>
        <w:rPr>
          <w:rFonts w:hAnsi="宋体" w:eastAsia="仿宋_GB2312" w:cs="宋体"/>
          <w:kern w:val="0"/>
          <w:sz w:val="30"/>
          <w:szCs w:val="30"/>
        </w:rPr>
      </w:pPr>
    </w:p>
    <w:p w14:paraId="57F7A7E2">
      <w:pPr>
        <w:spacing w:line="540" w:lineRule="exact"/>
        <w:rPr>
          <w:rFonts w:hAnsi="宋体" w:eastAsia="仿宋_GB2312" w:cs="宋体"/>
          <w:kern w:val="0"/>
          <w:sz w:val="30"/>
          <w:szCs w:val="30"/>
        </w:rPr>
      </w:pPr>
    </w:p>
    <w:p w14:paraId="189E806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7DA012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2024年中央现代职业教育质量提升计划资金</w:t>
      </w:r>
    </w:p>
    <w:p w14:paraId="72A5410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呼图壁中等职业技术学校</w:t>
      </w:r>
    </w:p>
    <w:p w14:paraId="460DD85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呼图壁中等职业技术学校</w:t>
      </w:r>
    </w:p>
    <w:p w14:paraId="0CFFAFD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樊海燕</w:t>
      </w:r>
    </w:p>
    <w:p w14:paraId="13F4DF1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7AB91F59">
      <w:pPr>
        <w:spacing w:line="700" w:lineRule="exact"/>
        <w:ind w:firstLine="708" w:firstLineChars="236"/>
        <w:jc w:val="left"/>
        <w:rPr>
          <w:rFonts w:hAnsi="宋体" w:eastAsia="仿宋_GB2312" w:cs="宋体"/>
          <w:kern w:val="0"/>
          <w:sz w:val="30"/>
          <w:szCs w:val="30"/>
        </w:rPr>
      </w:pPr>
    </w:p>
    <w:p w14:paraId="6CC40357">
      <w:pPr>
        <w:spacing w:line="540" w:lineRule="exact"/>
        <w:rPr>
          <w:rStyle w:val="18"/>
          <w:rFonts w:ascii="黑体" w:hAnsi="黑体" w:eastAsia="黑体"/>
          <w:b w:val="0"/>
          <w:spacing w:val="-4"/>
          <w:sz w:val="32"/>
          <w:szCs w:val="32"/>
        </w:rPr>
      </w:pPr>
    </w:p>
    <w:p w14:paraId="07DD62F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7FA058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07025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7月获批第三批自治区优质中等职业学校建设计划项目，根据《国家职业教育改革发展实施方案》关于"改善职业学校基本办学条件"的要求，提质扩容已成为学校下一阶段工作的重中之重。随着学校的发展，在校生数量逐年上升，2023？年学？生人数达到998？人，相比于2022年增长200余人，现有校舍数量不足、不适用、安全隐患多、维修维护成本高的问题日益突出，其中住宿条件已成为制约学校发展最大的短板。项目实施将新建可容纳528人的标准化宿舍楼，配套完善生活服务设施，有效解决当前78%走读生通勤安全隐患</w:t>
      </w:r>
      <w:bookmarkStart w:id="0" w:name="_GoBack"/>
      <w:r>
        <w:rPr>
          <w:rStyle w:val="18"/>
          <w:rFonts w:hint="eastAsia" w:ascii="楷体" w:hAnsi="楷体" w:eastAsia="楷体"/>
          <w:b w:val="0"/>
          <w:bCs w:val="0"/>
          <w:spacing w:val="-4"/>
          <w:sz w:val="32"/>
          <w:szCs w:val="32"/>
        </w:rPr>
        <w:t>和</w:t>
      </w:r>
      <w:bookmarkEnd w:id="0"/>
      <w:r>
        <w:rPr>
          <w:rStyle w:val="18"/>
          <w:rFonts w:hint="eastAsia" w:ascii="楷体" w:hAnsi="楷体" w:eastAsia="楷体"/>
          <w:b w:val="0"/>
          <w:bCs w:val="0"/>
          <w:spacing w:val="-4"/>
          <w:sz w:val="32"/>
          <w:szCs w:val="32"/>
        </w:rPr>
        <w:t>90%住宿生反映的生活设施老化问题，预计可使学生住宿满意度提升40个百分点，为学校深化产教融合、扩大校企合作培养规模提供基础保障，助推职业教育人才培养质量提升15%以上。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（1）项目名称：呼图壁中等职业技术学校2024年学生宿舍建设项目（以下简称“该项目”或“项目”）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（2）项目主要内容：通过项目资金支持，在教师周转房北侧预留发展用地上新建学生宿舍，建筑面积2578.08㎡,按中等职业技术学校学生宿舍标准化需求建设，保温框架装配结构。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实施主体：呼图壁中等职业技术学校学生宿舍。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实施时间：本项目实施周期为2024年2月-2024年10月。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中等职业技术学校学生宿舍建设项目严格按照规范流程推进，在完成前期可行性研究、资金筹措及建设方案优化后，通过公开招标程序选定具备资质的施工总承包单位，落实安全文明施工标准，关键节点执行材料进场验收与隐蔽工程四方联检制度，确保工程实体质量合格率达100%。项目竣工后经第三方检测机构对建筑结构、消防系统及节能指标进行全面验收，宿舍设施完好率提升至95%以上。标准化床位全面覆盖在校生住宿需求，成功消除原有住宿生通勤安全隐患，为学校扩招和深化产教融合提供了坚实的后勤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呼图壁中等职业技术学校主要职能是：为初中毕业生提供中专学历教育服务，为成人提供《经济学、金融学、法学》等学科大专、本科学历教育，及相关专业培训。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呼图壁中等职业技术学校无下属预算单位，下设 10 个处室，分别是：党政办、工会、项目办、德育处（团委）、总务后勤处、保卫科、培训中心、招生就业办、财务室、教务处（教研室）。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呼图壁中等职业技术学校编制数 60，实有人数 94人，其中：在职 56 人，增加 0 人；退休38 人，增加 3人；离休0人，增加 0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本项目预算安排总额为700万元，资金来源为2024年现代职业教育质量提升计划资金，其中：财政资金700万元，2024年实际收到预算资金700万元，预算资金到位率为100%。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截至2024年12月31日，本项目实际支付资金700万元，预算执行率100%。本项目资金主要用于支付设备购置费用100万元、房屋建筑费用600万元。</w:t>
      </w:r>
    </w:p>
    <w:p w14:paraId="347DD3C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90B89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中等职业技术学校学生宿舍项目以提升住宿承载能力和服务质量为核心目标，通过新建标准化床位实现住宿需求全覆盖，确保工程实体质量合格率100%、设施完好率提升至95%以上，并配备智能门禁系统、独立卫浴等现代化生活设施，使管理效率提高50%，住宿生满意度达92%。项目同步消除走读生通勤安全隐患，保障消防系统、建筑结构及节能指标全面达标，最终形成安全舒适、功能完善的住宿环境，为学校扩大招生规模、深化产教融合提供高标准后勤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“新建建筑面积（平方米）”指标，预期指标值为“&gt;=2500平方米”；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“容纳人数”指标，预期指标值为“&lt;=528人”；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“房屋质量达标率（%）”指标，预期指标值为“=100%”；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“宿舍楼成本”指标，预期指标值为“&gt;=600万元”；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“提升学生住宿体验”指标，预期指标值为“良好”；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“学生、家长满意度”指标，预期指标值为“&gt;=95%”。</w:t>
      </w:r>
    </w:p>
    <w:p w14:paraId="4AD295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20A36C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1C4F6C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此次我单位根据《财政支出绩效评价管理暂行办法》（财预〔2020〕10号）文件要求实施评价工作，本次评价对象为呼图壁中等职业技术学校2024学生宿舍建设项目，评价核心为项目资金、项目产出、项目效益。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(5)可行性研究报告、施工合同。</w:t>
      </w:r>
    </w:p>
    <w:p w14:paraId="4DCFF6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6101C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下，绩效评价小组根据该项目资金的性质和特点，选用成本效益分析法、关键绩效指标法及公众满意度评估法对项目进行评价，旨在通过综合分析影响绩效目标实现、实施效果的内外部因素，从而评价本项目绩效。三级指标分析环节：成本效益分析法、关键绩效指标法及公众满意度评估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（1）成本效益分析法：通过量化项目投入成本与产出效益的比率，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评估经费使用的经济性和效率性，判断是否以最小成本实现了预期目标。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（2）关键绩效指标法：选取反映项目核心目标的可量化指标（如经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费执行率、任务完成率等），通过定期监测指标达成情况来评价绩效表现。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（3）公众满意度评估法：通过问卷调查、访谈等方式收集服务对象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（如机关单位职工、公众）对经费支持的服务质量的满意度，衡量社会效益。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3DB965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1CE00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樊海燕（评价小组组长）：主要负责项目策划和监督，全面负责项目绩效评价办稿的最终质量，对评估人员出具的最终报告质量进行复核，确保评估结果的客观性；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朱鑫、任山、汤晨（评价小组组员）：主要负责资料的收集，取证、数据统计分析；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段海涛（评价小组组员）：主要负责主要负责项目报告的制定，指标的研判，数据分析及报告撰写。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2025年3月6日-3月15日，评价工作进入实施阶段。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经调研了解，该项目主要受益群体包括男住校生。我们根据绩效评价目标和绩效指标体系，设计满意度调查问卷进行问卷调查，其中270受益对象共选取样本39人，共发放问卷39份，最终收回39份。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2769A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291FC1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新建建筑面积&gt;=2500平方米，容纳人数&lt;=528人的产出目标，发挥了提升学生住宿体验效益。但在实施过程中也存在一些不足：如设计前瞻性欠缺、工期控制存在薄弱环节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w:t>
      </w:r>
      <w:r>
        <w:rPr>
          <w:rStyle w:val="18"/>
          <w:rFonts w:hint="eastAsia" w:ascii="楷体" w:hAnsi="楷体" w:eastAsia="楷体"/>
          <w:b w:val="0"/>
          <w:bCs w:val="0"/>
          <w:spacing w:val="-4"/>
          <w:sz w:val="32"/>
          <w:szCs w:val="32"/>
          <w:lang w:val="en-US" w:eastAsia="zh-CN"/>
        </w:rPr>
        <w:t>96.36</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7582D0B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D6BC79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246EF8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职业教育法》中：明确要求职业院校改善办学条件，保障学生权益（如第31条、第40条）。宿舍建设直接服务于学生生活需求，是完善办学条件的重要环节。《中华人民共和国国民经济和社会发展第十四个五年规划和2035年远景目标纲要》中：“增强职业技术教育适应性”“改善职业教育办学条件”，支持职业院校基础设施扩容，宿舍建设符合提质扩容要求。符合国家法律法规、国民经济发展规划和相关政策；本项目立项符合《关于推动现代职业教育高质量发展的意见》中：“改善职业院校办学条件”“加强学生生活服务设施建设”内容，符合行业发展规划和政策要求；根据《财政资金直接支付申请书》，本项目资金性质为“公共财政预算”功能分类为“中等职业教育”经济分类为“商品服务”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关于下达2024年中央现代职业教育质量提升计划资金预算的通知》(昌州财教〔2023〕103号)文件要求，我单位上报《呼图壁中等职业技术学校学生宿舍建设项目可行性研究》（呼中职字〔2024〕01号），经昌吉州发展和改革委员会审核，下发《关于对呼图壁中等职业技术学校2024年学生宿舍建设项目可行性研究报告（代项目建议书）的批复》（呼发改投资〔2024〕27号）批复文件，本项目正式设立。经查看，该项目立项过程产生的相关文件，符合相关要求。本项目为基础建设类项目，属于经常性项目，不涉及事前绩效评估和风险评估，已委托新疆建投项目管理咨询有限公司编制《呼图壁中等职业技术学校宿舍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本项目已设置年度绩效目标，具体内容为“新建一栋建筑面积2500平方米以上，可以容纳528人的男生宿舍楼一栋，施工过程中，严格把控材料质量、规范施工流程，房屋质量要求完全达标，在资金管理方面，600 万元建设资金及时足额拨付，保障项目顺利推进，项目竣工后，可以显著提升学生住宿体验，学生及家长的满意度达到90%以上”；本项目实际工作内容为：新建男生宿舍楼一栋，投入资金700万元，可容纳528人；绩效目标与实际工作内容一致，两者具有相关性;本项目预算申请资金700万元，预算确定资金量与实际工作任务相匹配。本项目按照绩效目标完成了数量指标、质量指标、时效指标、成本指标，有效保障了学生良好的住宿体验，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本项目预算编制通过招投标结果和可行性研究报告得出，即预算编制较科学且经过论证；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预算申请内容为新建学生宿舍楼一栋，采购数字媒体专业实训设备一批，项目实际内容为学生宿舍建设，预算申请与《呼图壁中等职业技术学校项目实施方案》中涉及的项目内容匹配；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700万元，我单位在预算申请中严格按照分项成本进行核算，其中：新建一栋学生宿舍楼600万元，采购一套数字媒体专业实训设备100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本项目实际分配资金以《关于申请呼图壁中等职业技术学校学生宿舍建设项目资金的请示》和《呼图壁中等职业技术学校项目实施方案》为依据进行资金分配，预算资金分配依据充分。根据《关于提前下达 2024年中央现代职业教育质量提升计划资金预算的通知资金下达文件》文件显示，本项目实际到位资金700万元，实际分配资金与我单位提交申请的资金额度一致，资金分配额度合理，与我单位实际需求相适应。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C1D846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44F22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本项目预算资金为700万元，实际到位资金700万元，资金到位率100%。资金到位率=（实际到位资金/预算资金）×100.00%=（700/700）*100.00%=100%。得分=资金到位率*分值=100%*4=4分。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本项目实际支出资金700万元，预算执行率=（实际支出资金/实际到位资金）×100.00%=（700/700）*100.00%=100%。得分=预算执行率*分值=100%*5=5分。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中等职业技术学校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中等职业技术学校项目资金管理办法》《呼图壁中等职业技术学校收支业务管理制度》《呼图壁中等职业技术学校政府采购业务管理制度》《呼图壁中等职业技术学校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学生宿舍建设项目工作领导小组，由党组书记苏学忠任组长，负责项目的组织工作；樊海燕任副组长，负责项目的实施工作；组员包括：张英杰和任山，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26E4269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C23EC6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建筑面积（平方米）”指标：预期指标值为“&gt;=2500平方米”，实际完成指标值为“=2578.08平方米”，指标完成率为103.12%。（偏差率为3%，偏差原因主要为：根据消防验收要求，在原有设计的基础上增加了一个消防逃生通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“容纳人数”指标：预期指标值为“&lt;=528人”，实际完成指标值为“=528人”，指标完成率为100.0%。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综上所述，本指标满分为10分，根据评分标准得8.9分。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“房屋质量达标率（%）”指标：预期指标值为“=100%”，实际完成指标值为“=100%”，指标完成率为100%。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“宿舍楼成本”指标：预期指标值为“&gt;=600万元”，实际完成指标值为“=700万元”，指标完成率为116.67%。（偏差率为3%，偏差原因主要为：根据消防验收要求，在原有设计的基础上增加了一个消防逃生通道。）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8BF87C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847638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“提升学生住宿体验”指标：预期指标值为“良好”，实际完成指标值为“达到预期指标”，指标完成率为100.0%。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BA4FA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“学生、家长满意度”指标：预期指标值为“&gt;=95%”，实际完成指标值为“=100%”，指标完成率为100%。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2C16B59">
      <w:pPr>
        <w:spacing w:line="540" w:lineRule="exact"/>
        <w:ind w:firstLine="567"/>
        <w:rPr>
          <w:rStyle w:val="18"/>
          <w:rFonts w:hint="eastAsia" w:ascii="楷体" w:hAnsi="楷体" w:eastAsia="楷体"/>
          <w:b w:val="0"/>
          <w:bCs w:val="0"/>
          <w:spacing w:val="-4"/>
          <w:sz w:val="32"/>
          <w:szCs w:val="32"/>
        </w:rPr>
      </w:pPr>
    </w:p>
    <w:p w14:paraId="79343E91">
      <w:pPr>
        <w:spacing w:line="540" w:lineRule="exact"/>
        <w:ind w:firstLine="567"/>
        <w:rPr>
          <w:rStyle w:val="18"/>
          <w:rFonts w:ascii="楷体" w:hAnsi="楷体" w:eastAsia="楷体"/>
          <w:spacing w:val="-4"/>
          <w:sz w:val="32"/>
          <w:szCs w:val="32"/>
        </w:rPr>
      </w:pPr>
    </w:p>
    <w:p w14:paraId="3260BBD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FEB86D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组织方面，学校成立专项领导小组，统筹协调规划、建设、后勤等部门职责，明确分工并压实责任；同时，积极争取地方政府和教育主管部门支持，通过定期召开联席会议，解决建设过程中遇到的审批、施工衔接等问题，确保项目全周期顺畅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中，一方面，严格遵循工程建设的标准流程，从立项审批到竣工验收均落实“全流程留痕”制度，确保各环节合法合规；另一方面，通过引入第三方监理、定期开展现场巡查等方式，严控施工质量与安全风险。项目团队还注重动态调整管理策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坚持“专款专用、高效节约”原则，形成了严格的监管闭环。一是健全资金管理制度，明确资金使用范围、审批权限及支付流程，确保每一笔支出合法合规；二是强化预算刚性约束，在前期精准测算建设成本的基础上，合理分配资金用途，避免超支或挪用；三是主动接受外部监督，定期向主管部门报送资金使用情况，配合审计部门开展专项检查，保障资金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1、设计前瞻性欠缺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宿舍建设方案在绿色节能、智能化管理等方面未充分融入先进理念，与未来职业教育校园数字化、低碳化发展趋势存在一定差距，可能增加后期改造升级成本。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2、工期控制存在薄弱环节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受外部因素影响，施工进度偶有滞后，暴露出应急预案灵活性不足和资源调度效率不高的问题。</w:t>
      </w:r>
    </w:p>
    <w:p w14:paraId="035A21E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E1B099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1、强化设计前瞻性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融入绿色建筑标准，采用节能材料及智能水电管理系统，降低后期运维能耗。预留智能化改造接口，为未来数字化校园升级奠定基础。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2、施工与过程管理提升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制定动态化应急预案，建立与气象、物流等部门的信息联动机制，提前储备关键施工材料，减少外部因素干扰。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推行“关键节点倒排工期”管理，明确责任人与完成时限，定期评估进度偏差并及时纠偏。</w:t>
      </w:r>
    </w:p>
    <w:p w14:paraId="54DB8C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B3246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2006A93">
      <w:pPr>
        <w:spacing w:line="540" w:lineRule="exact"/>
        <w:ind w:firstLine="567"/>
        <w:rPr>
          <w:rStyle w:val="18"/>
          <w:rFonts w:ascii="仿宋" w:hAnsi="仿宋" w:eastAsia="仿宋"/>
          <w:b w:val="0"/>
          <w:spacing w:val="-4"/>
          <w:sz w:val="32"/>
          <w:szCs w:val="32"/>
        </w:rPr>
      </w:pPr>
    </w:p>
    <w:p w14:paraId="574E9475">
      <w:pPr>
        <w:spacing w:line="540" w:lineRule="exact"/>
        <w:ind w:firstLine="567"/>
        <w:rPr>
          <w:rStyle w:val="18"/>
          <w:rFonts w:ascii="仿宋" w:hAnsi="仿宋" w:eastAsia="仿宋"/>
          <w:b w:val="0"/>
          <w:spacing w:val="-4"/>
          <w:sz w:val="32"/>
          <w:szCs w:val="32"/>
        </w:rPr>
      </w:pPr>
    </w:p>
    <w:p w14:paraId="29C1E5AB">
      <w:pPr>
        <w:spacing w:line="540" w:lineRule="exact"/>
        <w:ind w:firstLine="567"/>
        <w:rPr>
          <w:rStyle w:val="18"/>
          <w:rFonts w:ascii="仿宋" w:hAnsi="仿宋" w:eastAsia="仿宋"/>
          <w:b w:val="0"/>
          <w:spacing w:val="-4"/>
          <w:sz w:val="32"/>
          <w:szCs w:val="32"/>
        </w:rPr>
      </w:pPr>
    </w:p>
    <w:p w14:paraId="7DF37B1B">
      <w:pPr>
        <w:spacing w:line="540" w:lineRule="exact"/>
        <w:ind w:firstLine="567"/>
        <w:rPr>
          <w:rStyle w:val="18"/>
          <w:rFonts w:ascii="仿宋" w:hAnsi="仿宋" w:eastAsia="仿宋"/>
          <w:b w:val="0"/>
          <w:spacing w:val="-4"/>
          <w:sz w:val="32"/>
          <w:szCs w:val="32"/>
        </w:rPr>
      </w:pPr>
    </w:p>
    <w:p w14:paraId="680ED02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6DE16B4">
        <w:pPr>
          <w:pStyle w:val="12"/>
          <w:jc w:val="center"/>
        </w:pPr>
        <w:r>
          <w:fldChar w:fldCharType="begin"/>
        </w:r>
        <w:r>
          <w:instrText xml:space="preserve">PAGE   \* MERGEFORMAT</w:instrText>
        </w:r>
        <w:r>
          <w:fldChar w:fldCharType="separate"/>
        </w:r>
        <w:r>
          <w:rPr>
            <w:lang w:val="zh-CN"/>
          </w:rPr>
          <w:t>2</w:t>
        </w:r>
        <w:r>
          <w:fldChar w:fldCharType="end"/>
        </w:r>
      </w:p>
    </w:sdtContent>
  </w:sdt>
  <w:p w14:paraId="3F0BB09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983006"/>
    <w:rsid w:val="0856517C"/>
    <w:rsid w:val="0BFB189F"/>
    <w:rsid w:val="0F58071E"/>
    <w:rsid w:val="11BD75F7"/>
    <w:rsid w:val="13BE561A"/>
    <w:rsid w:val="15392994"/>
    <w:rsid w:val="18FE139B"/>
    <w:rsid w:val="3029612C"/>
    <w:rsid w:val="32A221C5"/>
    <w:rsid w:val="33F20F2A"/>
    <w:rsid w:val="34C44675"/>
    <w:rsid w:val="3B5B5607"/>
    <w:rsid w:val="3CE21B3C"/>
    <w:rsid w:val="411F2F90"/>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9857</Words>
  <Characters>10476</Characters>
  <Lines>4</Lines>
  <Paragraphs>1</Paragraphs>
  <TotalTime>8</TotalTime>
  <ScaleCrop>false</ScaleCrop>
  <LinksUpToDate>false</LinksUpToDate>
  <CharactersWithSpaces>10522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2025-09-22T08:55:12Z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