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B2CA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671C125">
      <w:pPr>
        <w:spacing w:line="540" w:lineRule="exact"/>
        <w:jc w:val="center"/>
        <w:rPr>
          <w:rFonts w:ascii="华文中宋" w:hAnsi="华文中宋" w:eastAsia="华文中宋" w:cs="宋体"/>
          <w:b/>
          <w:kern w:val="0"/>
          <w:sz w:val="52"/>
          <w:szCs w:val="52"/>
        </w:rPr>
      </w:pPr>
    </w:p>
    <w:p w14:paraId="56ED568E">
      <w:pPr>
        <w:spacing w:line="540" w:lineRule="exact"/>
        <w:jc w:val="center"/>
        <w:rPr>
          <w:rFonts w:ascii="华文中宋" w:hAnsi="华文中宋" w:eastAsia="华文中宋" w:cs="宋体"/>
          <w:b/>
          <w:kern w:val="0"/>
          <w:sz w:val="52"/>
          <w:szCs w:val="52"/>
        </w:rPr>
      </w:pPr>
    </w:p>
    <w:p w14:paraId="0154B3F9">
      <w:pPr>
        <w:spacing w:line="540" w:lineRule="exact"/>
        <w:jc w:val="center"/>
        <w:rPr>
          <w:rFonts w:ascii="华文中宋" w:hAnsi="华文中宋" w:eastAsia="华文中宋" w:cs="宋体"/>
          <w:b/>
          <w:kern w:val="0"/>
          <w:sz w:val="52"/>
          <w:szCs w:val="52"/>
        </w:rPr>
      </w:pPr>
    </w:p>
    <w:p w14:paraId="149E1DBA">
      <w:pPr>
        <w:spacing w:line="540" w:lineRule="exact"/>
        <w:jc w:val="center"/>
        <w:rPr>
          <w:rFonts w:ascii="华文中宋" w:hAnsi="华文中宋" w:eastAsia="华文中宋" w:cs="宋体"/>
          <w:b/>
          <w:kern w:val="0"/>
          <w:sz w:val="52"/>
          <w:szCs w:val="52"/>
        </w:rPr>
      </w:pPr>
    </w:p>
    <w:p w14:paraId="203EBDAF">
      <w:pPr>
        <w:spacing w:line="540" w:lineRule="exact"/>
        <w:jc w:val="center"/>
        <w:rPr>
          <w:rFonts w:ascii="华文中宋" w:hAnsi="华文中宋" w:eastAsia="华文中宋" w:cs="宋体"/>
          <w:b/>
          <w:kern w:val="0"/>
          <w:sz w:val="52"/>
          <w:szCs w:val="52"/>
        </w:rPr>
      </w:pPr>
    </w:p>
    <w:p w14:paraId="08AD5A09">
      <w:pPr>
        <w:spacing w:line="540" w:lineRule="exact"/>
        <w:jc w:val="center"/>
        <w:rPr>
          <w:rFonts w:ascii="华文中宋" w:hAnsi="华文中宋" w:eastAsia="华文中宋" w:cs="宋体"/>
          <w:b/>
          <w:kern w:val="0"/>
          <w:sz w:val="52"/>
          <w:szCs w:val="52"/>
        </w:rPr>
      </w:pPr>
    </w:p>
    <w:p w14:paraId="5099DAF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9E352C5">
      <w:pPr>
        <w:spacing w:line="540" w:lineRule="exact"/>
        <w:jc w:val="center"/>
        <w:rPr>
          <w:rFonts w:ascii="华文中宋" w:hAnsi="华文中宋" w:eastAsia="华文中宋" w:cs="宋体"/>
          <w:b/>
          <w:kern w:val="0"/>
          <w:sz w:val="52"/>
          <w:szCs w:val="52"/>
        </w:rPr>
      </w:pPr>
    </w:p>
    <w:p w14:paraId="3251494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B44F49C">
      <w:pPr>
        <w:spacing w:line="540" w:lineRule="exact"/>
        <w:jc w:val="center"/>
        <w:rPr>
          <w:rFonts w:hAnsi="宋体" w:eastAsia="仿宋_GB2312" w:cs="宋体"/>
          <w:kern w:val="0"/>
          <w:sz w:val="30"/>
          <w:szCs w:val="30"/>
        </w:rPr>
      </w:pPr>
    </w:p>
    <w:p w14:paraId="6712F17A">
      <w:pPr>
        <w:spacing w:line="540" w:lineRule="exact"/>
        <w:jc w:val="center"/>
        <w:rPr>
          <w:rFonts w:hAnsi="宋体" w:eastAsia="仿宋_GB2312" w:cs="宋体"/>
          <w:kern w:val="0"/>
          <w:sz w:val="30"/>
          <w:szCs w:val="30"/>
        </w:rPr>
      </w:pPr>
    </w:p>
    <w:p w14:paraId="0FE3726D">
      <w:pPr>
        <w:spacing w:line="540" w:lineRule="exact"/>
        <w:jc w:val="center"/>
        <w:rPr>
          <w:rFonts w:hAnsi="宋体" w:eastAsia="仿宋_GB2312" w:cs="宋体"/>
          <w:kern w:val="0"/>
          <w:sz w:val="30"/>
          <w:szCs w:val="30"/>
        </w:rPr>
      </w:pPr>
    </w:p>
    <w:p w14:paraId="04539E5B">
      <w:pPr>
        <w:spacing w:line="540" w:lineRule="exact"/>
        <w:jc w:val="center"/>
        <w:rPr>
          <w:rFonts w:hAnsi="宋体" w:eastAsia="仿宋_GB2312" w:cs="宋体"/>
          <w:kern w:val="0"/>
          <w:sz w:val="30"/>
          <w:szCs w:val="30"/>
        </w:rPr>
      </w:pPr>
    </w:p>
    <w:p w14:paraId="256534BE">
      <w:pPr>
        <w:spacing w:line="540" w:lineRule="exact"/>
        <w:jc w:val="center"/>
        <w:rPr>
          <w:rFonts w:hAnsi="宋体" w:eastAsia="仿宋_GB2312" w:cs="宋体"/>
          <w:kern w:val="0"/>
          <w:sz w:val="30"/>
          <w:szCs w:val="30"/>
        </w:rPr>
      </w:pPr>
    </w:p>
    <w:p w14:paraId="0AA09E58">
      <w:pPr>
        <w:spacing w:line="540" w:lineRule="exact"/>
        <w:jc w:val="center"/>
        <w:rPr>
          <w:rFonts w:hAnsi="宋体" w:eastAsia="仿宋_GB2312" w:cs="宋体"/>
          <w:kern w:val="0"/>
          <w:sz w:val="30"/>
          <w:szCs w:val="30"/>
        </w:rPr>
      </w:pPr>
    </w:p>
    <w:p w14:paraId="519BC107">
      <w:pPr>
        <w:spacing w:line="540" w:lineRule="exact"/>
        <w:rPr>
          <w:rFonts w:hAnsi="宋体" w:eastAsia="仿宋_GB2312" w:cs="宋体"/>
          <w:kern w:val="0"/>
          <w:sz w:val="30"/>
          <w:szCs w:val="30"/>
        </w:rPr>
      </w:pPr>
    </w:p>
    <w:p w14:paraId="2FB3A17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92827B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2024年中央财政医疗服务与保障能力提升中医药事业传承与发展部分补助资金</w:t>
      </w:r>
    </w:p>
    <w:p w14:paraId="2336C0B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呼图壁县中医医院</w:t>
      </w:r>
    </w:p>
    <w:p w14:paraId="49334B8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呼图壁县中医医院</w:t>
      </w:r>
    </w:p>
    <w:p w14:paraId="208EE4E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黄革军</w:t>
      </w:r>
    </w:p>
    <w:p w14:paraId="3978827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2025年03月15日</w:t>
      </w:r>
    </w:p>
    <w:p w14:paraId="125AF794">
      <w:pPr>
        <w:spacing w:line="700" w:lineRule="exact"/>
        <w:ind w:firstLine="708" w:firstLineChars="236"/>
        <w:jc w:val="left"/>
        <w:rPr>
          <w:rFonts w:hAnsi="宋体" w:eastAsia="仿宋_GB2312" w:cs="宋体"/>
          <w:kern w:val="0"/>
          <w:sz w:val="30"/>
          <w:szCs w:val="30"/>
        </w:rPr>
      </w:pPr>
    </w:p>
    <w:p w14:paraId="10BCDDBD">
      <w:pPr>
        <w:spacing w:line="540" w:lineRule="exact"/>
        <w:rPr>
          <w:rStyle w:val="18"/>
          <w:rFonts w:ascii="黑体" w:hAnsi="黑体" w:eastAsia="黑体"/>
          <w:b w:val="0"/>
          <w:spacing w:val="-4"/>
          <w:sz w:val="32"/>
          <w:szCs w:val="32"/>
        </w:rPr>
      </w:pPr>
    </w:p>
    <w:p w14:paraId="1B8D2AA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94CABE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D16F9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中医医院申报的2024年中央财政医疗服务与保障能力提升（中医药事业传承与发展部分）补助项目，依据2024年呼图壁县财政《中央2024年医疗服务与保障能力提升（中医药事业传承与发展部分）补助资金的通知》（昌州财社〔2023〕74号）要求，聚焦县域中医药服务能力短板，提高中医药特色诊疗技术应用，通过项目实施将优化中医药特色诊疗设备配置，系统化整理濒临失传的民间验方及特色疗法，并建立长效人才培养机制，培养基层中医药骨干，形成可推广的特色技术方案，切实推动中医药服务体系与基层健康需求精准对接，助力乡村振兴战略下中医药惠民实效，提高医疗水平，缩短城乡医疗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（1）项目名称：2024年中央财政医疗服务与保障能力提升[中医药事业传承与发展部分]补助项目（以下简称“该项目”或“项目”）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投入200万元，建设一个县级中医医院“两专科一中心”，开展1个疼痛科和1个急诊科，项目完成及时率100%。项目合格率100%，良好提高中医药服务能力。通过项目的实施，提高医疗水平，缩短城乡医疗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实施主体：呼图壁县中医医院。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中医医院2024年中央财政医疗服务与保障能力提升（中医药事业传承与发展部分）补助项目通过系统化推进取得显著成效。在前期准备阶段，医院结合区域中医药发展需求，科学编制实施方案，完成可行性论证及预算编制，并建立专项管理机制确保责任到人。招投标环节严格遵循政府采购规范，通过公开透明的竞争性磋商选定资质优良的供应商，重点引入智能化中医诊疗设备及信息化管理系统。项目实施过程中，坚持进度与质量双控，设立专班动态监测设备采购、科室改造、人才培训等关键节点，同步落实专项资金专款专用审计制度，有效防范风险。项目验收阶段由卫健、财政及第三方专家组成联合评审组，对照建设标准逐项核验，确认中医特色诊疗区升级、古籍数字化平台搭建、院内制剂研发等任务高质量完成。项目投用后显著提升医院中医药服务能力，同步带动基层中医药人才梯队建设，实现医疗资源优化配置与传统文化传承创新的协同发展，为区域居民提供了更优质、便捷的中医药健康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中医医院位于呼图壁县园林路81号，2013年11月投入使用，医院建筑面积10047.35平方米，占地面积28.98亩。承担着呼图壁县及周边地区的医疗、教学、预防、保健、康复、医学研究、急救等任务，是昌吉州职业技术学院实训基地及新疆首家“中医整脊科示教基地”。目前，中医院相继开设有平衡针灸工作室、中医整脊工作室和王杰名医工作室、韦以宗名医工作室，还设有内科、外科、康复针灸推拿科、疼痛科、急诊科及治未病科、口腔科、妇科、皮肤科、药剂科、检验科、功能科、放射科等12个临床科室，开设床位99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呼图壁县中医医院无下属预算单位，下设 25 个处室，分别是:内科、外科、疼痛科、康复针灸推拿科、妇科、皮肤科、口腔科、眼科、急诊科、感染性疾病科、老年病科、治未病科、急诊科、手麻科、种牛场门诊部。功能科、放射科、检验科、药剂科、党政办、财务科、护理部、医务处、院感办、总务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呼图壁县中医医院编制数32人，实有人数31人，其中：在职30人，增加0人； 退休1人，增加0人；离休0人，增加0人。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本项目预算安排总额为200万元，资金来源为本级财政资金，其中：财政资金200万元，其他资金0万元，2024年实际收到预算资金200万元，预算资金到位率为100.00%。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截至2024年12月31日，本项目实际支付资金200万元，预算执行率100%。本项目资金主要用于支付两专科一中心项目设备采购费用165万元，用于支付两专科一中心项目卫材费用35万元。</w:t>
      </w:r>
    </w:p>
    <w:p w14:paraId="3D716AF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F44644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中医医院2024年中央财政医疗服务与保障能力提升补助项目以强化中医药服务能力为核心，着力推进县级中医医院“两专科一中心”建设，计划完成不少于两个特色中医专科、一个中医适宜技术推广中心的基础设施升级与学科体系完善，同步加强急诊科与疼痛科标准化建设，分别新建或改造急诊科与疼痛科各一个，全面提升急危重症救治能力和慢性疼痛综合诊疗水平。项目严格把控设备采购质量，确保设备验收合格率达到100%，并通过规范化培训与资源整合，推动中医药特色技术传承创新、院内制剂研发应用及基层中医药人才梯队培养，最终实现县域中医药服务网络优化、诊疗能力提质增效，为居民提供覆盖全生命周期的高质量中医药健康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“开展相应数量县级中医医院“两专科一中心”项目建设”指标，预期指标值为“大于等于1项”；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“急诊科建设数量”指标，预期指标值为“大于等于1个”；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“疼痛科建设数量”指标，预期指标值为“大于等于1个”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“卫生材料采购及时率”指标，预期指标值为“等于100%”；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“设备采购成本”指标，预期指标值为“小于等于165万元”；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“卫生材料采购款”指标，预期指标值为“小于等于35万元”；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“提高中医药服务能力”指标，预期指标值为“良好”；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“提高中医药服务能力”指标，预期指标值为“良好”；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“患者满意度”指标，预期指标值为“大于等于95%”。</w:t>
      </w:r>
    </w:p>
    <w:p w14:paraId="70383CC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D9BB33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B8D433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此次我单位根据《财政支出绩效评价管理暂行办法》（财预〔2020〕10号）文件要求实施评价工作，本次评价对象为2024年中央财政医疗服务与保障能力提升补助项目，评价核心为项目资金、项目产出、项目效益。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(5)《2024年中央财政医疗服务与保障能力提升补助项目》（昌州财社〔2023〕74号）、设备验收单</w:t>
      </w:r>
    </w:p>
    <w:p w14:paraId="719B0AC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BEA55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关键绩效指标法、成本效益分析法、满意度调查法以及过程追踪法对项目进行评价，旨在通过综合分析影响绩效目标实现、实施效果的内外部因素，从而评价本项目绩效。三级指标分析环节：总体采用目标管理法、关键绩效指标法、成本效益分析法、满意度调查法以及过程追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1、目标管理法：通过对比项目实际完成情况与预设绩效目标（如服务覆盖率、随访率等量化指标），评估目标达成程度，衡量项目实施效果。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2、关键绩效指标法（KPI）：选取核心指标（如电子健康档案建档率、慢性病规范管理率等）进行量化考核，反映项目重点任务的完成质量。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3、成本效益分析法：评估资金投入与产出效益的比例关系，分析公共卫生服务的经济性和资源利用效率。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4、满意度调查法：通过问卷调查或访谈收集服务对象（如居民、医务人员）的满意度反馈，衡量服务质量和社会效益。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5、过程追踪法：动态监测项目实施各环节（如资金拨付、服务开展等），确保流程合规和及时纠偏。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C7A9CC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09662B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杨成爱（评价小组组长）：主要负责项目策划和监督，全面负责项目绩效评价办稿的最终质量，对评估人员出具的最终报告质量进行复核，确保评估结果的客观性；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吴清云（评价小组组员）：主要负责资料的收集，取证、数据统计分析；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王云江（评价小组组员）：主要负责主要负责项目报告的制定，指标的研判，数据分析及报告撰写。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县域及周边地区群众，尤其是慢性病患者、老年群体、低收入人群及偏远乡镇居民。通过优化中医药诊疗设备配置、加强中医适宜技术培训、开展“治未病”健康管理服务以及免费中医药文化宣教活动，项目有效提升了基层中医药服务的可及性和质量，减轻了群众就医负担，同时推动中医经典方剂传承、名老中医经验挖掘及中西医结合诊疗模式创新，为县域内居民提供了更优质、便捷的中医药健康保障，助力乡村振兴与健康中国建设。我们根据绩效评价目标和绩效指标体系，设计满意度调查问卷进行问卷调查，其中县域内及周边地区群众受益对象共选取样本419人，共发放问卷419份，最终收回419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947479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8DCDF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建设一个县级中医医院“两专科一中心”，开展1个疼痛科和1个急诊科的建设，提升了我院医疗设备更新和技术服务质量，强化公立医院的公益属性，确保器承担社会责任，推动了中西医结合，提升医生的专业能力和中医院服务能力建设，发挥了中医药传承与创新，促进了健康管理和就诊就医服务健康发展，提升医疗服务质量，降低患者费用，优化资源配置，增强公益性的效益。但在实施过程中也存在一些不足：中医药文化宣传与信息化服务融合度较低，未能充分激活数字化平台潜力。后续将强化资金动态监管，深化“县-乡-村”三级联动培训机制，并依托信息化手段构建中医药服务全链条推广网络，持续提升项目综合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4051C6B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A78CC7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7F729C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中医药法》关于“加强中医药服务体系建设，支持中医药传承创新，提升基层中医药服务能力”的要求，以及《中医药发展战略规划纲要（2016—2030年）》中“推动中医药特色技术传承与基层应用”的核心任务。符合国家中医药管理局《中医药康复服务能力提升工程实施方案》中“强化中医药特色技术应用与人才培养”的具体任务和行业发展规划和政策要求；本项目立项符合《呼图壁县中医医院配置内设机构和人员编制规定》中职责范围中的“良好提高中医药服务能力”，属于我单位履职所需；根据《财政资金直接支付申请书》，本项目资金性质为“公共财政预算”功能分类为“中医（民族医）药专项”经济分类为“专用设备购置”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2024年呼图壁县财政《中央2024年医疗服务与保障能力提升（中医药事业传承与发展部分）补助资金的通知》（昌州财社〔2023〕74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投入200万元，建设一个县级中医医院“两专科一中心”，开展1个疼痛科和1个急诊科，项目完成及时率100%。项目合格率100%，良好提高中医药服务能力。通过项目的实施，提高医疗水平，缩短城乡医疗差距。”；本项目实际工作内容为：截至2024年12月31日，该项目实际完成200万元，其中165万元用于购买医疗专用设备，35万元用于支付医院卫生材料款；购买的设备已经全部验收入库，已正常投入使用。绩效目标与实际工作内容一致，两者具有相关性;本项目预算申请资金200万元，预算确定资金量与实际工作任务相匹配。本项目按照绩效目标完成了数量指标、质量指标、时效指标、成本指标，有效保障了我院医疗设备更新和技术服务质量，强化公立医院的公益属性，确保器承担社会责任，推动了中西医结合，提升医生的专业能力和中医院服务能力建设，提高了中医药传承与创新，促进了健康管理和就诊就医服务健康发展，提升医疗服务质量，降低患者费用，优化资源配置，增强公益性，最终实现全民健康覆盖和医疗服务的公平可及。，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政采云平台市场询价得出，治未病科购买煎药机、打包机需24.5万元，红外线诊断系统、中医脉象诊断系统、中药柜、文件柜等设备需65.14万元；疼痛科购买设备需38.79万元；急诊科购买输液椅等设备需36.57万元；专科建设需购买专用卫生材料款35万元；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用于支付两专科一中心项目设备采购费用165万元，用于支付两专科一中心项目卫材费用35万元，项目实际内容为用于支付两专科一中心项目设备采购费用165万元，用于支付两专科一中心项目卫材费用35万元，预算申请与《中央2024年医疗服务与保障能力提升（中医药事业传承与发展部分）补助资金的通知》（昌州财社〔2023〕74号）文件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200万元，我单位在预算申请中严格按照分项成本进行核算，其中：用于支付两专科一中心项目设备采购费用165万元，用于支付两专科一中心项目卫材费用35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医疗服务与保障能力提升（中医药事业传承与发展部分）补助资金项目资金的请示》和《2024年医疗服务与保障能力提升（中医药事业传承与发展部分）补助资金项目实施方案》为依据进行资金分配，预算资金分配依据充分。根据《2024年医疗服务与保障能力提升（中医药事业传承与发展部分）补助资金下达文件》文件显示，本项目实际到位资金200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054629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97B84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本项目预算资金为200万元，其中：本级财政安排资金200万元，其他资金0万元，实际到位资金200万元，资金到位率=（实际到位资金/预算资金）×100.00%=（200/200）*100.00%=100%。得分=资金到位率*分值=100%*4=4分。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本项目实际支出资金200万元，预算执行率=（实际支出资金/实际到位资金）×100.00%=（200/200）*100.00%=100%。得分=预算执行率*分值=100%*5=5分。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中医医院资金管理办法》《呼图壁县中医医院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中医医院资金管理办法》《呼图壁县中医医院收支业务管理制度》《呼图壁县中医医院政府采购业务管理制度》《呼图壁县中医医院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医疗服务与保障能力提升（中医药事业传承与发展部分）补助资金项目工作领导小组，由党组书记薛俊联任组长，负责项目的组织工作；杨成爱任副组长，负责项目的实施工作；组员包括：王云江和吴清云，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1F32CE8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F3717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“开展相应数量县级中医医院“两专科一中心”项目建设”指标：预期指标值为“≥1项”，实际完成指标值为“1项”，指标完成率为100.0%。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“急诊科建设数量”指标：预期指标值为“≥1个”，实际完成指标值为“1个”，指标完成率为100.0%。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“疼痛科建设数量”指标：预期指标值为“≥1个”，实际完成指标值为“1个”，指标完成率为100.0%。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“卫生材料采购及时率”指标：预期指标值为“=100%”，实际完成指标值为“=100%”，指标完成率为100.0%。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“设备采购成本”指标：预期指标值为“≤165万元”，实际完成指标值为“≤165万元个”，指标完成率为100.0%。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“卫生材料采购款”指标：预期指标值为“≤35万元”，实际完成指标值为“≤35万元个”，指标完成率为100.0%。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8BE90C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A00F97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“提高中医药服务能力”指标：预期指标值为“良好”，实际完成指标值为“达到预期指标”，指标完成率为100.0%。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1D8F1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“患者满意度”指标：预期指标值为“≥95%”，实际完成指标值为“≥95%”，指标完成率为100.0%。</w:t>
      </w:r>
    </w:p>
    <w:p w14:paraId="2CBFCD96">
      <w:pPr>
        <w:spacing w:line="540" w:lineRule="exact"/>
        <w:ind w:firstLine="567"/>
        <w:rPr>
          <w:rStyle w:val="18"/>
          <w:rFonts w:hint="eastAsia" w:ascii="楷体" w:hAnsi="楷体" w:eastAsia="楷体"/>
          <w:b w:val="0"/>
          <w:bCs w:val="0"/>
          <w:spacing w:val="-4"/>
          <w:sz w:val="32"/>
          <w:szCs w:val="32"/>
        </w:rPr>
      </w:pPr>
    </w:p>
    <w:p w14:paraId="7D067CD5">
      <w:pPr>
        <w:spacing w:line="540" w:lineRule="exact"/>
        <w:ind w:firstLine="567"/>
        <w:rPr>
          <w:rStyle w:val="18"/>
          <w:rFonts w:ascii="楷体" w:hAnsi="楷体" w:eastAsia="楷体"/>
          <w:spacing w:val="-4"/>
          <w:sz w:val="32"/>
          <w:szCs w:val="32"/>
        </w:rPr>
      </w:pPr>
    </w:p>
    <w:p w14:paraId="7294750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2B779B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1、加强绩效目标方面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2.强化公立医院的公益属性方面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确保器承担社会责任，注重中西医结合，提升医疗服务质量，降低患者费用，优化资源配置，增强公益性。建设建立完善的中医药人才培养体系，涵盖院校教育、继续教育和师承教育，培养多层次人才。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突出“整合效能+绩效导向”的双重原则。一是创新资金统筹机制，整合上级专项资金、县级配套资金及社会资本，建立“补贴+奖补”组合式支持政策，放大财政杠杆效应。二是严格绩效目标管理，围绕服务质量，分阶段开展绩效评价，并将结果与后续资金拨付挂钩。三是强化风险防控，通过第三方审计、资金使用公示、企业信用承诺等举措，构建“事前防范-事中监管-事后追溯”的全链条风控体系，确保资金安全高效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问题一：资金拨付较晚，执行进度滞后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设备采购及培训计划未按期完成，主要原因包括：资金拨付与审批流程繁琐，缺乏动态监管机制；医院内部预算分配与项目需求匹配度不足，未充分结合阶段性任务灵活调整资金使用计划，导致部分资金沉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问题二：中医药特色技术向村级延伸不足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村级卫生室中医药适宜技术应用覆盖率仅为55%，远低于乡镇级（75%）。原因在于：项目设计中未建立“县-乡-村”三级联动推广机制，村级卫生员培训频次低且缺乏实操指导；基层卫生室缺乏基础设备支持，且未配套激励机制，村医应用积极性不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问题三：数字化传承平台功能未充分发挥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已建成的中医药数字化传承平台使用率不足40%，未能有效整合资源。主要原因为：平台功能设计未充分贴合基层需求，操作界面复杂且缺乏本地化适配；医护人员信息化技能培训不足，部分人员对平台使用流程不熟悉，导致数据录入和资源共享效率低下。</w:t>
      </w:r>
    </w:p>
    <w:p w14:paraId="314B0F0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33C6B4B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问题一：资金使用效率偏低，执行进度滞后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与措施：优化资金监管流程：建立“绿色通道”审批机制，简化设备采购及培训资金拨付流程，明确各环节时限责任，推行电子化审批系统，缩短周期；动态调整预算分配：按月跟踪资金使用进度，结合项目阶段性目标（如设备采购、培训实施）动态调整预算分配比例，预留10%资金作为应急机动款，确保关键任务优先执行；强化绩效考核挂钩：将资金执行率纳入科室年度考核指标，对执行率低于90%的部门进行约谈整改，提升资金使用紧迫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问题二：中医药特色技术向村级延伸不足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与措施：构建三级联动推广机制：制定“县中医医院-乡镇卫生院-村卫生室”技术推广责任清单，由县级骨干分片包干村级培训，每月开展1次“送技术下村”实操指导；完善村级配套支持：为村卫生室配发便携式中医诊疗设备包（如针灸器具、艾灸仪），设立“村级中医药服务专项补贴”，对应用率达标村医给予绩效奖励；数字化赋能村级服务：在中医药数字化平台增设“村级技术指导模块”，提供标准化操作视频及在线答疑，降低技术应用门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问题三：数字化传承平台功能未充分发挥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与措施：优化平台功能适配性：联合软件公司开展基层需求调研，简化操作界面，开发方言语音引导、一键式数据上传功能，提升用户体验；强化全员信息化培训：分批次开展“平台操作技能认证培训”，要求医护人员100%通过实操考核，并纳入职称晋升加分项；建立数据共享激励机制：对主动上传病例数据、验方资源的科室或个人，按贡献度给予科研经费倾斜或评优优先权，激发平台使用积极性。</w:t>
      </w:r>
    </w:p>
    <w:p w14:paraId="0D9C5C3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49C53A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3A4483FF">
      <w:pPr>
        <w:spacing w:line="540" w:lineRule="exact"/>
        <w:ind w:firstLine="567"/>
        <w:rPr>
          <w:rStyle w:val="18"/>
          <w:rFonts w:ascii="仿宋" w:hAnsi="仿宋" w:eastAsia="仿宋"/>
          <w:b w:val="0"/>
          <w:spacing w:val="-4"/>
          <w:sz w:val="32"/>
          <w:szCs w:val="32"/>
        </w:rPr>
      </w:pPr>
    </w:p>
    <w:p w14:paraId="40721498">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04EF970">
        <w:pPr>
          <w:pStyle w:val="12"/>
          <w:jc w:val="center"/>
        </w:pPr>
        <w:r>
          <w:fldChar w:fldCharType="begin"/>
        </w:r>
        <w:r>
          <w:instrText xml:space="preserve">PAGE   \* MERGEFORMAT</w:instrText>
        </w:r>
        <w:r>
          <w:fldChar w:fldCharType="separate"/>
        </w:r>
        <w:r>
          <w:rPr>
            <w:lang w:val="zh-CN"/>
          </w:rPr>
          <w:t>2</w:t>
        </w:r>
        <w:r>
          <w:fldChar w:fldCharType="end"/>
        </w:r>
      </w:p>
    </w:sdtContent>
  </w:sdt>
  <w:p w14:paraId="2058701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33E334F"/>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11961</Words>
  <Characters>12598</Characters>
  <Lines>4</Lines>
  <Paragraphs>1</Paragraphs>
  <TotalTime>22</TotalTime>
  <ScaleCrop>false</ScaleCrop>
  <LinksUpToDate>false</LinksUpToDate>
  <CharactersWithSpaces>12622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2025-08-12T11:08:55Z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