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B06C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5284587">
      <w:pPr>
        <w:spacing w:line="540" w:lineRule="exact"/>
        <w:jc w:val="center"/>
        <w:rPr>
          <w:rFonts w:ascii="华文中宋" w:hAnsi="华文中宋" w:eastAsia="华文中宋" w:cs="宋体"/>
          <w:b/>
          <w:kern w:val="0"/>
          <w:sz w:val="52"/>
          <w:szCs w:val="52"/>
        </w:rPr>
      </w:pPr>
    </w:p>
    <w:p w14:paraId="671B9CE6">
      <w:pPr>
        <w:spacing w:line="540" w:lineRule="exact"/>
        <w:jc w:val="center"/>
        <w:rPr>
          <w:rFonts w:ascii="华文中宋" w:hAnsi="华文中宋" w:eastAsia="华文中宋" w:cs="宋体"/>
          <w:b/>
          <w:kern w:val="0"/>
          <w:sz w:val="52"/>
          <w:szCs w:val="52"/>
        </w:rPr>
      </w:pPr>
    </w:p>
    <w:p w14:paraId="56B057CF">
      <w:pPr>
        <w:spacing w:line="540" w:lineRule="exact"/>
        <w:jc w:val="center"/>
        <w:rPr>
          <w:rFonts w:ascii="华文中宋" w:hAnsi="华文中宋" w:eastAsia="华文中宋" w:cs="宋体"/>
          <w:b/>
          <w:kern w:val="0"/>
          <w:sz w:val="52"/>
          <w:szCs w:val="52"/>
        </w:rPr>
      </w:pPr>
    </w:p>
    <w:p w14:paraId="2B7D567E">
      <w:pPr>
        <w:spacing w:line="540" w:lineRule="exact"/>
        <w:jc w:val="center"/>
        <w:rPr>
          <w:rFonts w:ascii="华文中宋" w:hAnsi="华文中宋" w:eastAsia="华文中宋" w:cs="宋体"/>
          <w:b/>
          <w:kern w:val="0"/>
          <w:sz w:val="52"/>
          <w:szCs w:val="52"/>
        </w:rPr>
      </w:pPr>
    </w:p>
    <w:p w14:paraId="352695E9">
      <w:pPr>
        <w:spacing w:line="540" w:lineRule="exact"/>
        <w:jc w:val="center"/>
        <w:rPr>
          <w:rFonts w:ascii="华文中宋" w:hAnsi="华文中宋" w:eastAsia="华文中宋" w:cs="宋体"/>
          <w:b/>
          <w:kern w:val="0"/>
          <w:sz w:val="52"/>
          <w:szCs w:val="52"/>
        </w:rPr>
      </w:pPr>
    </w:p>
    <w:p w14:paraId="78B76E6E">
      <w:pPr>
        <w:spacing w:line="540" w:lineRule="exact"/>
        <w:jc w:val="center"/>
        <w:rPr>
          <w:rFonts w:ascii="华文中宋" w:hAnsi="华文中宋" w:eastAsia="华文中宋" w:cs="宋体"/>
          <w:b/>
          <w:kern w:val="0"/>
          <w:sz w:val="52"/>
          <w:szCs w:val="52"/>
        </w:rPr>
      </w:pPr>
    </w:p>
    <w:p w14:paraId="2663248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E415EF2">
      <w:pPr>
        <w:spacing w:line="540" w:lineRule="exact"/>
        <w:jc w:val="center"/>
        <w:rPr>
          <w:rFonts w:ascii="华文中宋" w:hAnsi="华文中宋" w:eastAsia="华文中宋" w:cs="宋体"/>
          <w:b/>
          <w:kern w:val="0"/>
          <w:sz w:val="52"/>
          <w:szCs w:val="52"/>
        </w:rPr>
      </w:pPr>
    </w:p>
    <w:p w14:paraId="54B6F09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DF65C23">
      <w:pPr>
        <w:spacing w:line="540" w:lineRule="exact"/>
        <w:jc w:val="center"/>
        <w:rPr>
          <w:rFonts w:hAnsi="宋体" w:eastAsia="仿宋_GB2312" w:cs="宋体"/>
          <w:kern w:val="0"/>
          <w:sz w:val="30"/>
          <w:szCs w:val="30"/>
        </w:rPr>
      </w:pPr>
    </w:p>
    <w:p w14:paraId="369687E1">
      <w:pPr>
        <w:spacing w:line="540" w:lineRule="exact"/>
        <w:jc w:val="center"/>
        <w:rPr>
          <w:rFonts w:hAnsi="宋体" w:eastAsia="仿宋_GB2312" w:cs="宋体"/>
          <w:kern w:val="0"/>
          <w:sz w:val="30"/>
          <w:szCs w:val="30"/>
        </w:rPr>
      </w:pPr>
    </w:p>
    <w:p w14:paraId="578DA3EB">
      <w:pPr>
        <w:spacing w:line="540" w:lineRule="exact"/>
        <w:jc w:val="center"/>
        <w:rPr>
          <w:rFonts w:hAnsi="宋体" w:eastAsia="仿宋_GB2312" w:cs="宋体"/>
          <w:kern w:val="0"/>
          <w:sz w:val="30"/>
          <w:szCs w:val="30"/>
        </w:rPr>
      </w:pPr>
    </w:p>
    <w:p w14:paraId="039656F8">
      <w:pPr>
        <w:spacing w:line="540" w:lineRule="exact"/>
        <w:jc w:val="center"/>
        <w:rPr>
          <w:rFonts w:hAnsi="宋体" w:eastAsia="仿宋_GB2312" w:cs="宋体"/>
          <w:kern w:val="0"/>
          <w:sz w:val="30"/>
          <w:szCs w:val="30"/>
        </w:rPr>
      </w:pPr>
    </w:p>
    <w:p w14:paraId="41B23DFE">
      <w:pPr>
        <w:spacing w:line="540" w:lineRule="exact"/>
        <w:jc w:val="center"/>
        <w:rPr>
          <w:rFonts w:hAnsi="宋体" w:eastAsia="仿宋_GB2312" w:cs="宋体"/>
          <w:kern w:val="0"/>
          <w:sz w:val="30"/>
          <w:szCs w:val="30"/>
        </w:rPr>
      </w:pPr>
    </w:p>
    <w:p w14:paraId="6272A9F1">
      <w:pPr>
        <w:spacing w:line="540" w:lineRule="exact"/>
        <w:jc w:val="center"/>
        <w:rPr>
          <w:rFonts w:hAnsi="宋体" w:eastAsia="仿宋_GB2312" w:cs="宋体"/>
          <w:kern w:val="0"/>
          <w:sz w:val="30"/>
          <w:szCs w:val="30"/>
        </w:rPr>
      </w:pPr>
    </w:p>
    <w:p w14:paraId="1673DCC8">
      <w:pPr>
        <w:spacing w:line="540" w:lineRule="exact"/>
        <w:rPr>
          <w:rFonts w:hAnsi="宋体" w:eastAsia="仿宋_GB2312" w:cs="宋体"/>
          <w:kern w:val="0"/>
          <w:sz w:val="30"/>
          <w:szCs w:val="30"/>
        </w:rPr>
      </w:pPr>
    </w:p>
    <w:p w14:paraId="592D749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D411A7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2024年车辆购置税收入补助地方（第一批）用于普通省道及农村公路建设“以奖代补”项目</w:t>
      </w:r>
    </w:p>
    <w:p w14:paraId="51A0378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呼图壁县交通运输局</w:t>
      </w:r>
    </w:p>
    <w:p w14:paraId="25AC4EE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呼图壁县交通运输局</w:t>
      </w:r>
    </w:p>
    <w:p w14:paraId="2E42761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贾娜尔</w:t>
      </w:r>
    </w:p>
    <w:p w14:paraId="6C30727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2025年05月21日</w:t>
      </w:r>
    </w:p>
    <w:p w14:paraId="47F63DF0">
      <w:pPr>
        <w:spacing w:line="700" w:lineRule="exact"/>
        <w:ind w:firstLine="708" w:firstLineChars="236"/>
        <w:jc w:val="left"/>
        <w:rPr>
          <w:rFonts w:hAnsi="宋体" w:eastAsia="仿宋_GB2312" w:cs="宋体"/>
          <w:kern w:val="0"/>
          <w:sz w:val="30"/>
          <w:szCs w:val="30"/>
        </w:rPr>
      </w:pPr>
    </w:p>
    <w:p w14:paraId="15897CB5">
      <w:pPr>
        <w:spacing w:line="540" w:lineRule="exact"/>
        <w:rPr>
          <w:rStyle w:val="18"/>
          <w:rFonts w:ascii="黑体" w:hAnsi="黑体" w:eastAsia="黑体"/>
          <w:b w:val="0"/>
          <w:spacing w:val="-4"/>
          <w:sz w:val="32"/>
          <w:szCs w:val="32"/>
        </w:rPr>
      </w:pPr>
    </w:p>
    <w:p w14:paraId="4533E9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F4D4A2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A54D11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落实《交通强国建设纲要》“推进四好农村路高质量发展”要求（第三章第八条），加强乡村振兴基础设施建设，推动农村公路联网补网强链'的决策部署。符合《农村公路中长期发展纲要（2021-2035年）》（交规划发〔2021〕21号）到2025年乡镇通三级路比例达85%的硬性指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由于本项目使用时间已接近设计使用年限，路面多处破损，导致沿线村庄交通不便，当地群众迫切要求对道路进行改造，提高公路的服务水平，以满足当地经济发展和居民快速、便捷、安全的出行要求。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本项目的建设可以解决道路通行问题，为农牧民增收提供保障。统筹规划。结合县域经济发展需求、交通流量预测及区域路网布局，合理确定改建路线和等级，注重与周边路网的衔接。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（1）项目名称：2024年车辆购置税收入补助地方（第一批）用于普通省道及农村公路建设“以奖代补”项目（以下简称“该项目”或“项目”）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建设意义重大，影响深远，主要建设必要性有以下几点，一是完善呼图壁县区域路网，改善道路行车条件、提高路网通行能力；二是带动呼图壁县旅游行业发展；三是促进呼图壁县南部山区煤矿业的发展；四是提高应急能力，满足道路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实施主体：呼图壁县农村公路养护管理站。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结合本县实际，按照农村公路路网规划，我局委托第三方公司于2021年10月完成X146线呼雀路项目可行性研究报告编制工作，项目分成一期、二期完成，项目于2021年11月完成社会稳定风险评估报告编制、完成环评等手续办理，于11月完成立项工作，二期项目于2023年3月完成施工监理招投标工作，开展26.3公里路基、路面桥涵及安全附属设施。于2024年1月完成呼图壁县2024年一般农村公路改建工程建设项目可行性研究报告编制工作，于2024年3月完成前期社会稳定风险评估报告、设计图编制等工作，于2024年5月完成施工监理招投标工作，完成县乡村道路路基路面、桥涵及安全附属设施。完善全县路网规划，开展路网核查工作，全面了解农村道路技术状况评定，为后期谋划建设农村公路项目提供良好的数据基础，全面筹措项目资金，做好前期规划，积极与第三方公司沟通协调，谋划好前期手续办理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严格管理与成本控制。加强工作联动，与发改委、财政局等部门协调，多方筹措项目资金，与上级主管部门跑办项目手续办理，积极申请债券资金及专项资金，完善呼图壁县农村公路路网规划设计。全过程管理：实施“设计-施工-验收”全流程监管，严控材料采购、施工工艺和验收标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项目建成后，将对完善重要农村公路路网有着重要的意义，有效改善当地沿线居民出行的条件，推动村、镇的农牧业经济发展，为乡村振兴奠定了扎实的基础。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农村公路建设项目立项等前期手续办理、招投标及项目管理、工程变更、计量支付、审计决算等工作；配合做好竣工验收、质量监督、质量鉴定等工作；负责农村公路安全隐患治理、应急抢险工作；指导各乡镇开展农村公路养护管理工作；配合编制农村公路年度建设、养护计划；负责农村公路养护工程及日常管理养护工作；负责更新完善农村公 路和桥梁技术档案；负责年度电子地图更新及养护统计年报工作。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本项目预算安排总额为3855.65万元，资金来源为车购税补助资金，其中：财政资金3855.65万元，其他资金0万元，2024年实际收到预算资金3855.65万元，预算资金到位率为100%。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3855.65万元，预算执行率100%。本项目资金主要用于支付2021年安全生命防护工程64.6万元、2021年通村油路工程164.7万元、呼图壁县林场村宁州户村414.11万元、石梯子乡小东沟项目107.36万元、五工台秦家庄210.75万元、呼图壁县呼图壁县G312-大丰镇联丰村-雀尔沟镇克孜勒塔斯村-霍斯铁热克村-雀尔沟村-西沟村-S101线公路改建工程二期费用428.64万元、呼图壁县Y222-牛场乡村道路建设项目费用557万元、呼图壁县2024年生命安全防护工程费用256.87万元、呼图壁县2024年养护大中修工程费用126万元、呼图壁县百泉村-大泉村-小泉村乡村道路建设项目费用1054.58万元、呼图壁县通村油路工程471.53万元。</w:t>
      </w:r>
    </w:p>
    <w:p w14:paraId="597C52A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259A0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3855.65万元用于完成呼图壁县各乡镇县乡道路路基、路面桥涵及交安设施内容，主要用于农村公路建设。完成147.965公里路基路面桥涵及安全附属设施，按照三、四级公路标准建设。完成农村公路“以奖代补”平台建设各项任务，通过实施本项目，提升我县农村公路等级，改善群众出行条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“完成农村公路工程改建长度”指标，预期指标值为“小于等于38.5公里”；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“公路改建涉及乡村个数”指标，预期指标值为“大于等于6个”；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“公路改建完工及时率”指标，预期指标值为“大于等于90%”；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“公路建设费用”指标，预期指标值为“等于100万元/公里”；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“改善农村公路道路路面环境”指标，预期指标值为“明显改善”；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“受益群众满意度”指标，预期指标值为“大于等于95%”；</w:t>
      </w:r>
    </w:p>
    <w:p w14:paraId="5211B91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C50724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6B809D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车辆购置税收入补助地方（第一批）用于普通省道及农村公路建设“以奖代补”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(5)《交通强国建设纲要》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(6)《农村公路中长期发展纲要（2021-2035年）》（交规划发〔2021〕21号）</w:t>
      </w:r>
    </w:p>
    <w:p w14:paraId="7CE3ECF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2C796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同时辅以关键绩效指标法。对项目进行评价，旨在通过综合分析影响绩效目标实现、实施效果的内外部因素，从而评价本项目绩效。三级指标分析环节：成本效益分析法，同时辅以关键绩效指标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对比项目实施的总成本（包括资金投入、资源消耗等）与产生的综合效益（如住房供应量增加、居民生活质量提升、社会稳定效应等），评估项目的经济性与社会价值。该方法强调以量化或定性方式衡量“投入是否值得”，重点关注资源使用效率与目标达成之间的平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关键绩效指标法（KPI）：选取与项目核心目标直接相关的量化指标进行评价。例如：建设效率：单位住房建设周期、竣工率；覆盖能力：保障性住房供应量占需求比例；可持续性：住房维护成本控制率、配套设施完善度。KPI法聚焦关键结果，通过数据直观反映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6C253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B6F89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袁保军（评价小组组长）：主要负责项目策划和监督，全面负责项目绩效评价办稿的最终质量，对评估人员出具的最终报告质量进行复核，确保评估结果的客观性；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李世康（评价小组组员）：主要负责资料的收集，取证、数据统计分析；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陈瑞（评价小组组员）：主要负责主要负责项目报告的制定，指标的研判，数据分析及报告撰写。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2025年3月10日-3月15日，评价工作进入实施阶段。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经调研了解，该项目主要受益群体包括呼图壁县各乡镇。我们根据绩效评价目标和绩效指标体系，设计满意度调查问卷进行问卷调查，其中对受益对象共选取样本30人，共发放问卷30份，最终收回30份；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A227DD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0F228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项目完成了38.5公里新改建农村公路路基路面、桥涵及安全附属设施，完善了县域内县乡村道路路网，改善了群众出行条件，消除了道路安全隐患，为群众出行提供了便利。但在实施过程中也存在一些不足：项目实施过程中，出现文档管理混乱：设计文档、操作手册等未及时更新或归档，影响后续维护。出现职责不清：团队成员角色模糊，导致推诿或重复劳动。沟通效率低：缺乏有效沟通机制（如例会、报告制度），信息传递滞后或失真。团队士气不足：高强度工作、缺乏激励或冲突未及时化解，导致效率下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5AEA99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477D52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E03DF2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项目决策类指标由6个二级指标和7个三级指标构成，权重分21.00分，实际得分21.00分。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根据《中华人民共和国公路法》和国务院《公路安全保护条例》等法律、行政法规及《农村公路中长期发展纲要（2021-2035年）》（交规划发〔2021〕21号中：“到2025年乡镇通三级路比例达85%的硬性指标。”，符合国家法律法规、国民经济发展规划和相关政策；本项目立项符合《新疆维吾尔自治区农村公路条例》中：“第四条 县级以上人民政府应当加强对农村公路工作的领导，将农村公路发展纳入国民经济和社会发展规划，建立健全农村公路工作机制，促进农村公路协调可持续发展。县（市、区）人民政府是农村公路规划、建设、养护、管理和运营的责任主体，建立健全农村公路管理养护责任制，加强养护管理能力建设。乡（镇）人民政府负责本行政区域内乡道、村道的建设和养护以及村道的管理。村（居）民委员会在乡（镇）人民政府的指导下，将村道的保护纳入村规民约，并协助做好乡道、村道的建设、养护和管理等相关工作。农村公路实行县、乡、村三级路长制，因地制宜建立健全路长管理责任体系和运行机制。各级路长根据职责负责相应的农村公路工作。”内容，符合行业发展规划和政策要求；本项目立项符合《呼图壁县单位配置内设机构和人员编制规定》中职责范围中的“负责全县农村公路建设管理及养护”，属于我单位履职所需；根据《财政资金直接支付申请书》，本项目资金性质为“公共财政预算”功能分类为“公路建设”经济分类为“基础设施建设”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础建设类模版：本项目根据文件要求，我单位上报《关于上报呼图壁县2024年一般农村公路建设项目可行性研究报告的请示》(呼交字〔2024〕28号)，经呼图壁县发展和改革委员会审核，下发《关于对呼图壁县2024年一般农村公路建设项目可行性研究（代项目建议书）的批复》（呼发改投资〔2024〕29号）批复文件，本项目正式设立。经查看，该项目立项过程产生的相关文件，符合相关要求。本项目为基础建设类项目，属于经常性项目，不涉及事前绩效评估和风险评估，已委托新疆立弓交通勘查设计研究院有限公司编制《关于对呼图壁县2024年一般农村公路建设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改建38.5公里公路，修建一个路基，项目完成合格率100%，改善农村公路道路路面环境”；本项目实际工作内容为：完成38.5公里农村公路改建工程；绩效目标与实际工作内容一致，两者具有相关性;本项目预算申请资金3855.65万元，预算确定资金量与实际工作任务相匹配。本项目按照绩效目标完成了数量指标、质量指标、时效指标、成本指标，有效保障了群众出行条件，改善了农村公路路网结构，消除了道路安全隐患，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本项目预算编制通过可行性研究报告编制得出，即预算编制较科学且经过论证；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完成38.5公里农村公路改建工程，项目实际内容为完成呼图壁县呼雀路项目前期可行性研究报告编制、社会稳定风险评估报告编制、环评等手续办理，完成呼图壁县2024年一般农村公路建设项目前期可行性研究报告编制、社会稳定风险评估报告编制、环评等手续办理，呼图壁县各乡镇县乡道路路基、路面桥涵及交安设施内容，主要用于农村公路建设。完成农村公路“以奖代补”平台建设各项任务，预算申请与《呼图壁县2024年一般农村公路改建工程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3855.65万元，我单位在预算申请中严格按照分项成本进行核算，其中：单位标准为3855.65万元，完成38.5公里改建项目。本项目资金主要用于支付2021年安全生命防护工程64.6万元、2021年通村油路工程164.7万元、呼图壁县林场村宁州户村414.105399万元、石梯子乡小东沟项目107.3550万元、五工台秦家庄210.751551万元、呼图壁县呼图壁县G312-大丰镇联丰村-雀尔沟镇克孜勒塔斯村-霍斯铁热克村-雀尔沟村-西沟村-S101线公路改建工程二期费用428.64万元、呼图壁县Y222-牛场乡村道路建设项目费用557万元、呼图壁县2024年生命安全防护工程费用256.87万元、呼图壁县2024年养护大中修工程费用126万元、呼图壁县百泉村-大泉村-小泉村乡村道路建设项目费用1054.5805万元、呼图壁县通村油路工程471.57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车辆购置税收入补助地方（第一批）用于普通省道及农村公路建设“以奖代补”项目资金的请示》和《呼图壁县2024年一般农村公路建设项目实施方案》为依据进行资金分配，预算资金分配依据充分。根据《关于申请2024年车辆购置税收入补助地方（第一批）用于普通省道及农村公路建设“以奖代补”项目资金的请示》文件显示，本项目实际到位资金3855.65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F76F36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1703D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3855.65万元，其中：本级财政安排资金3855.65万元，其他资金0万元，实际到位资金3855.65万元，资金到位率=（实际到位资金/预算资金）×100.00%=（3855.65/3855.65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本项目实际支出资金3855.65万元，预算执行率=（实际支出资金/实际到位资金）×100.00%=（3855.65/3855.65）*100.00%=100%。得分=预算执行率*分值=100%*5=5分。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交通运输局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交通运输局资金管理办法》《呼图壁县交通运输局收支业务管理制度》《呼图壁县交通运输局政府采购业务管理制度》《呼图壁县交通运输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质量鉴定等资料齐全并及时进行了归档。项目资金支出严格按照自治区、地区、市以及本单位资金管理办法执行，项目启动实施后，为了加快本项目的实施，成立了项目工作领导小组，由党组书记吴如俊任组长，负责项目的组织工作；袁保军任副组长，负责项目的实施工作；组员包括：李世康、陈瑞、王伊、王凯澄和贾娜尔，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16795F3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48335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“完成农村公路工程改建公里数”指标：预期指标值为“＜=38.5公里”，实际完成指标值为“=38.5公里”，指标完成率为100.0%。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“公路改建涉及乡村个数”指标：预期指标值为“＞=6个”，实际完成指标值为“涉及6个乡村”，指标完成率为100.0%。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“工程验收合格率”指标：预期指标值为“100%”，实际完成指标值为“验收合格率为100%”，指标完成率为100%。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“公路改建完工及时率”指标：预期指标值为“＞=90%”，实际完成指标值为“＞=90%”，指标完成率为100%。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“公路建设费用”指标：预期指标值为“=100万元/公里”，实际完成指标值为“=100万元/公里”，指标完成率为100%。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069E3F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03D312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“改善农村公路道路路面环境”指标：预期指标值为“明显改善”，实际完成指标值为“达到预期指标”，指标完成率为100%。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DB6BC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7A08592">
      <w:pPr>
        <w:spacing w:line="540" w:lineRule="exact"/>
        <w:ind w:firstLine="567"/>
        <w:rPr>
          <w:rStyle w:val="18"/>
          <w:rFonts w:hint="eastAsia" w:ascii="楷体" w:hAnsi="楷体" w:eastAsia="楷体"/>
          <w:b w:val="0"/>
          <w:bCs w:val="0"/>
          <w:spacing w:val="-4"/>
          <w:sz w:val="32"/>
          <w:szCs w:val="32"/>
        </w:rPr>
      </w:pPr>
    </w:p>
    <w:p w14:paraId="5B92A81B">
      <w:pPr>
        <w:spacing w:line="540" w:lineRule="exact"/>
        <w:ind w:firstLine="567"/>
        <w:rPr>
          <w:rStyle w:val="18"/>
          <w:rFonts w:ascii="楷体" w:hAnsi="楷体" w:eastAsia="楷体"/>
          <w:spacing w:val="-4"/>
          <w:sz w:val="32"/>
          <w:szCs w:val="32"/>
        </w:rPr>
      </w:pPr>
    </w:p>
    <w:p w14:paraId="65FA28F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B338C7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为切实规范专项资金管理，保障资金安全、高效运行，发挥资金使用效益，该项目设立专用</w:t>
      </w:r>
      <w:r>
        <w:rPr>
          <w:rStyle w:val="18"/>
          <w:rFonts w:hint="eastAsia" w:ascii="楷体" w:hAnsi="楷体" w:eastAsia="楷体"/>
          <w:b w:val="0"/>
          <w:bCs w:val="0"/>
          <w:spacing w:val="-4"/>
          <w:sz w:val="32"/>
          <w:szCs w:val="32"/>
          <w:lang w:eastAsia="zh-CN"/>
        </w:rPr>
        <w:t>账号</w:t>
      </w:r>
      <w:r>
        <w:rPr>
          <w:rStyle w:val="18"/>
          <w:rFonts w:hint="eastAsia" w:ascii="楷体" w:hAnsi="楷体" w:eastAsia="楷体"/>
          <w:b w:val="0"/>
          <w:bCs w:val="0"/>
          <w:spacing w:val="-4"/>
          <w:sz w:val="32"/>
          <w:szCs w:val="32"/>
        </w:rPr>
        <w:t>，专款专用。同时，本项目规划资金全部纳</w:t>
      </w:r>
      <w:bookmarkStart w:id="0" w:name="_GoBack"/>
      <w:bookmarkEnd w:id="0"/>
      <w:r>
        <w:rPr>
          <w:rStyle w:val="18"/>
          <w:rFonts w:hint="eastAsia" w:ascii="楷体" w:hAnsi="楷体" w:eastAsia="楷体"/>
          <w:b w:val="0"/>
          <w:bCs w:val="0"/>
          <w:spacing w:val="-4"/>
          <w:sz w:val="32"/>
          <w:szCs w:val="32"/>
        </w:rPr>
        <w:t>入专用</w:t>
      </w:r>
      <w:r>
        <w:rPr>
          <w:rStyle w:val="18"/>
          <w:rFonts w:hint="eastAsia" w:ascii="楷体" w:hAnsi="楷体" w:eastAsia="楷体"/>
          <w:b w:val="0"/>
          <w:bCs w:val="0"/>
          <w:spacing w:val="-4"/>
          <w:sz w:val="32"/>
          <w:szCs w:val="32"/>
          <w:lang w:eastAsia="zh-CN"/>
        </w:rPr>
        <w:t>账号</w:t>
      </w:r>
      <w:r>
        <w:rPr>
          <w:rStyle w:val="18"/>
          <w:rFonts w:hint="eastAsia" w:ascii="楷体" w:hAnsi="楷体" w:eastAsia="楷体"/>
          <w:b w:val="0"/>
          <w:bCs w:val="0"/>
          <w:spacing w:val="-4"/>
          <w:sz w:val="32"/>
          <w:szCs w:val="32"/>
        </w:rPr>
        <w:t>，建立专款专用制度，专项资金实行“专人管理、专户储存、专账核算、专项使用”。严格执行项目资金批准的使用计划和项目批复内容，不准擅自调项、扩项、缩项，更不准拆借、挪用、挤占和随意扣压；资金拨付动向，按不同专项资金的要求执行，不准任意改变；特殊情况，必须请示。建设期的资金由项目领导小组管理，根据建设进度和设备购置安装情况决定资金的调配，确保资金及时筹集和安全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过程中，一是时效指标完成过程中出现工期无法按照原定计划实施的情况。二是文档管理混乱：设计文档、操作手册等未及时更新或归档，影响后续维护。三是出现职责不清：团队成员角色模糊，导致推诿或重复劳动。四是沟通效率低：缺乏有效沟通机制（如例会、报告制度），信息传递滞后或失真。团队士气不足：高强度工作、缺乏激励或冲突未及时化解，导致效率下降。</w:t>
      </w:r>
    </w:p>
    <w:p w14:paraId="0067E2B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85136A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高度重视，全力做好农村公路建设项目管理工作，倒排工期，加快施工进度，确保项目按照原定工期计划顺利完工并通车。二是指定资料管理专干，做好项目资料整理、归档工作，完善项目全部资料。三是明确责任分工，严格按照分工任务，完成项目管理工作。四是加强工作联动，加强部门协同，遇到难题沟通协调及时解决问题。</w:t>
      </w:r>
    </w:p>
    <w:p w14:paraId="2DBEE4D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7E64F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附件：项目支出绩效评价体系（根据报告内容，填写完善附件表格内容）</w:t>
      </w:r>
    </w:p>
    <w:p w14:paraId="1E296B0F">
      <w:pPr>
        <w:spacing w:line="540" w:lineRule="exact"/>
        <w:ind w:firstLine="567"/>
        <w:rPr>
          <w:rStyle w:val="18"/>
          <w:rFonts w:ascii="仿宋" w:hAnsi="仿宋" w:eastAsia="仿宋"/>
          <w:b w:val="0"/>
          <w:spacing w:val="-4"/>
          <w:sz w:val="32"/>
          <w:szCs w:val="32"/>
        </w:rPr>
      </w:pPr>
    </w:p>
    <w:p w14:paraId="5B37636B">
      <w:pPr>
        <w:spacing w:line="540" w:lineRule="exact"/>
        <w:ind w:firstLine="567"/>
        <w:rPr>
          <w:rStyle w:val="18"/>
          <w:rFonts w:ascii="仿宋" w:hAnsi="仿宋" w:eastAsia="仿宋"/>
          <w:b w:val="0"/>
          <w:spacing w:val="-4"/>
          <w:sz w:val="32"/>
          <w:szCs w:val="32"/>
        </w:rPr>
      </w:pPr>
    </w:p>
    <w:p w14:paraId="71A981E6">
      <w:pPr>
        <w:spacing w:line="540" w:lineRule="exact"/>
        <w:ind w:firstLine="567"/>
        <w:rPr>
          <w:rStyle w:val="18"/>
          <w:rFonts w:ascii="仿宋" w:hAnsi="仿宋" w:eastAsia="仿宋"/>
          <w:b w:val="0"/>
          <w:spacing w:val="-4"/>
          <w:sz w:val="32"/>
          <w:szCs w:val="32"/>
        </w:rPr>
      </w:pPr>
    </w:p>
    <w:p w14:paraId="1D0906A0">
      <w:pPr>
        <w:spacing w:line="540" w:lineRule="exact"/>
        <w:ind w:firstLine="567"/>
        <w:rPr>
          <w:rStyle w:val="18"/>
          <w:rFonts w:ascii="仿宋" w:hAnsi="仿宋" w:eastAsia="仿宋"/>
          <w:b w:val="0"/>
          <w:spacing w:val="-4"/>
          <w:sz w:val="32"/>
          <w:szCs w:val="32"/>
        </w:rPr>
      </w:pPr>
    </w:p>
    <w:p w14:paraId="79F4727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C62D056">
        <w:pPr>
          <w:pStyle w:val="12"/>
          <w:jc w:val="center"/>
        </w:pPr>
        <w:r>
          <w:fldChar w:fldCharType="begin"/>
        </w:r>
        <w:r>
          <w:instrText xml:space="preserve">PAGE   \* MERGEFORMAT</w:instrText>
        </w:r>
        <w:r>
          <w:fldChar w:fldCharType="separate"/>
        </w:r>
        <w:r>
          <w:rPr>
            <w:lang w:val="zh-CN"/>
          </w:rPr>
          <w:t>2</w:t>
        </w:r>
        <w:r>
          <w:fldChar w:fldCharType="end"/>
        </w:r>
      </w:p>
    </w:sdtContent>
  </w:sdt>
  <w:p w14:paraId="4AC6CA5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D3B3499"/>
    <w:rsid w:val="3029612C"/>
    <w:rsid w:val="32A221C5"/>
    <w:rsid w:val="33F20F2A"/>
    <w:rsid w:val="34C44675"/>
    <w:rsid w:val="3B5B5607"/>
    <w:rsid w:val="3CE21B3C"/>
    <w:rsid w:val="421521D5"/>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10989</Words>
  <Characters>11812</Characters>
  <Lines>4</Lines>
  <Paragraphs>1</Paragraphs>
  <TotalTime>12</TotalTime>
  <ScaleCrop>false</ScaleCrop>
  <LinksUpToDate>false</LinksUpToDate>
  <CharactersWithSpaces>11833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2025-09-22T08:40:18Z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