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B9DB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CD466B4">
      <w:pPr>
        <w:spacing w:line="540" w:lineRule="exact"/>
        <w:jc w:val="center"/>
        <w:rPr>
          <w:rFonts w:ascii="华文中宋" w:hAnsi="华文中宋" w:eastAsia="华文中宋" w:cs="宋体"/>
          <w:b/>
          <w:kern w:val="0"/>
          <w:sz w:val="52"/>
          <w:szCs w:val="52"/>
        </w:rPr>
      </w:pPr>
    </w:p>
    <w:p w14:paraId="288B01E8">
      <w:pPr>
        <w:spacing w:line="540" w:lineRule="exact"/>
        <w:jc w:val="center"/>
        <w:rPr>
          <w:rFonts w:ascii="华文中宋" w:hAnsi="华文中宋" w:eastAsia="华文中宋" w:cs="宋体"/>
          <w:b/>
          <w:kern w:val="0"/>
          <w:sz w:val="52"/>
          <w:szCs w:val="52"/>
        </w:rPr>
      </w:pPr>
    </w:p>
    <w:p w14:paraId="2C95FDD6">
      <w:pPr>
        <w:spacing w:line="540" w:lineRule="exact"/>
        <w:jc w:val="center"/>
        <w:rPr>
          <w:rFonts w:ascii="华文中宋" w:hAnsi="华文中宋" w:eastAsia="华文中宋" w:cs="宋体"/>
          <w:b/>
          <w:kern w:val="0"/>
          <w:sz w:val="52"/>
          <w:szCs w:val="52"/>
        </w:rPr>
      </w:pPr>
    </w:p>
    <w:p w14:paraId="1EC7190D">
      <w:pPr>
        <w:spacing w:line="540" w:lineRule="exact"/>
        <w:jc w:val="center"/>
        <w:rPr>
          <w:rFonts w:ascii="华文中宋" w:hAnsi="华文中宋" w:eastAsia="华文中宋" w:cs="宋体"/>
          <w:b/>
          <w:kern w:val="0"/>
          <w:sz w:val="52"/>
          <w:szCs w:val="52"/>
        </w:rPr>
      </w:pPr>
    </w:p>
    <w:p w14:paraId="723A6AC6">
      <w:pPr>
        <w:spacing w:line="540" w:lineRule="exact"/>
        <w:jc w:val="center"/>
        <w:rPr>
          <w:rFonts w:ascii="华文中宋" w:hAnsi="华文中宋" w:eastAsia="华文中宋" w:cs="宋体"/>
          <w:b/>
          <w:kern w:val="0"/>
          <w:sz w:val="52"/>
          <w:szCs w:val="52"/>
        </w:rPr>
      </w:pPr>
    </w:p>
    <w:p w14:paraId="0CFEB075">
      <w:pPr>
        <w:spacing w:line="540" w:lineRule="exact"/>
        <w:jc w:val="center"/>
        <w:rPr>
          <w:rFonts w:ascii="华文中宋" w:hAnsi="华文中宋" w:eastAsia="华文中宋" w:cs="宋体"/>
          <w:b/>
          <w:kern w:val="0"/>
          <w:sz w:val="52"/>
          <w:szCs w:val="52"/>
        </w:rPr>
      </w:pPr>
    </w:p>
    <w:p w14:paraId="6F6E012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D2943DC">
      <w:pPr>
        <w:spacing w:line="540" w:lineRule="exact"/>
        <w:jc w:val="center"/>
        <w:rPr>
          <w:rFonts w:ascii="华文中宋" w:hAnsi="华文中宋" w:eastAsia="华文中宋" w:cs="宋体"/>
          <w:b/>
          <w:kern w:val="0"/>
          <w:sz w:val="52"/>
          <w:szCs w:val="52"/>
        </w:rPr>
      </w:pPr>
    </w:p>
    <w:p w14:paraId="3278A02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264BFAD">
      <w:pPr>
        <w:spacing w:line="540" w:lineRule="exact"/>
        <w:jc w:val="center"/>
        <w:rPr>
          <w:rFonts w:hAnsi="宋体" w:eastAsia="仿宋_GB2312" w:cs="宋体"/>
          <w:kern w:val="0"/>
          <w:sz w:val="30"/>
          <w:szCs w:val="30"/>
        </w:rPr>
      </w:pPr>
    </w:p>
    <w:p w14:paraId="31F6A066">
      <w:pPr>
        <w:spacing w:line="540" w:lineRule="exact"/>
        <w:jc w:val="center"/>
        <w:rPr>
          <w:rFonts w:hAnsi="宋体" w:eastAsia="仿宋_GB2312" w:cs="宋体"/>
          <w:kern w:val="0"/>
          <w:sz w:val="30"/>
          <w:szCs w:val="30"/>
        </w:rPr>
      </w:pPr>
    </w:p>
    <w:p w14:paraId="622A9290">
      <w:pPr>
        <w:spacing w:line="540" w:lineRule="exact"/>
        <w:jc w:val="center"/>
        <w:rPr>
          <w:rFonts w:hAnsi="宋体" w:eastAsia="仿宋_GB2312" w:cs="宋体"/>
          <w:kern w:val="0"/>
          <w:sz w:val="30"/>
          <w:szCs w:val="30"/>
        </w:rPr>
      </w:pPr>
    </w:p>
    <w:p w14:paraId="3E6B3947">
      <w:pPr>
        <w:spacing w:line="540" w:lineRule="exact"/>
        <w:jc w:val="center"/>
        <w:rPr>
          <w:rFonts w:hAnsi="宋体" w:eastAsia="仿宋_GB2312" w:cs="宋体"/>
          <w:kern w:val="0"/>
          <w:sz w:val="30"/>
          <w:szCs w:val="30"/>
        </w:rPr>
      </w:pPr>
    </w:p>
    <w:p w14:paraId="24132630">
      <w:pPr>
        <w:spacing w:line="540" w:lineRule="exact"/>
        <w:jc w:val="center"/>
        <w:rPr>
          <w:rFonts w:hAnsi="宋体" w:eastAsia="仿宋_GB2312" w:cs="宋体"/>
          <w:kern w:val="0"/>
          <w:sz w:val="30"/>
          <w:szCs w:val="30"/>
        </w:rPr>
      </w:pPr>
    </w:p>
    <w:p w14:paraId="690FE7AA">
      <w:pPr>
        <w:spacing w:line="540" w:lineRule="exact"/>
        <w:jc w:val="center"/>
        <w:rPr>
          <w:rFonts w:hAnsi="宋体" w:eastAsia="仿宋_GB2312" w:cs="宋体"/>
          <w:kern w:val="0"/>
          <w:sz w:val="30"/>
          <w:szCs w:val="30"/>
        </w:rPr>
      </w:pPr>
    </w:p>
    <w:p w14:paraId="4CE33148">
      <w:pPr>
        <w:spacing w:line="540" w:lineRule="exact"/>
        <w:rPr>
          <w:rFonts w:hAnsi="宋体" w:eastAsia="仿宋_GB2312" w:cs="宋体"/>
          <w:kern w:val="0"/>
          <w:sz w:val="30"/>
          <w:szCs w:val="30"/>
        </w:rPr>
      </w:pPr>
    </w:p>
    <w:p w14:paraId="209ED5D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3C53735">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2024年中央财政就业补助资金项目</w:t>
      </w:r>
    </w:p>
    <w:p w14:paraId="141A811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呼图壁县人力资源和社会保障局</w:t>
      </w:r>
    </w:p>
    <w:p w14:paraId="0638CAD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呼图壁县人力资源和社会保障局</w:t>
      </w:r>
    </w:p>
    <w:p w14:paraId="79D2204D">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张彩霞</w:t>
      </w:r>
    </w:p>
    <w:p w14:paraId="27E0623F">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067FEE12">
      <w:pPr>
        <w:spacing w:line="700" w:lineRule="exact"/>
        <w:ind w:firstLine="708" w:firstLineChars="236"/>
        <w:jc w:val="left"/>
        <w:rPr>
          <w:rFonts w:hAnsi="宋体" w:eastAsia="仿宋_GB2312" w:cs="宋体"/>
          <w:kern w:val="0"/>
          <w:sz w:val="30"/>
          <w:szCs w:val="30"/>
        </w:rPr>
      </w:pPr>
    </w:p>
    <w:p w14:paraId="6F752B3B">
      <w:pPr>
        <w:spacing w:line="540" w:lineRule="exact"/>
        <w:rPr>
          <w:rStyle w:val="18"/>
          <w:rFonts w:ascii="黑体" w:hAnsi="黑体" w:eastAsia="黑体"/>
          <w:b w:val="0"/>
          <w:spacing w:val="-4"/>
          <w:sz w:val="32"/>
          <w:szCs w:val="32"/>
        </w:rPr>
      </w:pPr>
    </w:p>
    <w:p w14:paraId="3CDA12E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03F7D2E">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7EEBF6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深入贯彻落实国家就业优先战略，规范就业补助资金管理，提高资金的使用效益，切实发挥财政资金在促进就业、稳定就业局势中的重要作用，同时为全面了解就业补助资金的投入、使用、管理以及产出效益情况，发现资金使用过程中存在的问题，总结经验教训，为进一步优化政策设计、完善资金管理、提升资金效应提供依据。根据《关于印发新疆维吾尔自治区就业资金管理暂行办法的通知》（新财社〔2018〕241号)、《关于印发&lt;新疆维吾尔自治区社会保险补贴办法&gt;的通知》（新人社规〔2020〕1号）《关于印发&lt;昌吉州就业资金使用管理实施细则&gt;的通知》（昌州财社〔2019〕97号）、《关于提前下达2024年中央财政就业补助资金的通知》（昌州财社〔2023〕59号)及2024年初财政预算县级配套就业补助资金精神，呼图壁县通过向符合政策的单位及个人发放社会保险各项惠企利民创业扶持政策实施，降低了企业及个人就业创业成本的同时，确保了全县就业局势的整体稳定。按照绩效评价工作的安排，对2024年就业补助资金项目开展绩效评价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（1）项目名称：2024年就业补助资金项目（以下简称“该项目”或“项目”）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该项目用于我县2024年各类就业补助支出，主要用于职业培训补贴、职业技能鉴定补贴、社会保险补贴、公益性岗位补贴、创业补贴、就业见习补贴、求职创业补贴、就业创业服务补助和高技能人才培养补助等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实施主体：呼图壁县人力资源和社会保障局。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该项目自2024年1月1日开始实施，具体由呼图壁县人力资源和社会保障局就业科、呼图壁县公共就业服务中心负责实施，上述2个部门主要按照各自的职责分工依据区州相关就业政策进行业务的审核，审核后于财政部门形成会审报县人民政府按照就业补助资金拨付流程进行拨付，项目主动接受昌吉州委托的第三方或者审计部门进行审计查验，项目实施一年来我县实现城镇新增就业3168人，就业困难人员再就业213人，新增就业及创业带动就业等各项指标均完成了年初昌吉州下达的各项指标任务，为确保全县就业局势的整体稳定打下了坚实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2024年就业补助项目的实施主体为呼图壁县人力资源和社会保障局。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贯彻执行国家、自治区、自治州人力资源和社会保障事业发展规划、政策；拟订人力资源和社会保障相关措施并组织实施和监督检查；负责促进就业和创业工作。拟订统筹城乡就业和创业发展规划，组织实施城乡就业政策，完善公共就业和创业服务体系；组织落实就业援助制度、职业资格制度相关政策，统筹建立面向城乡劳动者的职业培训制度；组织落实高校毕业生就业政策，会同有关部门组织实施高技能人才、农村实用人才培养和激励政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该单位纳入2024年部门决算编制范围的有5个科室，分别是：党政办公室，就业培训科，事业单位管理办公室，社会保障办公室，劳动监察大队（仲裁院）等。编制人数为28人，其中：行政人员编制9人、工勤1人、事业编制18人；实有在职人数27人，其中：行政在职9人、工勤1人、事业在职18人。离退休人员15人，其中：行政退休人员14人、工勤1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w:t>
      </w:r>
      <w:r>
        <w:rPr>
          <w:rStyle w:val="18"/>
          <w:rFonts w:hint="eastAsia" w:ascii="楷体" w:hAnsi="楷体" w:eastAsia="楷体"/>
          <w:b w:val="0"/>
          <w:bCs w:val="0"/>
          <w:spacing w:val="-4"/>
          <w:sz w:val="32"/>
          <w:szCs w:val="32"/>
          <w:lang w:eastAsia="zh-CN"/>
        </w:rPr>
        <w:t>1521.50</w:t>
      </w:r>
      <w:r>
        <w:rPr>
          <w:rStyle w:val="18"/>
          <w:rFonts w:hint="eastAsia" w:ascii="楷体" w:hAnsi="楷体" w:eastAsia="楷体"/>
          <w:b w:val="0"/>
          <w:bCs w:val="0"/>
          <w:spacing w:val="-4"/>
          <w:sz w:val="32"/>
          <w:szCs w:val="32"/>
        </w:rPr>
        <w:t>万元，资金来源为中央直达资金以及县级配套就业补助资金，其中：下达2024年中央就业补助项目资金1043万，2024年县级配套（前后2批）就业补助资金478.5</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万元，2024年实际收到预算资金</w:t>
      </w:r>
      <w:r>
        <w:rPr>
          <w:rStyle w:val="18"/>
          <w:rFonts w:hint="eastAsia" w:ascii="楷体" w:hAnsi="楷体" w:eastAsia="楷体"/>
          <w:b w:val="0"/>
          <w:bCs w:val="0"/>
          <w:spacing w:val="-4"/>
          <w:sz w:val="32"/>
          <w:szCs w:val="32"/>
          <w:lang w:eastAsia="zh-CN"/>
        </w:rPr>
        <w:t>1521.50</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w:t>
      </w:r>
      <w:r>
        <w:rPr>
          <w:rStyle w:val="18"/>
          <w:rFonts w:hint="eastAsia" w:ascii="楷体" w:hAnsi="楷体" w:eastAsia="楷体"/>
          <w:b w:val="0"/>
          <w:bCs w:val="0"/>
          <w:spacing w:val="-4"/>
          <w:sz w:val="32"/>
          <w:szCs w:val="32"/>
          <w:lang w:eastAsia="zh-CN"/>
        </w:rPr>
        <w:t>1521.50</w:t>
      </w:r>
      <w:r>
        <w:rPr>
          <w:rStyle w:val="18"/>
          <w:rFonts w:hint="eastAsia" w:ascii="楷体" w:hAnsi="楷体" w:eastAsia="楷体"/>
          <w:b w:val="0"/>
          <w:bCs w:val="0"/>
          <w:spacing w:val="-4"/>
          <w:sz w:val="32"/>
          <w:szCs w:val="32"/>
        </w:rPr>
        <w:t>万元，预算执行率100%。项目资金主要用于各类就业补助支出。其中社会保险补贴的标准为符合条件的用人单位和个人，按如下标准给予最长不超过3年的社会保险补贴，除公益性岗位社会保险补贴标准以自治区上年度职工社会平均工资的60%为缴费基数计算，其他补贴标准最高不超过自治区上年度职工社会平均工资的100%为缴费基数计算的社会保险费。各类企业新招用劳动者的社会保险补贴，按企业实际缴纳基本养老保险费的50%给予补贴。其中招用高校毕业生和就业困难人员的社会保险补贴标准，按企业实际缴纳的基本养老保险、基本医疗保险、失业保险费之和给予补贴；中小微企业、劳动密集型企业和困难企业招用劳动者的社会保险补贴标准，按企业实际缴纳的基本养老保险费给予全额补贴公益性岗位就业人员的社会保险补贴标准，按照单位为其缴纳的基本养老保险、基本医疗保险和失业保险费之和给予补贴；灵活就业人员的社会保险补贴标准，按其本人实际缴纳的基本养老保险费给予补贴；自主创业人员社会保险补贴标准，按其本人实际缴纳的基本养老保险费给予补贴；公益性岗位就业人员的岗位补贴标准：公益岗人员岗位补贴标准为原则上不高于当地最低工资标准。2024年支付灵活就业社会保险补贴1286人次690.2万元；自主创业社会保险补贴412人次232.3万元；公益岗岗位及社保补贴116人次126.3万元；求职创业补贴7人次0.7万元；就业见习补贴2人次0.8万元；职业技能培训补贴21人次2.6万元；企业吸纳一般劳动者（高校毕业生、就业困难人员）社保补贴1065人次468.6万元。</w:t>
      </w:r>
    </w:p>
    <w:p w14:paraId="0901890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5A9A47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来，我县以习近平新时代中国特色社会主义思想为指导，全面贯彻党的二十大和二十届三中全会精神，落实国务院关于就业优先战略促进高质量充分就业的意见精神，把就业作为做大的民生工程、民心工程、根基工程，作为改善民生、维护社会稳定和长治久安的重要举措，全年实现城镇新增就业3000人以上，就业困难人员再就业200人以上，城镇登记失业率控制在3.5%以内，确保全县就业局势保持总体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“享受社会保险补贴的人数”指标，预期指标值为“&gt;=1800人”；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“享受公益岗岗位补贴的人数”指标，预期指标值为“&gt;=50人”。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“享受求职创业补贴的人数”指标，预期指标值为“&gt;=9人”；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“社会保险补贴的发放准确率”指标，预期指标值为“&gt;=98%”；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“公益岗岗位补贴的发放准确率”指标，预期指标值为“&gt;=98%”；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“求职创业补贴的发放准确率”指标，预期指标值为“&gt;=98%”。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“资金在规定时间内的下达率”指标，预期指标值为“&gt;=95%”（2）项目成本指标指标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“公益性岗位月补贴人均标准”指标，预期指标值为“&lt;=1700元/月”；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“降低全县预期失业率”指标，预期指标值为“不断降低”。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“公共就业服务满意度”指标，预期指标值为“&gt;=85%”；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“就业扶持政策经办服务满意度”指标，预期指标值为“&gt;=85%”。</w:t>
      </w:r>
    </w:p>
    <w:p w14:paraId="43C4DCD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AB5557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6A5563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全面了解呼图壁县人社局就业专项资金项目资金的使用情况以及取得的综合绩效，以便总结项目实施经验，发现项目过程中存在的问题，进一步加强和规范项目资金管理，完善项目和资金管理办法，指导预算编制和绩效目标、优化财政支出结构提供决策参考和依据，以保证项目资金使用管理的规范性、安全性和有效性，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此次我单位根据《财政支出绩效评价管理暂行办法》（财预〔2020〕10号）文件要求实施评价工作，本次评价对象为2024年就业补助资金项目，评价核心为项目资金、项目产出、项目效益。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对2024年度我单位实施的就业补助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（5）《新疆维吾尔自治区就业资金管理暂行办法》（新财社〔2018〕241号）；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（6）补贴发放明细表。</w:t>
      </w:r>
    </w:p>
    <w:p w14:paraId="6E5EA55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D85843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就业补助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对项目进行评价，旨在通过综合分析影响绩效目标实现、实施效果的内外部因素，从而评价本项目绩效。三级指标分析环节：总体采用比较法以及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733D3D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5CF3B6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3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张彩霞（评价小组组长）：主要负责项目策划和监督，全面负责项目绩效评价办稿的最终质量，对评估人员出具的最终报告质量进行复核，确保评估结果的客观性；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王东亮、杨素兰、刘雨杰、张梅梅（评价小组组员）：主要负责资料的收集，取证、数据统计分析；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丁美娟、魏永新（评价小组组员）：主要负责主要负责项目报告的制定，指标的研判，数据分析及报告撰写。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2025年3月8日-3月15日，评价工作进入实施阶段。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公益岗安置人员、高校毕业生、企业吸纳就业人员等。我们根据绩效评价目标和绩效指标体系，设计满意度调查问卷进行问卷调查，其中公益岗类受益对象共选取样本3人，共发放问卷3份，最终收回3份；企业吸纳就业人员类受益对象共选取样本17人，共发放问卷17份，最终收回17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2025年3月21-3月29日，评价小组撰写绩效评价报告，按照新疆维吾尔自治区财政绩效管理信息系统绩效评价模块中统一格式和文本框架撰写绩效评价报告并提交审核。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建立和落实档案管理制度，将项目相关资料存档，包括但不限于：评价项目基本情况和上级下达就业补助资金文件、县级申请支出就业资金文件、评价实施方案、项目支付凭证资料等相关档案。</w:t>
      </w:r>
    </w:p>
    <w:p w14:paraId="38B1918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48B58E4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享受社会保险补贴的人数”产出目标，发挥了就业补助资金在安置就业困难人员、鼓励企业吸纳就业开拓就业岗位、稳定就业岗位，确保全县就业整体局势稳定的社会效益。但在实施过程中也存在一些不足：指标的设置还不够精准，例如在“享受求职创业补贴的人数”这一指标的设置上，年初依据往年的完成情况设定了指标，但年内实际申报少于年初预期人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w:t>
      </w:r>
      <w:bookmarkStart w:id="0" w:name="_GoBack"/>
      <w:bookmarkEnd w:id="0"/>
      <w:r>
        <w:rPr>
          <w:rStyle w:val="18"/>
          <w:rFonts w:hint="eastAsia" w:ascii="楷体" w:hAnsi="楷体" w:eastAsia="楷体"/>
          <w:b w:val="0"/>
          <w:bCs w:val="0"/>
          <w:spacing w:val="-4"/>
          <w:sz w:val="32"/>
          <w:szCs w:val="32"/>
        </w:rPr>
        <w:t>论证的评价指标体系及评分标准，采用因素分析法和比较法对本项目绩效进行客观评价，本项目共设置三级指标数量22个，实现三级指标数量21个，总体完成率为</w:t>
      </w:r>
      <w:r>
        <w:rPr>
          <w:rStyle w:val="18"/>
          <w:rFonts w:hint="eastAsia" w:ascii="楷体" w:hAnsi="楷体" w:eastAsia="楷体"/>
          <w:b w:val="0"/>
          <w:bCs w:val="0"/>
          <w:spacing w:val="-4"/>
          <w:sz w:val="32"/>
          <w:szCs w:val="32"/>
          <w:lang w:val="en-US" w:eastAsia="zh-CN"/>
        </w:rPr>
        <w:t>100.00</w:t>
      </w:r>
      <w:r>
        <w:rPr>
          <w:rStyle w:val="18"/>
          <w:rFonts w:hint="eastAsia" w:ascii="楷体" w:hAnsi="楷体" w:eastAsia="楷体"/>
          <w:b w:val="0"/>
          <w:bCs w:val="0"/>
          <w:spacing w:val="-4"/>
          <w:sz w:val="32"/>
          <w:szCs w:val="32"/>
        </w:rPr>
        <w:t>%。最终评分结果：总分为</w:t>
      </w:r>
      <w:r>
        <w:rPr>
          <w:rStyle w:val="18"/>
          <w:rFonts w:hint="eastAsia" w:ascii="楷体" w:hAnsi="楷体" w:eastAsia="楷体"/>
          <w:b w:val="0"/>
          <w:bCs w:val="0"/>
          <w:spacing w:val="-4"/>
          <w:sz w:val="32"/>
          <w:szCs w:val="32"/>
          <w:lang w:val="en-US" w:eastAsia="zh-CN"/>
        </w:rPr>
        <w:t>95.86</w:t>
      </w:r>
      <w:r>
        <w:rPr>
          <w:rStyle w:val="18"/>
          <w:rFonts w:hint="eastAsia" w:ascii="楷体" w:hAnsi="楷体" w:eastAsia="楷体"/>
          <w:b w:val="0"/>
          <w:bCs w:val="0"/>
          <w:spacing w:val="-4"/>
          <w:sz w:val="32"/>
          <w:szCs w:val="32"/>
        </w:rPr>
        <w:t>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项目产出类指标共设置7个，满分指标6个，得分率94.35%；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w:t>
      </w:r>
    </w:p>
    <w:p w14:paraId="1018F188">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084EA67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5768DD4">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就业促进法》（2007年8月30日第十届全国人民代表大会常务委员会第二十九次会议通过）、《中华人民共和国就业促进法&lt;办法&gt;》（2011年12月1日新疆维吾尔自治区第十一届人民代表大会常务委员会第三十二次会议通过）中“国家实施有利于促进就业的财政政策，加大资金投入，改善就业环境，扩大就业。县级以上人民政府应当根据就业状况和就业工作目标，在财政预算中安排就业专项资金用于促进就业工作”，符合国家法律法规、国民经济发展规划和相关政策；本项目立项符合《就业促进法中》中：“就业专项资金用于职业介绍、职业培训、公益性岗位、职业技能鉴定、特定就业政策和社会保险等的补贴”的内容，符合行业发展规划和政策要求；本项目立项符合《呼图壁县人力资源和社会保障局单位配置内设机构和人员编制规定》中职责范围中的“负责促进就业和创业工作。拟订统筹城乡就业和创业发展规划，组织实施城乡就业政策，完善公共就业和创业服务体系；组织落实就业援助制度、职业资格制度相关政策，统筹建立面向城乡劳动者的职业培训制度；组织落实高校毕业生就业政策，会同有关部门组织实施高技能人才、农村实用人才培养和激励政策”，属于我单位履职所需；根据《财政资金直接支付申请书》，本项目资金性质为“公共财政预算”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印发&lt;新疆维吾尔自治区就业资金管理暂行办法&gt;的通知》（新财社【2018】241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主要用于发放职业培训补贴、职业技能鉴定补贴、社会保险补贴、公益性岗位补贴、见习补贴、创业补贴、求职创业补贴、就业创业服务补助、国家级高技能人才培训基地和技能大师工作室补助等支出。通过项目的实施，提高全县就业局势整体稳定。本项目实际工作内容为截至2024年12月31日，该项目实际完成发放</w:t>
      </w:r>
      <w:r>
        <w:rPr>
          <w:rStyle w:val="18"/>
          <w:rFonts w:hint="eastAsia" w:ascii="楷体" w:hAnsi="楷体" w:eastAsia="楷体"/>
          <w:b w:val="0"/>
          <w:bCs w:val="0"/>
          <w:spacing w:val="-4"/>
          <w:sz w:val="32"/>
          <w:szCs w:val="32"/>
          <w:lang w:eastAsia="zh-CN"/>
        </w:rPr>
        <w:t>1521.50</w:t>
      </w:r>
      <w:r>
        <w:rPr>
          <w:rStyle w:val="18"/>
          <w:rFonts w:hint="eastAsia" w:ascii="楷体" w:hAnsi="楷体" w:eastAsia="楷体"/>
          <w:b w:val="0"/>
          <w:bCs w:val="0"/>
          <w:spacing w:val="-4"/>
          <w:sz w:val="32"/>
          <w:szCs w:val="32"/>
        </w:rPr>
        <w:t>万元，全年安置的50名就业困难人员在公益性岗位上享受公益性岗位补助和社保补贴，享受求职创业补助7人，全年实现城镇新增就业3168人。通过项目的实施，促进了我县2024年度就业局势的整体稳定，提高了高校毕业生的就业率，劳动者的基本权益得到了有效保障。绩效目标与实际工作内容一致，两者具有相关性;本项目预算申请资金</w:t>
      </w:r>
      <w:r>
        <w:rPr>
          <w:rStyle w:val="18"/>
          <w:rFonts w:hint="eastAsia" w:ascii="楷体" w:hAnsi="楷体" w:eastAsia="楷体"/>
          <w:b w:val="0"/>
          <w:bCs w:val="0"/>
          <w:spacing w:val="-4"/>
          <w:sz w:val="32"/>
          <w:szCs w:val="32"/>
          <w:lang w:eastAsia="zh-CN"/>
        </w:rPr>
        <w:t>1521.50</w:t>
      </w:r>
      <w:r>
        <w:rPr>
          <w:rStyle w:val="18"/>
          <w:rFonts w:hint="eastAsia" w:ascii="楷体" w:hAnsi="楷体" w:eastAsia="楷体"/>
          <w:b w:val="0"/>
          <w:bCs w:val="0"/>
          <w:spacing w:val="-4"/>
          <w:sz w:val="32"/>
          <w:szCs w:val="32"/>
        </w:rPr>
        <w:t>万元，预算确定资金量与实际工作任务相匹配。本项目按照绩效目标完成了数量指标、质量指标、时效指标、成本指标，有效降低了全县的失业率，公共就业服务满意度和就业扶持政策经办服务满意度有效提升，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11个，定量指标10个，定性指标1个，指标量化率为90.9%，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本项目预算编制根据上年申请人数与补贴标准计算得出，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财政局审批，即预算编制较科学且经过论证；预算申请内容为用于社会保险补贴等就业政策的支出，项目实际内容为为全年安置的50名就业困难人员在公益性岗位上享受公益性岗位补助和社保补贴、享受求职创业补助7人和城镇新增就业1810人发放了补贴。通过项目的实施，促进了我县2024年度就业局势的整体稳定，提高了高校毕业生的就业率，劳动者的基本权益得到了有效保障。预算申请与《2024年中央财政就业补助资金项目项目实施方案》中涉及的项目内容匹配；本项目预算申请资金</w:t>
      </w:r>
      <w:r>
        <w:rPr>
          <w:rStyle w:val="18"/>
          <w:rFonts w:hint="eastAsia" w:ascii="楷体" w:hAnsi="楷体" w:eastAsia="楷体"/>
          <w:b w:val="0"/>
          <w:bCs w:val="0"/>
          <w:spacing w:val="-4"/>
          <w:sz w:val="32"/>
          <w:szCs w:val="32"/>
          <w:lang w:eastAsia="zh-CN"/>
        </w:rPr>
        <w:t>1521.50</w:t>
      </w:r>
      <w:r>
        <w:rPr>
          <w:rStyle w:val="18"/>
          <w:rFonts w:hint="eastAsia" w:ascii="楷体" w:hAnsi="楷体" w:eastAsia="楷体"/>
          <w:b w:val="0"/>
          <w:bCs w:val="0"/>
          <w:spacing w:val="-4"/>
          <w:sz w:val="32"/>
          <w:szCs w:val="32"/>
        </w:rPr>
        <w:t>万元，我单位在预算申请中严格按照分项成本进行核算，其中：灵活就业社会保险补贴1286人次690.2万元；自主创业社会保险补贴412人次232.3万元；公益岗岗位及社保补贴116人次126.3万元；求职创业补贴7人次0.7万元；就业见习补贴2人次0.8万元；职业技能培训补贴21人次2.6万元；企业吸纳一般劳动者（高校毕业生、就业困难人员）社保补贴1065人次468.6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呼图壁县人力资源和社会保障局2024年向县人民政府申请的各批次就业补助资金的请示报告和以及各阶段申请对象的实际申请情况为依据进行资金分配，预算资金分配依据充分。根据上级下达的就业补助资金文件显示，本项目实际到位资金数额，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14:paraId="0A0BE143">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7F02B2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w:t>
      </w:r>
      <w:r>
        <w:rPr>
          <w:rStyle w:val="18"/>
          <w:rFonts w:hint="eastAsia" w:ascii="楷体" w:hAnsi="楷体" w:eastAsia="楷体"/>
          <w:b w:val="0"/>
          <w:bCs w:val="0"/>
          <w:spacing w:val="-4"/>
          <w:sz w:val="32"/>
          <w:szCs w:val="32"/>
          <w:lang w:eastAsia="zh-CN"/>
        </w:rPr>
        <w:t>1521.50</w:t>
      </w:r>
      <w:r>
        <w:rPr>
          <w:rStyle w:val="18"/>
          <w:rFonts w:hint="eastAsia" w:ascii="楷体" w:hAnsi="楷体" w:eastAsia="楷体"/>
          <w:b w:val="0"/>
          <w:bCs w:val="0"/>
          <w:spacing w:val="-4"/>
          <w:sz w:val="32"/>
          <w:szCs w:val="32"/>
        </w:rPr>
        <w:t>万元，其中：本级财政安排资金</w:t>
      </w:r>
      <w:r>
        <w:rPr>
          <w:rStyle w:val="18"/>
          <w:rFonts w:hint="eastAsia" w:ascii="楷体" w:hAnsi="楷体" w:eastAsia="楷体"/>
          <w:b w:val="0"/>
          <w:bCs w:val="0"/>
          <w:spacing w:val="-4"/>
          <w:sz w:val="32"/>
          <w:szCs w:val="32"/>
          <w:lang w:eastAsia="zh-CN"/>
        </w:rPr>
        <w:t>1521.50</w:t>
      </w:r>
      <w:r>
        <w:rPr>
          <w:rStyle w:val="18"/>
          <w:rFonts w:hint="eastAsia" w:ascii="楷体" w:hAnsi="楷体" w:eastAsia="楷体"/>
          <w:b w:val="0"/>
          <w:bCs w:val="0"/>
          <w:spacing w:val="-4"/>
          <w:sz w:val="32"/>
          <w:szCs w:val="32"/>
        </w:rPr>
        <w:t>万元，其他资金0万元，实际到位资金</w:t>
      </w:r>
      <w:r>
        <w:rPr>
          <w:rStyle w:val="18"/>
          <w:rFonts w:hint="eastAsia" w:ascii="楷体" w:hAnsi="楷体" w:eastAsia="楷体"/>
          <w:b w:val="0"/>
          <w:bCs w:val="0"/>
          <w:spacing w:val="-4"/>
          <w:sz w:val="32"/>
          <w:szCs w:val="32"/>
          <w:lang w:eastAsia="zh-CN"/>
        </w:rPr>
        <w:t>1521.50</w:t>
      </w:r>
      <w:r>
        <w:rPr>
          <w:rStyle w:val="18"/>
          <w:rFonts w:hint="eastAsia" w:ascii="楷体" w:hAnsi="楷体" w:eastAsia="楷体"/>
          <w:b w:val="0"/>
          <w:bCs w:val="0"/>
          <w:spacing w:val="-4"/>
          <w:sz w:val="32"/>
          <w:szCs w:val="32"/>
        </w:rPr>
        <w:t>万元，资金到位率=（实际到位资金/预算资金）×100.00%=（</w:t>
      </w:r>
      <w:r>
        <w:rPr>
          <w:rStyle w:val="18"/>
          <w:rFonts w:hint="eastAsia" w:ascii="楷体" w:hAnsi="楷体" w:eastAsia="楷体"/>
          <w:b w:val="0"/>
          <w:bCs w:val="0"/>
          <w:spacing w:val="-4"/>
          <w:sz w:val="32"/>
          <w:szCs w:val="32"/>
          <w:lang w:eastAsia="zh-CN"/>
        </w:rPr>
        <w:t>1521.50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1521.50</w:t>
      </w:r>
      <w:r>
        <w:rPr>
          <w:rStyle w:val="18"/>
          <w:rFonts w:hint="eastAsia" w:ascii="楷体" w:hAnsi="楷体" w:eastAsia="楷体"/>
          <w:b w:val="0"/>
          <w:bCs w:val="0"/>
          <w:spacing w:val="-4"/>
          <w:sz w:val="32"/>
          <w:szCs w:val="32"/>
        </w:rPr>
        <w:t>）*100.00%=100%。得分=资金到位率*分值=100%*5=5分。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综上所述，本指标满分为5分，根据评分标准得5分，本项目资金到位及时。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w:t>
      </w:r>
      <w:r>
        <w:rPr>
          <w:rStyle w:val="18"/>
          <w:rFonts w:hint="eastAsia" w:ascii="楷体" w:hAnsi="楷体" w:eastAsia="楷体"/>
          <w:b w:val="0"/>
          <w:bCs w:val="0"/>
          <w:spacing w:val="-4"/>
          <w:sz w:val="32"/>
          <w:szCs w:val="32"/>
          <w:lang w:eastAsia="zh-CN"/>
        </w:rPr>
        <w:t>1521.50</w:t>
      </w:r>
      <w:r>
        <w:rPr>
          <w:rStyle w:val="18"/>
          <w:rFonts w:hint="eastAsia" w:ascii="楷体" w:hAnsi="楷体" w:eastAsia="楷体"/>
          <w:b w:val="0"/>
          <w:bCs w:val="0"/>
          <w:spacing w:val="-4"/>
          <w:sz w:val="32"/>
          <w:szCs w:val="32"/>
        </w:rPr>
        <w:t>万元，预算执行率=（实际支出资金/实际到位资金）×100.00%=（</w:t>
      </w:r>
      <w:r>
        <w:rPr>
          <w:rStyle w:val="18"/>
          <w:rFonts w:hint="eastAsia" w:ascii="楷体" w:hAnsi="楷体" w:eastAsia="楷体"/>
          <w:b w:val="0"/>
          <w:bCs w:val="0"/>
          <w:spacing w:val="-4"/>
          <w:sz w:val="32"/>
          <w:szCs w:val="32"/>
          <w:lang w:eastAsia="zh-CN"/>
        </w:rPr>
        <w:t>1521.50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1521.50</w:t>
      </w:r>
      <w:r>
        <w:rPr>
          <w:rStyle w:val="18"/>
          <w:rFonts w:hint="eastAsia" w:ascii="楷体" w:hAnsi="楷体" w:eastAsia="楷体"/>
          <w:b w:val="0"/>
          <w:bCs w:val="0"/>
          <w:spacing w:val="-4"/>
          <w:sz w:val="32"/>
          <w:szCs w:val="32"/>
        </w:rPr>
        <w:t>）*100.00%=100%。得分=预算执行率*分值=100%*4=4分。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综上所述，本指标满分为4分，根据评分标准得4分，本项目资金预算执行到位。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单位及个人申请情况、资金申请文件、发票等财务付款凭证，得出本项目资金支出符合国家财经法规、《政府会计制度》以及《自治区就业资金管理办法》《呼图壁县就业资金使用管理实施细则》等相关项目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综上所述，本指标满分为4分，根据评分标准得4分，资金支出符合我单位财务管理及自治区就业补助资金管理制度规定。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前针对就业补助资金，我县已制定《呼图壁县就业资金使用管理实施细则》、就业补助资金联审制度、公示、资金监督管理的质询制度、问责制度和跟踪反馈制度等相关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资金申请报告文件等，如各批次就业补助资金申请报告、资金联审会议纪要、县人民政府网址公示资料、县领导审批情况等资料齐全并及时进行了归档。项目资金支出严格按照自治区、昌吉州以及本单位资金管理办法执行，项目启动实施后，为了加快本项目的实施，成立了就业补助资金项目工作领导小组，由党组副书记张彩霞任组长，负责项目的组织工作；王东亮任副组长，负责项目的实施工作；组员包括：丁美娟、魏永新、杨素兰、刘雨杰、张梅梅等，主要负责就业补助政策落实时补贴申请资料的受理、核查以及资金核拨等工作。建立了由部门提出经费预算支出报告后，由县人社与县财政对预拨付资金进行联审后经人社局党组会同意，报县人民政府主要领导审批，由财政部门进行拨付，财务对资金的使用合法合规性进行监督，年底对资金使用效果进行自评的工作模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综上所述，本指标满分为4分，根据评分标准得4分，本项目所建立制度执行有效。</w:t>
      </w:r>
    </w:p>
    <w:p w14:paraId="6929418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05E03F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项目产出类指标由3个二级指标和7个三级指标构成，权重分20.0分，实际得分19.1分。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“享受社会保险补贴的人数”指标：预期指标值为“&gt;=1800人”，实际完成指标值为“=1810人”，指标完成率为100.56%。（偏差率为0.56，偏差原因主要为:加大政策宣传力度后，申请人数增加）。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综上所述，本指标满分为4分，根据评分标准得3.98分。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“享受公益岗岗位补贴的人数”指标：预期指标值为“&gt;=50人”，实际完成指标值为“=50人”，指标完成率为100%。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“享受求职创业补贴的人数”指标：预期指标值为“&gt;=9人”，实际完成指标值为“=7人”，指标完成率为77.78%。（偏差率为22.22%，偏差原因主要为：符合条件毕业生申请意愿调低，没有进行补贴申请。）。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综上所述，本指标满分为2分，根据评分标准得0.89分。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“社会保险补贴的发放准确率”指标，预期指标值为“&gt;=98%”，实际完成指标值为99.9%，指标完成率100.0%。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综上所述，本指标满分为3分，根据评分标准得3分。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“公益岗岗位补贴的发放准确率”指标：预期指标值为“&gt;=98%”，实际完成指标值为100%，指标完成率100.0%。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“求职创业补贴的发放准确率”指标：预期指标值为“&gt;=98%”，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实际完成指标值为100%，指标完成率100.0%。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“资金在规定时间下达率”指标：预期指标值为“&gt;=95%”，实际完成指标值为100%，指标完成率100.0%。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“公益性岗位月人均补贴标准”指标：预期指标值为“&lt;=1700元”，实际完成指标值为=1700元，指标完成率100%。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1AC674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117D91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项目效益类指标由2个二级指标和3个三级指标构成，权重分为30分，本项目实际得分30分。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“降低全县失业率”指标：预期指标值为“不断降低”，实际完成指标值“达到预期指标”，指标完成率100%。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8C8E64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“公共就业服务满意度”指标：预期指标值为“&gt;=85%”，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实际完成指标值“=90%”，指标完成率100.00%。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“就业扶持政策经办服务满意度”指标：预期指标值为“&gt;=85%”，实际完成指标值“=90%”，指标完成率100.0%。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7CCD2F7A">
      <w:pPr>
        <w:spacing w:line="540" w:lineRule="exact"/>
        <w:ind w:firstLine="567"/>
        <w:rPr>
          <w:rStyle w:val="18"/>
          <w:rFonts w:hint="eastAsia" w:ascii="楷体" w:hAnsi="楷体" w:eastAsia="楷体"/>
          <w:b w:val="0"/>
          <w:bCs w:val="0"/>
          <w:spacing w:val="-4"/>
          <w:sz w:val="32"/>
          <w:szCs w:val="32"/>
        </w:rPr>
      </w:pPr>
    </w:p>
    <w:p w14:paraId="238B8F5F">
      <w:pPr>
        <w:spacing w:line="540" w:lineRule="exact"/>
        <w:ind w:firstLine="567"/>
        <w:rPr>
          <w:rStyle w:val="18"/>
          <w:rFonts w:ascii="楷体" w:hAnsi="楷体" w:eastAsia="楷体"/>
          <w:spacing w:val="-4"/>
          <w:sz w:val="32"/>
          <w:szCs w:val="32"/>
        </w:rPr>
      </w:pPr>
    </w:p>
    <w:p w14:paraId="6CFA8FC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D5FE104">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管理方面：一是建立就业补助资金联审制度。2024年对就业资金由人社部门进行初审，初审完成后再由人社、财政两家会审制度，对于会审中发现的问题进行再核实和整改。会审通过报县人民政府主要领导审议签批后，由财政部门按分配方案拨付，确保了资金拨付流程的规范。二是主动接受各方对资金的监督。认真接待群众来信来访，完善舆论监督办法，对各项就业专项的拨付使用情况、相关职业培训和职业技能鉴定工作情况，开展定期检查，自觉接受监察、审计部门、社会各界、第三方的监督检查。截止2023年12月底，先后接受了人社局委托第三方（新疆金凤凰财务项目管理服务有限公司）所对我局涵盖就业补助资金项目进行了审计检查；自治区2024年5月至12月对就业创业政策落实问题进行集中整治（期间州、县纪委进行检查）；自治区（在县财政局）对我县就业创业、编制外人员情况进行调研；财政部新疆监管局对2023年1月至2024年6月期间的就业类资金（包含纺就资金）管理使用情况进行核查；昌吉州人社局委托第三方（新疆驰远天合有限责任会计事务所）利用三天时间（9月18日至9月20日）对我县2023年就业补助资金进行绩效评价。对于检查中存在的问题进行了及时的整改，确保了就业补助资金的安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情况中“产出数量”项中的“享受社会保险补贴的人数”实际申请人数大于预定目标，分析原因主要是由于该指标是依据历年完成情况进行了设定，2024年有所增加是因为2024年以来，人社部门加大政策宣传力度，进一步优化了营商环境，政策知晓度提升后申请人数较2023年有所增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数量”项中的“享受求职创业补贴的人数”实际申请人数少于预定目标，分析原因主要是由于该指标是依据历年完成情况进行了设定，在政策宣传后，由于补贴标准较低，符合条件毕业生申请意愿不高，没有进行补贴的申请。</w:t>
      </w:r>
    </w:p>
    <w:p w14:paraId="38450BD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28FCABFF">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今后在设定“享受社会保险补贴的人数”、“享受求职创业补贴的人数”这一类的指标时，结合当年的实际情况，加大扶持政策的宣传力度，调整指标的弹性，在历年的基础上适当进行增加或者减少，让指标更贴合我县就业创业工作的实际情况。</w:t>
      </w:r>
    </w:p>
    <w:p w14:paraId="3784172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39FFA75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附件：项目支出绩效评价体系</w:t>
      </w:r>
    </w:p>
    <w:p w14:paraId="125D925B">
      <w:pPr>
        <w:spacing w:line="540" w:lineRule="exact"/>
        <w:ind w:firstLine="567"/>
        <w:rPr>
          <w:rStyle w:val="18"/>
          <w:rFonts w:ascii="仿宋" w:hAnsi="仿宋" w:eastAsia="仿宋"/>
          <w:b w:val="0"/>
          <w:spacing w:val="-4"/>
          <w:sz w:val="32"/>
          <w:szCs w:val="32"/>
        </w:rPr>
      </w:pPr>
    </w:p>
    <w:p w14:paraId="70B77579">
      <w:pPr>
        <w:spacing w:line="540" w:lineRule="exact"/>
        <w:ind w:firstLine="567"/>
        <w:rPr>
          <w:rStyle w:val="18"/>
          <w:rFonts w:ascii="仿宋" w:hAnsi="仿宋" w:eastAsia="仿宋"/>
          <w:b w:val="0"/>
          <w:spacing w:val="-4"/>
          <w:sz w:val="32"/>
          <w:szCs w:val="32"/>
        </w:rPr>
      </w:pPr>
    </w:p>
    <w:p w14:paraId="262BDAEB">
      <w:pPr>
        <w:spacing w:line="540" w:lineRule="exact"/>
        <w:ind w:firstLine="567"/>
        <w:rPr>
          <w:rStyle w:val="18"/>
          <w:rFonts w:ascii="仿宋" w:hAnsi="仿宋" w:eastAsia="仿宋"/>
          <w:b w:val="0"/>
          <w:spacing w:val="-4"/>
          <w:sz w:val="32"/>
          <w:szCs w:val="32"/>
        </w:rPr>
      </w:pPr>
    </w:p>
    <w:p w14:paraId="2916F1FC">
      <w:pPr>
        <w:spacing w:line="540" w:lineRule="exact"/>
        <w:ind w:firstLine="567"/>
        <w:rPr>
          <w:rStyle w:val="18"/>
          <w:rFonts w:ascii="仿宋" w:hAnsi="仿宋" w:eastAsia="仿宋"/>
          <w:b w:val="0"/>
          <w:spacing w:val="-4"/>
          <w:sz w:val="32"/>
          <w:szCs w:val="32"/>
        </w:rPr>
      </w:pPr>
    </w:p>
    <w:p w14:paraId="07FC31D1">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38423DA">
        <w:pPr>
          <w:pStyle w:val="12"/>
          <w:jc w:val="center"/>
        </w:pPr>
        <w:r>
          <w:fldChar w:fldCharType="begin"/>
        </w:r>
        <w:r>
          <w:instrText xml:space="preserve">PAGE   \* MERGEFORMAT</w:instrText>
        </w:r>
        <w:r>
          <w:fldChar w:fldCharType="separate"/>
        </w:r>
        <w:r>
          <w:rPr>
            <w:lang w:val="zh-CN"/>
          </w:rPr>
          <w:t>2</w:t>
        </w:r>
        <w:r>
          <w:fldChar w:fldCharType="end"/>
        </w:r>
      </w:p>
    </w:sdtContent>
  </w:sdt>
  <w:p w14:paraId="07422E5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39A01DE"/>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12046</Words>
  <Characters>12818</Characters>
  <Lines>4</Lines>
  <Paragraphs>1</Paragraphs>
  <TotalTime>9</TotalTime>
  <ScaleCrop>false</ScaleCrop>
  <LinksUpToDate>false</LinksUpToDate>
  <CharactersWithSpaces>12843</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2025-08-12T08:43:01Z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