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6EEB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7677DA9">
      <w:pPr>
        <w:spacing w:line="540" w:lineRule="exact"/>
        <w:jc w:val="center"/>
        <w:rPr>
          <w:rFonts w:ascii="华文中宋" w:hAnsi="华文中宋" w:eastAsia="华文中宋" w:cs="宋体"/>
          <w:b/>
          <w:kern w:val="0"/>
          <w:sz w:val="52"/>
          <w:szCs w:val="52"/>
        </w:rPr>
      </w:pPr>
    </w:p>
    <w:p w14:paraId="743E35CE">
      <w:pPr>
        <w:spacing w:line="540" w:lineRule="exact"/>
        <w:jc w:val="center"/>
        <w:rPr>
          <w:rFonts w:ascii="华文中宋" w:hAnsi="华文中宋" w:eastAsia="华文中宋" w:cs="宋体"/>
          <w:b/>
          <w:kern w:val="0"/>
          <w:sz w:val="52"/>
          <w:szCs w:val="52"/>
        </w:rPr>
      </w:pPr>
    </w:p>
    <w:p w14:paraId="6B4A5B3C">
      <w:pPr>
        <w:spacing w:line="540" w:lineRule="exact"/>
        <w:jc w:val="center"/>
        <w:rPr>
          <w:rFonts w:ascii="华文中宋" w:hAnsi="华文中宋" w:eastAsia="华文中宋" w:cs="宋体"/>
          <w:b/>
          <w:kern w:val="0"/>
          <w:sz w:val="52"/>
          <w:szCs w:val="52"/>
        </w:rPr>
      </w:pPr>
    </w:p>
    <w:p w14:paraId="2AF4949E">
      <w:pPr>
        <w:spacing w:line="540" w:lineRule="exact"/>
        <w:jc w:val="center"/>
        <w:rPr>
          <w:rFonts w:ascii="华文中宋" w:hAnsi="华文中宋" w:eastAsia="华文中宋" w:cs="宋体"/>
          <w:b/>
          <w:kern w:val="0"/>
          <w:sz w:val="52"/>
          <w:szCs w:val="52"/>
        </w:rPr>
      </w:pPr>
    </w:p>
    <w:p w14:paraId="3B2B9ED0">
      <w:pPr>
        <w:spacing w:line="540" w:lineRule="exact"/>
        <w:jc w:val="center"/>
        <w:rPr>
          <w:rFonts w:ascii="华文中宋" w:hAnsi="华文中宋" w:eastAsia="华文中宋" w:cs="宋体"/>
          <w:b/>
          <w:kern w:val="0"/>
          <w:sz w:val="52"/>
          <w:szCs w:val="52"/>
        </w:rPr>
      </w:pPr>
    </w:p>
    <w:p w14:paraId="5428F072">
      <w:pPr>
        <w:spacing w:line="540" w:lineRule="exact"/>
        <w:jc w:val="center"/>
        <w:rPr>
          <w:rFonts w:ascii="华文中宋" w:hAnsi="华文中宋" w:eastAsia="华文中宋" w:cs="宋体"/>
          <w:b/>
          <w:kern w:val="0"/>
          <w:sz w:val="52"/>
          <w:szCs w:val="52"/>
        </w:rPr>
      </w:pPr>
    </w:p>
    <w:p w14:paraId="4073F59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1F7C5BB">
      <w:pPr>
        <w:spacing w:line="540" w:lineRule="exact"/>
        <w:jc w:val="center"/>
        <w:rPr>
          <w:rFonts w:ascii="华文中宋" w:hAnsi="华文中宋" w:eastAsia="华文中宋" w:cs="宋体"/>
          <w:b/>
          <w:kern w:val="0"/>
          <w:sz w:val="52"/>
          <w:szCs w:val="52"/>
        </w:rPr>
      </w:pPr>
    </w:p>
    <w:p w14:paraId="6EAA156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DD7C454">
      <w:pPr>
        <w:spacing w:line="540" w:lineRule="exact"/>
        <w:jc w:val="center"/>
        <w:rPr>
          <w:rFonts w:hAnsi="宋体" w:eastAsia="仿宋_GB2312" w:cs="宋体"/>
          <w:kern w:val="0"/>
          <w:sz w:val="30"/>
          <w:szCs w:val="30"/>
        </w:rPr>
      </w:pPr>
    </w:p>
    <w:p w14:paraId="4E10722A">
      <w:pPr>
        <w:spacing w:line="540" w:lineRule="exact"/>
        <w:jc w:val="center"/>
        <w:rPr>
          <w:rFonts w:hAnsi="宋体" w:eastAsia="仿宋_GB2312" w:cs="宋体"/>
          <w:kern w:val="0"/>
          <w:sz w:val="30"/>
          <w:szCs w:val="30"/>
        </w:rPr>
      </w:pPr>
    </w:p>
    <w:p w14:paraId="52EB9A54">
      <w:pPr>
        <w:spacing w:line="540" w:lineRule="exact"/>
        <w:jc w:val="center"/>
        <w:rPr>
          <w:rFonts w:hAnsi="宋体" w:eastAsia="仿宋_GB2312" w:cs="宋体"/>
          <w:kern w:val="0"/>
          <w:sz w:val="30"/>
          <w:szCs w:val="30"/>
        </w:rPr>
      </w:pPr>
    </w:p>
    <w:p w14:paraId="19333334">
      <w:pPr>
        <w:spacing w:line="540" w:lineRule="exact"/>
        <w:jc w:val="center"/>
        <w:rPr>
          <w:rFonts w:hAnsi="宋体" w:eastAsia="仿宋_GB2312" w:cs="宋体"/>
          <w:kern w:val="0"/>
          <w:sz w:val="30"/>
          <w:szCs w:val="30"/>
        </w:rPr>
      </w:pPr>
    </w:p>
    <w:p w14:paraId="78D014D3">
      <w:pPr>
        <w:spacing w:line="540" w:lineRule="exact"/>
        <w:jc w:val="center"/>
        <w:rPr>
          <w:rFonts w:hAnsi="宋体" w:eastAsia="仿宋_GB2312" w:cs="宋体"/>
          <w:kern w:val="0"/>
          <w:sz w:val="30"/>
          <w:szCs w:val="30"/>
        </w:rPr>
      </w:pPr>
    </w:p>
    <w:p w14:paraId="082AC799">
      <w:pPr>
        <w:spacing w:line="540" w:lineRule="exact"/>
        <w:jc w:val="center"/>
        <w:rPr>
          <w:rFonts w:hAnsi="宋体" w:eastAsia="仿宋_GB2312" w:cs="宋体"/>
          <w:kern w:val="0"/>
          <w:sz w:val="30"/>
          <w:szCs w:val="30"/>
        </w:rPr>
      </w:pPr>
    </w:p>
    <w:p w14:paraId="3E47FA0A">
      <w:pPr>
        <w:spacing w:line="540" w:lineRule="exact"/>
        <w:rPr>
          <w:rFonts w:hAnsi="宋体" w:eastAsia="仿宋_GB2312" w:cs="宋体"/>
          <w:kern w:val="0"/>
          <w:sz w:val="30"/>
          <w:szCs w:val="30"/>
        </w:rPr>
      </w:pPr>
    </w:p>
    <w:p w14:paraId="5C0A153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1A3239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6月化解中小企业欠款呼图壁县人工影响天气标准化作业场所</w:t>
      </w:r>
    </w:p>
    <w:p w14:paraId="4098133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呼图壁县人工影响天气办公室</w:t>
      </w:r>
    </w:p>
    <w:p w14:paraId="5829BCC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呼图壁县人工影响天气办公室</w:t>
      </w:r>
    </w:p>
    <w:p w14:paraId="2C0FE12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张磊</w:t>
      </w:r>
    </w:p>
    <w:p w14:paraId="649FDCC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2025年03月14日</w:t>
      </w:r>
    </w:p>
    <w:p w14:paraId="116AED89">
      <w:pPr>
        <w:spacing w:line="700" w:lineRule="exact"/>
        <w:ind w:firstLine="708" w:firstLineChars="236"/>
        <w:jc w:val="left"/>
        <w:rPr>
          <w:rFonts w:hAnsi="宋体" w:eastAsia="仿宋_GB2312" w:cs="宋体"/>
          <w:kern w:val="0"/>
          <w:sz w:val="30"/>
          <w:szCs w:val="30"/>
        </w:rPr>
      </w:pPr>
    </w:p>
    <w:p w14:paraId="33C4B572">
      <w:pPr>
        <w:spacing w:line="540" w:lineRule="exact"/>
        <w:rPr>
          <w:rStyle w:val="18"/>
          <w:rFonts w:ascii="黑体" w:hAnsi="黑体" w:eastAsia="黑体"/>
          <w:b w:val="0"/>
          <w:spacing w:val="-4"/>
          <w:sz w:val="32"/>
          <w:szCs w:val="32"/>
        </w:rPr>
      </w:pPr>
    </w:p>
    <w:p w14:paraId="33EF102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F5AB8C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57DC6A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呼图壁县人工影响天气标准化作业基地项目属于公共服务类项目， 由政府主导，旨在提升气象灾害防御能力。项目涉及基础设施建设、设备 采购等，中小企业作为承包商参与。政府项目依赖预算资金，因为地方财 政紧张资金审批流程繁琐，导致款项支付滞后。中途因项目负责人和承办 人调动和离世、政策调整、审计审查等原因暂停拨款，导致中小企业成为 资金链压力的直接承担者。中小企业主因为家属重大疾病导致资金压力， 无奈赴自治州、自治区上访，现单位领导了解到了该情况后，主动与其协 商商讨折中方案并签订资金化解协议，按照资金化解协议书和政府领导批 示立项。 2.主要内容 （1）项目名称：6 月化解中小企业欠款呼图壁县人工影响天气标准 化作业基地项目（以下简称“该项目”或“项目”） （2）项目主要内容：项目于 2016 年 6 月由县发改委批复立项。该项 目于 2016 年 10 月动工至 2019 年 9 月完工，现已处于交工状态。项目招 标总价 123.5 万元，另后期追加外管网及附属，最终经工程竣工结算审定 价为 143.6 万元，目前财政已分批次支付工程款 89 万元，尚欠 54.6 万元。 2023 年经气象局按照化债方案多次和债权人谈判，因债权人家庭困难继 续用钱拒不接受资产化债，先后到区州上访。2024 年经县气象局再次与 债权人沟通，对方愿意接受按照剩余未支付款项的 80%（43.68 万元）以资金形式一次性化解完毕。为有效化解信访矛盾，建议按照谈判结果以资 金形式一次性付清 43.68 万元。 3.实施情况 实施主体：呼图壁县人工影响天气办公室。 实施时间：本项目实施周期为 2024 年 1 月-2024 年 12 月。 实施情况：经气象局按照化债方案多次和债权人谈判，因债权人家庭 困难继续用钱拒不接受资产化债，先后到区州上访。2024 年经县气象局 再次与债权人沟通，对方愿意接受按照剩余未支付款项的 80%（43.68 万 元）以资金形式一次性化解完毕。为有效化解信访矛盾，建议按照谈判结 果以资金形式一次性付清 43.68 万元。截止 2024 年 12 月 31 日，项目实 际全部化解呼图壁县人工影响天气标准化作业基地拖欠昌吉州腾威建设 工程有限责任公司的工程款，通过本项目的实施，将会缓解债权人经济困 难，具有化解信访矛盾方面的影响。项目结束后将进一步提升政府形象。 4.项目实施主体 （1）主要职能 呼图壁县人工影响天气办公室隶属县人民政府，属于地方政 府机构，办公地点设在气象局，由气象局具体指导人影办的业务 工作。 呼图壁县人工影响天气办公室主要负责呼图壁县人工影响 天气作业计划的制定并且实施，为呼图壁县建设和呼图壁县居民 生活提供人工影响天气服务。 （2）机构设置情况呼图壁县人工影响天气办公室无下属预算单位，下设 0 个处 室。 呼图壁县人工影响天气办公室编制数 0 人 ，实有人数 3 人， 其中：在职 3 人，增加 1 人；退休 0 人，增加 0 人；离休 0 人，增加 0 人。 5.资金投入和使用情况 （1）项目资金安排落实、总投入等情况分析 本项目预算安排总额为 43.68 万元，资金来源为财政资金，其中：财 政资金 43.68 万元，其他资金 0 万元，2024 年实际收到预算资金 43.68 万元，预算资金到位率为 100%。 （2）项目资金实际使用情况分析 截至 2024 年 12 月 31 日，本项目实际支付资金 43.68 万元，预算执 行率 100%。本项目资金主要用于支付工程款费用 38.68 万元、劳务费费 用 5 万元。</w:t>
      </w:r>
    </w:p>
    <w:p w14:paraId="0167FB8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054FA5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本项目拟投入 43.68 万元用于化解呼图壁县人工影响天气标准化作 业基地拖欠昌吉州腾威建设工程有限责任公司的工程款，计划于 2024 年 12 月 31 日前化解，通过本项目的实施，将会缓解债权人经济困难，具有 化解信访矛盾方面的影响。项目结束后将进一步提升政府形象。 2.阶段性目标 根据《中华人民共和国预算法》、《财政支出绩效评价管理暂行办法》（财预〔2020〕10 号）、《中共中央国务院关于全面实施预算绩效管理 的意见》（中发〔2018〕34 号）、《自治区党委自治区人民政府关于全 面实施预算绩效管理的实施意见》（新党发〔2018〕30 号）、《自治区 财政支出绩效评价管理暂行办法》（新财预〔2018〕189 号）的规定，结 合我单位的规章制度以及项目实施和财务相关资料，评价小组对项目绩效 指标进行了进一步的完善，完善后绩效指标如下： （1）项目产出指标 ①数量指标 “还款涉及企业个数”指标，预期指标值为“等于 1 个”； ②质量指标 “项目化债总完成率”指标，预期指标值为“等于 100%”； ③时效指标 “还款及时率”指标，预期指标值为“等于 100%”； “调解完成及时率”指标，预期指标值为“等于 100%”； （2）项目成本指标指标 ①经济成本指标 “工程款”指标，预期指标值为“小于等于 38.68 万元”； “劳务费”指标，预期指标值为“小于等于 5 万元”； ②社会成本指标 无此类指标。 ③生态环境成本指标 无此类指标。 （3）项目效益指标①经济效益指标 无此类指标。 ②社会效益指标 “缓解债权人经济困难”指标，预期指标值为“有效缓解”； ③生态效益指标 无此类指标。 （4）项目满意度指标 ①满意度指标 “债权单位满意度”指标，预期指标值为“大于等于 100%”。</w:t>
      </w:r>
    </w:p>
    <w:p w14:paraId="37D7B7C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7AB2AF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1C56B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 1.绩效评价的目的 本次绩效评价遵循财政部《项目支出绩效评价管理办法》（财预〔2020〕 10 号）和自治区财政厅《自治区财政支出绩效评价管理暂行办法》（新 财预〔2018〕189 号）等相关政策文件与规定，旨在评价财政项目实施前 期、过程及效果，评价财政预算资金使用的效率及效益。通过绩效评价， 促进本单位总结经验、发现问题、改进工作，旨在评价本项目前期审批、 实施过程及实施效果，促进预算管理不断完善，加快绩效目标的实现，保 证财政资金有效、合理使用。 2.绩效评价对象 此次我单位根据《财政支出绩效评价管理暂行办法》（财预〔2020〕 10 号）文件要求实施评价工作，本次评价对象为 6 月化解中小企业欠款 呼图壁县人工影响天气标准化作业基地项目，评价核心为项目资金、项目产出、项目效益。 3.绩效评价范围 本次绩效评价主要围绕项目资金使用情况和财务管理状况；资产配 置、使用、处置及其收益管理情况；项目管理相关制度及措施是否被认真 执行；绩效目标的实现程度（包括是否达到预定产出和效果）等方面进行 综合绩效评价。 4.绩效评价依据 (1) 《中华人民共和国预算法》； (2) 《中共中央国务院关于全面实施预算绩效管理的意见》（中发 〔2018〕34 号）； (3) 《项目支出绩效评价管理办法》（财预〔2020〕10 号）； (4) 《自治区财政支出绩效评价管理暂行办法》（新财预〔2018〕 189 号）； (5) 呼图壁县人工影响天气标准化作业基地项目资金化解协议书及 支付凭证。</w:t>
      </w:r>
    </w:p>
    <w:p w14:paraId="54CE957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0B4A1B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依据《中华人民共和国预算法》《中共中央国务院关于全面实施预算 绩效管理的意见》（中发〔2018〕34 号）、《项目支出绩效评价管理办 法》（财预〔2020〕10 号）等要求，本次绩效评价秉承科学规范、公正 公开、分级分类、绩效相关等原则，按照从投入、过程到产出效果和影响 的绩效逻辑路径，通过绩效评价反思项目实施和管理中的问题，总结经验 和教训，为提升财政资金使用效益，提供可行性参考建议。绩效评价应遵循如下原则： （1）科学公正。绩效评价应当运用科学合理的方法，按照规范的程 序，对项目绩效进行客观、公正的反映。 （2）统筹兼顾。单位自评、部门评价和财政评价应职责明确，各有 侧重，相互衔接。单位自评应由项目单位自主实施，即“谁支出、谁自评”。 部门评价和财政评价应在单位自评的基础上开展，必要时可委托第三方机 构实施。 （3）激励约束。绩效评价结果应与预算安排、政策调整、改进管理 实质性挂钩，体现奖优罚劣和激励相容导向，有效要安排、低效要压减、 无效要问责。 （4）公开透明。绩效评价结果应依法依规公开，并自觉接受社会监 督。 2.绩效评价指标体系 我单位通过实施资料研读及前期调研，结合项目的实际开展情况，按 照《项目支出绩效评价管理办法》（财预〔2020〕10 号）文件要求，全 面反映项目决策、项目和资金管理、产出和效益，优先选取最具代表性、 最能直接反映产出和效益的核心指标，精简实用，绩效评价小组结合项目 的实际情况，综合考虑相关性、重要性、可衡量性、可操作性和可实现性， 按照逻辑分析法设计本次绩效评价指标体系，绩效评价指标的权重设计突 出结果导向，设置指标体系结构如下：设置一级指标共 5 个，包括：决策 指标（21.0%）、过程指标（19.0%）、产出指标（20.0%）、成本指标（10.0%）、 效益指标（30.0%）五类指标；二级和三级指标根据各项指标在评价体系 中的重要程度确定，考虑项目实施和管理对项目绩效的影响等因素赋予相应的权重分值。绩效评价小组围绕项目总体绩效目标，将梳理后的年度绩 效目标细化分解为个性化产出和效益指标，与共性指标共同构成该项目绩 效评价指标体系详见“附件 1：项目支出绩效评价绩效评价体系”。 3.评价方法 正确的评价方法是评价工作顺利开展的保障，在结合实际经验的 情况下，绩效评价小组根据该项目资金的性质和特点，选用比较法、 公众评判法以及文献法对项目进行评价，旨在通过综合分析影响绩效 目标实现、实施效果的内外部因素，从而评价本项目绩效。三级指标 分析环节：总体采用定量评价法、定性评价法、综合评价法、满意度 调查法、成本效益分析法、社会效益评价法。 定量评价法：通过可量化的数据指标客观衡量项目成果与目标的 匹配程度，强调数值化验证和精确性。 定性评价法：基于非数值化的主观分析，评估服务的质量、功能 完备性及社会价值，关注软性指标与长期效益， 综合评价法：整合定量与定性指标，通过权重分配和加权评分形 成系统性评价结论，全面反映项目的多维成效。 满意度调查法：通过问卷调查收集债权人对服务的直接反馈，衡 量服务的接受度及社会认可度。 成本效益分析法：对比项目投入与直接经济效益及间接社会效 益，评估资源使用的经济性与可持续性。 社会效益评价法：衡量化债项目对公共服务、社会稳定、民生福 祉的间接影响，避免债务化解引发社会矛盾。4.评价标准 绩效评价标准通常包括计划标准、行业标准、历史标准等。本次绩效 评价采用计划标准，以预先制定的目标、计划、预算、定额等作为评价标 准，对比分析项目产出、效益的完成情况。对于定性指标，通过问卷调查 及访谈方式，采集相关数据，运用等级描述法，设置分级标准，体现该指 标认可程度的差异。对于定量指标，通过公式等方式予以量化，可以准确 衡量，并设定目标值的考核指标。</w:t>
      </w:r>
    </w:p>
    <w:p w14:paraId="0CB43E8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DDE35C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 我单位于 2025 年 3 月 15 日，确定绩效评价工作小组，正式开始前期 准备工作，通过对评价对象前期调研，确定了评价的目的、方法以及评价 的原则，根据项目的内容和特征制定了评价指标体系及评价标准。绩效评 价工作小组人员名单及分工如下： 张磊（评价小组组长）：主要负责项目策划和监督，全面负责项目绩 效评价办稿的最终质量，对评估人员出具的最终报告质量进行复核，确保 评估结果的客观性； 王向峰（评价小组组员）：主要负责资料的收集，取证、数据统计分 析； 李念铎（评价小组组员）：主要负责主要负责项目报告的制定，指标 的研判，数据分析及报告撰写。 2.组织实施 2025 年 3 月 15 日-3 月 21 日，评价工作进入实施阶段。 在数据采集方面，评价小组项目负责人、财务人员进行访谈沟通，全面了解项目实施的目的、预算安排、实施内容、组织管理、实施结果等方 面的内容；全面收集项目决策过程、资金使用管理、制度建设与执行情况、 质量管理、项目建设及验收等相关资料，完成绩效评价内容所需的印证资 料整理，所有数据经核查后统计汇总。 经调研了解，该项目主要受益群体包括债权人昌吉州腾威建设工程有 限责任公司。我们根据绩效评价目标和绩效指标体系，设计满意度调查问 卷进行问卷调查，其中项目受益对象共选取样本 1 人，共发放问卷 1 份， 最终收回 1 份。 3.分析评价 2025 年 3 月 22 日-3 月 25 日，评价小组按照绩效评价的原则和规范， 对取得的资料进行审查核实，对采集的数据进行分析，按照绩效评价指标 评分表逐项进行打分、分析、汇总各方评价结果。 4.撰写与提交评价报告 2025 年 3 月 26 日-3 月 31 日，评价小组撰写绩效评价报告，按照新 疆维吾尔自治区财政绩效管理信息系统绩效评价模块中统一格式和文本 框架撰写绩效评价报告并提交审核。 5.问题整改 经审核通过后，由评价小组将报告推送至项目实施人员，由项目实施 人员根据报告评价结论、存在的问题以及改进建议落实问题整改，并形成 整改报告，由评价小组负责监督和核查整改落实情况，确保绩效评价落到 实处。 6.档案整理 建立和落实档案管理制度，将项目相关资料存档，包括但不限于：评价项目基本情况和相关文件、评价实施方案、项目支付资料等相关档案。</w:t>
      </w:r>
    </w:p>
    <w:p w14:paraId="314E53B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D9488D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经评价，本项目达成年初设立的绩效目标，在实施过程中取得了良好 的成效，具体表现在：通过本项目的实施，将会缓解债权人经济困难，具 有化解信访矛盾方面的影响。项目结束后将进一步提升政府形象。但在实 施过程中也存在一些不足：在项目立项阶段，除技术可行性外，没有专项 评估资金支付能力及供应链稳定性，“先立项、后筹钱”，支付能力不足 导致该项目欠款，欠款形成后，长期未形成还款方案，导致还款不确定性 大，中小企业心理预期较差。偿还时间拖延过长，竣工验收不及时，导致 企业通过信访渠道反映问题。项目欠款时间过长，单位人员调动频次多， 经手人员过多，导致关于清欠欠款的凭据收集困难，向财政申报的数据不 统一没有连贯性。签订化解协议，申报化解中小企业欠款项目后资金到位 困难，企业等待焦急。 （二）评价结论 此次绩效评价通过绩效评价小组论证的评价指标体系及评分标准，采 用因素分析法和比较法对本项目绩效进行客观评价，本项目共设置三级指 标数量 19 个，实现三级指标数量 19 个，总体完成率为 100%。最终评分 结果：总分为 100 分，绩效评级为“优秀”。综合评价结论如下： 项目决策类指标共设置 6 个，满分指标 6 个，得分率 100%； 过程管理类指标共设置 5 个，满分指标 5 个，得分率 100%； 项目产出类指标共设置 4 个，满分指标 4 个，得分率 100%； 项目成本类指标共设置 2 个，满分指标 2 个，得分率 100%；项目效益类指标共设置 2 个，满分指标 2 个，得分率 100%。</w:t>
      </w:r>
    </w:p>
    <w:p w14:paraId="605A333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074888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6D5671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项目决策类指标由 3 个二级指标和 6 个三级指标构成，权重分 21.00 分，实际得分 21.00 分。 1.项目立项情况分析 （1）立项依据充分性 本项目立项符合《关于申请化解呼图壁县人工影响天气标准化作业基 地项目项目资金的请示》（呼气发【2024】6 号）中：“根据呼县化债方 案多次与债权方项目经理谈判，建设方经理人因家庭困难急需用钱拒不接 受资产化解，先后到州、自治区上访。2024 年单位再次与之沟通，对方 愿意接受剩余未付款项以 80%资金的形式（43.68 万元）一次性付清。现 经过呼图壁县气象局班子会议通过，县政府分管领导批示后，决定申请化 债资金 43.68 万元”。本项目立项符合《呼图壁县人工影响天气标准化作 业基地项目化解协议书》中：经甲、乙双方平等、自愿协商同意，按照以 下第 1 项所列方式进行化解支付。1.按照剩余欠款金额为基准，支付 80% 资金，视为化解终结，剩余款项乙方不再向甲方索要，双方再无债权债务 纠纷。本项目立项符合《呼图壁县人工影响天气办公室单位配置内设机构 和人员编制规定》中职责范围中的“呼图壁县人工影响天气办公室主要负 责呼图壁县人工影响天气作业计划的制定并且实施，为呼图壁县建设和呼 图壁县居民生活提供人工影响天气服务。”，属于我单位履职所需；根据 《财政资金直接支付申请书》，本项目资金性质为“公共财政预算”功能 分类为“气象基础设施建设与维修”经济分类为“基础设施建设”属于公共财政支持范围，符合中央、地方事权支出责任划分原则；经检查我单位 财政应用平台指标，本项目不存在重复。 综上所述，本指标满分为 5.00 分，根据评分标准得 5.00 分，本项目 立项依据充分。 （2）立项程序规范性 本项目为非基础建设类项目，不涉及发改立项批复流程，由我单位自 行编制项目实施方案和项目预算申请计划，经过与党委会研究确定最终预 算方案。经查看，该项目申请设立过程产生的相关文件，符合相关要求。 综上所述，本指标满分为 3.00 分，根据评分标准得 3.00 分，本项目 立项程序规范。 2.绩效目标情况分析 （1）绩效目标合理性 本项目已设置年度绩效目标，具体内容为“本项目拟投入 43.68 万元 用于化解呼图壁县人工影响天气标准化作业基地拖欠工程款，计划于 2024 年 12 月 31 日前化解，通过本项目的实施，将会缓解债权人经济困 难，具有化解信访矛盾方面的影响。项目结束后将进一步提升政府形象。”； 本项目实际工作内容为：截止 2024 年 12 月 31 日，项目实际化解呼图壁 县人工影响天气标准化作业基地拖欠昌吉州腾威建设工程有限责任公司 的工程款，通过本项目的实施，将会缓解债权人经济困难，具有化解信访 矛盾方面的影响。项目结束后将进一步提升政府形象。；绩效目标与实际 工作内容一致，两者具有相关性;本项目预算申请资金 43.68 万元，预算 确定资金量与实际工作任务相匹配。本项目按照绩效目标完成了数量指 标、质量指标、时效指标、成本指标，有效保障了顺利化解呼图壁县人工影响天气标准化作业基地拖欠昌吉州腾威建设工程有限责任公司的工程 款，通过本项目的实施，将会缓解债权人经济困难，具有化解信访矛盾方 面的影响。项目结束后将进一步提升政府形象，年度绩效目标完成，预期 产出效益和效果符合正常的业绩水平。 综上所述，本指标满分为 4.00 分，根据评分标准得 4.00 分，本项目 绩效目标设置合理。 （2）绩效指标明确性 经检查我单位年初设置的《项目支出绩效目标表》，得出如下结论： 本项目已将年度绩效目标进行细化为绩效指标体系，共设置一级指标 3 个，二级指标 6 个，三级指标 8 个，定量指标 7 个，定性指标 1 个，指标 量化率为 87.5%，量化率达 70.00%以上。 综上所述，本指标满分为 3.00 分，根据评分标准得 3.00 分，本项目 所设置绩效指标明确。 3.资金投入情况分析 （1）预算编制科学性 本项目预算编制通过本单位与昌吉州腾威建设工程有限责任公司双 方协定后，并签订呼图壁县人工影响天气标准化作业基地项目资金化解协 议书得出，即预算编制较科学且经过论证； 预算申请内容为本项目拟投入 43.68 万元用于化解呼图壁县人工影 响天气标准化作业基地拖欠昌吉州腾威建设工程有限责任公司的工程款， 计划于 2024 年 12 月 31 日前化解，通过本项目的实施，将会缓解债权人 经济困难，具有化解信访矛盾方面的影响。项目结束后将进一步提升政府 形象。项目实际内容为截止 2024 年 12 月 31 日，项目实际化解呼图壁县人工影响天气标准化作业基地拖欠昌吉州腾威建设工程有限责任公司的 工程款，通过本项目的实施，缓解债权人经济困难，具有化解信访矛盾方 面的影响。项目结束后将进一步提升政府形象，预算申请与《呼图壁县人 工影响天气标准化作业基地项目资金化解协议书》中涉及的项目内容匹 配； 本项目预算申请资金 43.68 万元，我单位在预算申请中严格按照分项 成本和种类进行核算。本项目预算额度测算依据充分，严格按照标准编制， 预算确定资金量与实际工作任务相匹配； 综上所述，本指标满分为 4.00 分，根据评分标准 4.00 分，本项目预 算编制科学。 （2）资金分配合理性 本项目实际分配资金以《关于申请化解呼图壁县人工影响天气标准化 作业基地项目项目资金的请示》（呼气发【2024】6 号）和《化解呼图壁 县人工影响天气标准化作业基地项目实施方案》为依据进行资金分配，预 算资金分配依据充分。根据《6 月化解中小企业欠款呼图壁县人工影响天 气标准化作业基地项目资金下达文件》文件显示，本项目实际到位资金 43.68 万元，实际分配资金与我单位提交申请的资金额度一致，资金分配 额度合理，与我单位实际需求相适应。 综上所述，本指标满分为 2.00 分，根据评分标准得 2.00 分，本项目 资金分配合理。</w:t>
      </w:r>
      <w:r>
        <w:rPr>
          <w:rStyle w:val="18"/>
          <w:rFonts w:hint="eastAsia" w:ascii="楷体" w:hAnsi="楷体" w:eastAsia="楷体"/>
          <w:b w:val="0"/>
          <w:bCs w:val="0"/>
          <w:spacing w:val="-4"/>
          <w:sz w:val="32"/>
          <w:szCs w:val="32"/>
        </w:rPr>
        <w:tab/>
      </w:r>
    </w:p>
    <w:p w14:paraId="37B4B8C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244CB4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项目过程管理类指标由 2 个二级指标和 5 个三级指标构成，权重分 19.00 分，实际得分 19.00 分。1.资金管理情况分析 （1）资金到位率 本项目预算资金为 43.68 万元，其中：本级财政安排资金 43.68 万元， 其他资金 0 万元，实际到位资金 43.68 万元，资金到位率=（实际到位资 金/预算资金）×100.00%=（43.68/43.68）*100.00%=100%。得分=资金到 位率*分值=100%*4=4 分。 </w:t>
      </w:r>
      <w:bookmarkStart w:id="0" w:name="_GoBack"/>
      <w:bookmarkEnd w:id="0"/>
      <w:r>
        <w:rPr>
          <w:rStyle w:val="18"/>
          <w:rFonts w:hint="eastAsia" w:ascii="楷体" w:hAnsi="楷体" w:eastAsia="楷体"/>
          <w:b w:val="0"/>
          <w:bCs w:val="0"/>
          <w:spacing w:val="-4"/>
          <w:sz w:val="32"/>
          <w:szCs w:val="32"/>
        </w:rPr>
        <w:t>综上所述，本指标满分为 4.00 分，根据评分标准得 4.00 分，本项目 资金分配合理。 （2）预算执行率 本项目实际支出资金 43.68 万元，预算执行率=（实际支出资金/实际 到位资金）×100.00%=（43.68/43.68）*100.00%=100%。得分=预算执行 率*分值=100%*5=5 分。 综上所述，本指标满分为 5.00 分，根据评分标准得 5.00 分，本项目 资金分配合理。 （3）资金使用合规性 通过检查本项目签订的合同、资金申请文件、发票等财务付款凭证， 得出本项目资金支出符合国家财经法规、《政府会计制度》以及《呼图壁 县人工影响天气办公室单位资金管理办法》《呼图壁县人工影响天气办公 室专项资金管理办法》，资金的拨付有完整的审批程序和手续，资金实际 使用方向与预算批复用途一致，不存在截留、挤占、挪用、虚列支出的情 况。 综上所述，本指标满分为 4.00 分，根据评分标准得 4.00 分，资金支 出符合我单位财务管理制度规定。2.组织实施情况分析 （1）管理制度健全性 我单位已制定《呼图壁县人工影响天气办公室资金管理办法》《呼图 壁县人工影响天气办公室项目管理制度》，上述已建立的制度均符合行政 事业单位内控管理要求，财务和业务管理制度合法、合规、完整，本项目 执行符合上述制度规定。 综上所述，本指标满分为 2.00 分，根据评分标准得 2.00 分，项目制 度建设健全。 （2）制度执行有效性 经对比分析本项目实际执行过程资料和已建立的项目管理制度和财 务管理制度，得出本项目严格按照本单位已建立制度执行。项目实施过程 中产生的文件，如化债协议书、国库集中支付凭证、银行回单等资料齐全 并及时进行了归档。项目资金支出严格按照自治区、地区、市以及本单位 资金管理办法执行，项目启动实施后，为了加快本项目的实施，成立了化 解呼图壁县人工影响天气标准化作业基地项目工作领导小组，由单位书记 张磊任组长，负责项目的组织工作；王向峰任副组长，负责项目的实施工 作；组员包括：李念铎和钱增慧，主要负责化解协议书的签订和资金核拨 等工作。 综上所述，本指标满分为 4.00 分，根据评分标准得 4 分，本项目所 建立制度执行有效。</w:t>
      </w:r>
    </w:p>
    <w:p w14:paraId="7417BE3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EADD84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 3 个二级指标和 4 个三级指标构成，权重分 20.0 分，实际得分 20 分。1.数量指标完成情况分析 “还款涉及企业个数”指标：预期指标值为“=1 个”，实际完成指 标值为“1 个”，指标完成率为 100.0%。 综上所述，本指标满分为 5 分，根据评分标准得 5 分。 2.质量指标完成情况分析 “项目化债总完成率”指标：预期指标值为“=100%”，实际完成指 标值为“=100%”，指标完成率为 100%。 综上所述，本指标满分为 5 分，根据评分标准得 5 分。 3.时效指标完成情况分析 “还款及时率”指标：预期指标值为“=100%”，实际完成指标值为 “=100%”，指标完成率为 100%。 综上所述，本指标满分为 5 分，根据评分标准得 5 分。 “调解完成及时率”指标：预期指标值为“=100%”，实际完成指标 值为“=100%”，指标完成率为 100%。 综上所述，本指标满分为 5 分，根据评分标准得 5 分。 （四）项目成本情况 项目成本情况指标由 1 个二级指标和 2 个三级指标构成，权重分 10.0 分，实际得分 10 分。 1.经济成本指标完成情况分析 “工程款”指标：预期指标值为“&lt;=38.68 万元”，实际完成指标值 为“=38.68 万元”，指标完成率为 100%。 综上所述，本指标满分为 5 分，根据评分标准得 5 分。 “劳务费”指标：预期指标值为“&lt;=5 万元”，实际完成指标值为“=5万元”，指标完成率为 100%。 综上所述，本指标满分为 5 分，根据评分标准得 5 分。 2.社会成本指标完成情况分析 无该类指标 3.生态环境成本指标完成情况分析 无该类指标</w:t>
      </w:r>
    </w:p>
    <w:p w14:paraId="739A377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65BAE2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 1 个二级指标和 2 个三级指标构成，权重分 30.0 分，实际得分 30 分。 1.经济效益完成情况分析 无该类指标 2.社会效益完成情况分析 “缓解债权人经济困难”指标：预期指标值为“有效缓解”，实际完 成指标值为“达到预期指标”，指标完成率为 100.0%。 综上所述，本指标满分为 15 分，根据评分标准得 15 分。 3.生态效益完成情况分析 无该类指标</w:t>
      </w:r>
    </w:p>
    <w:p w14:paraId="15F21BD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 “债权单位满意度”指标：预期指标值为“&gt;=100%”，实际完成指标 值为“=100%”，指标完成率为 100%。 综上所述，本指标满分为 15 分，根据评分标准得 15 分。</w:t>
      </w:r>
    </w:p>
    <w:p w14:paraId="3A37274B">
      <w:pPr>
        <w:spacing w:line="540" w:lineRule="exact"/>
        <w:ind w:firstLine="567"/>
        <w:rPr>
          <w:rStyle w:val="18"/>
          <w:rFonts w:hint="eastAsia" w:ascii="楷体" w:hAnsi="楷体" w:eastAsia="楷体"/>
          <w:b w:val="0"/>
          <w:bCs w:val="0"/>
          <w:spacing w:val="-4"/>
          <w:sz w:val="32"/>
          <w:szCs w:val="32"/>
        </w:rPr>
      </w:pPr>
    </w:p>
    <w:p w14:paraId="5EE9EAD4">
      <w:pPr>
        <w:spacing w:line="540" w:lineRule="exact"/>
        <w:ind w:firstLine="567"/>
        <w:rPr>
          <w:rStyle w:val="18"/>
          <w:rFonts w:ascii="楷体" w:hAnsi="楷体" w:eastAsia="楷体"/>
          <w:spacing w:val="-4"/>
          <w:sz w:val="32"/>
          <w:szCs w:val="32"/>
        </w:rPr>
      </w:pPr>
    </w:p>
    <w:p w14:paraId="446A14A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61B12A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经单位工作人员的梳理对欠款的明细和还款的明细进行了确定，对企 业和债权人的经济状况开展调研，积极沟通谈判，制定了双方一致的化解 方案，改善中小企业经营难度和对政府信心的恢复。以后在申报项目前将 支付能力纳入预算前置审核，确保“无资金不立项”。化解现有欠款的同 时需严控债务的增加，做到按预算支出，避免产生新的欠款。同时在预算 管理和资金支付做到严格遵守财政部门规定，不挤不挪用资金，无预算不 立项施工。通过风险条款与动态评级，筑牢支付保障底线，数字赋能，以 物联网、大数据、区块链实现全流程透明可控 （二）存在的问题及原因分析 在项目立项阶段，除技术可行性外，没有专项评估资金支付能力及供 应链稳定性，“先立项、后筹钱”，支付能力不足导致该项目欠款，欠款 形成后，长期未形成还款方案，导致还款不确定性大，中小企业心理预期 较差。偿还时间拖延过长，竣工验收不及时，导致企业通过信访渠道反映 问题。项目欠款时间过长，单位人员调动频次多，经手人员过多，导致关 于清欠欠款的凭据收集困难，向财政申报的数据不统一没有连贯性。签订 化解协议，申报化解中小企业欠款项目后资金到位困难，企业等待焦急。</w:t>
      </w:r>
    </w:p>
    <w:p w14:paraId="2647441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28D7C4D">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在项目立项阶段，除技术可行性外，需专项评估资金支付能力及供应 链稳定性。重点审查合作中小企业的财务状况、历史履约记录，优先选择 信用评级 B 级以上的本地企业。今后应将项目分为设备采购、基建施工、运维服务等多个阶段，每阶段启动前需通过“资金-支付能力”双审核， 若财政资金到位率低于 80%，则暂缓下一阶段招标。对供应商账款支付风 险进行压力测试，做出财政资金不到位的应急预案。确保预算编制科学、 执行刚性，从源头预防支付违约。按合同标的拆分预算科目，如“设备采 购款”需细化至供应商名称、合同金额、支付节点（如预付款 30%、验收 款 50%、质保金 20%），杜绝“打包列支”导致的资金挪用。设立“项目 专户”与“账款支付专户”，财政资金到账后，按合同约定比例自动划转 至支付专户，确保“钱等项目”而非“项目等钱”。设定“支付逾期红线” （如单笔账款逾期超 30 天即触发预警），自动冻结项目其他非紧急支出， 优先调配资金清偿欠款。确保资金专款专用，杜绝挪用风险，保障中小企 业账款支付优先级。分设“项目运营账户”（用于设备采购、施工等直接 成本）和“账款支付专户”（专项用于中小企业应付账款），财政资金到 账后按合同约定比例自动划转至支付专户。根据项目里程碑（如设备安装 完成 50%）触发自动付款，通过物联网设备采集进度数据，减少人为干预。 将“账款支付及时率”“中小企业满意度”纳入资金管理绩效指标，对达 标单位给予下年度预算额度上浮 10%的奖励。对恶意拖欠单位，限制其参 与其他财政项目投标，并将其法定代表人纳入征信系统。优化项目管理， 确保及时支付中小企业款项，避免拖欠问题，同时提升项目的效率和规范 性。将政策（化解欠款）与具体项目管理结合，确保合规和资金到位。优 化项目管理流程来预防欠款问题，如何加强监督和沟通机制来保障中小企 业的权益。合同中的支付条款，分阶段付款，设立资金专户，使用信息化 平台提高透明度，建立反馈渠道，引入第三方评估等。同时，要结合人工 影响天气项目的特殊性，比如作业的季节性、技术复杂性，可能需要特别关注资金拨付的及时性，避免因项目延误导致欠款。考虑可能的挑战，比 如资金到位不及时，项目进度延误，沟通不畅等，建议准备应急周转金、 动态调整支付计划、定期协调会议等。</w:t>
      </w:r>
    </w:p>
    <w:p w14:paraId="6D97BC8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9DEF9B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 认定项目产生的全部效果。通过指标来反映绩效，指标的科学性和全面性 需要不断地完善和研究。 （二）评价结果作为安排政府预算、完善政策和改进管理的重要依据。 原则上，对评价等级为优、良的，根据情况予以支持；对评价等级为中、 差的，要完善政策、改进管理，根据情况核减预算。 （三）评价结果分别编入政府决算和部门预算，报送本级人民代表大 会常务委员会，并依法予以公开。 （四）我单位对上述项目支出绩效评价报告内反映内容的真实性、完 整性负责，接受上级部门及社会公众监督。</w:t>
      </w:r>
    </w:p>
    <w:p w14:paraId="42B48332">
      <w:pPr>
        <w:spacing w:line="540" w:lineRule="exact"/>
        <w:ind w:firstLine="567"/>
        <w:rPr>
          <w:rStyle w:val="18"/>
          <w:rFonts w:ascii="仿宋" w:hAnsi="仿宋" w:eastAsia="仿宋"/>
          <w:b w:val="0"/>
          <w:spacing w:val="-4"/>
          <w:sz w:val="32"/>
          <w:szCs w:val="32"/>
        </w:rPr>
      </w:pPr>
    </w:p>
    <w:p w14:paraId="5C50551C">
      <w:pPr>
        <w:spacing w:line="540" w:lineRule="exact"/>
        <w:ind w:firstLine="567"/>
        <w:rPr>
          <w:rStyle w:val="18"/>
          <w:rFonts w:ascii="仿宋" w:hAnsi="仿宋" w:eastAsia="仿宋"/>
          <w:b w:val="0"/>
          <w:spacing w:val="-4"/>
          <w:sz w:val="32"/>
          <w:szCs w:val="32"/>
        </w:rPr>
      </w:pPr>
    </w:p>
    <w:p w14:paraId="6F48AE11">
      <w:pPr>
        <w:spacing w:line="540" w:lineRule="exact"/>
        <w:ind w:firstLine="567"/>
        <w:rPr>
          <w:rStyle w:val="18"/>
          <w:rFonts w:ascii="仿宋" w:hAnsi="仿宋" w:eastAsia="仿宋"/>
          <w:b w:val="0"/>
          <w:spacing w:val="-4"/>
          <w:sz w:val="32"/>
          <w:szCs w:val="32"/>
        </w:rPr>
      </w:pPr>
    </w:p>
    <w:p w14:paraId="3C245F62">
      <w:pPr>
        <w:spacing w:line="540" w:lineRule="exact"/>
        <w:ind w:firstLine="567"/>
        <w:rPr>
          <w:rStyle w:val="18"/>
          <w:rFonts w:ascii="仿宋" w:hAnsi="仿宋" w:eastAsia="仿宋"/>
          <w:b w:val="0"/>
          <w:spacing w:val="-4"/>
          <w:sz w:val="32"/>
          <w:szCs w:val="32"/>
        </w:rPr>
      </w:pPr>
    </w:p>
    <w:p w14:paraId="3C30B412">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3B454F9">
        <w:pPr>
          <w:pStyle w:val="12"/>
          <w:jc w:val="center"/>
        </w:pPr>
        <w:r>
          <w:fldChar w:fldCharType="begin"/>
        </w:r>
        <w:r>
          <w:instrText xml:space="preserve">PAGE   \* MERGEFORMAT</w:instrText>
        </w:r>
        <w:r>
          <w:fldChar w:fldCharType="separate"/>
        </w:r>
        <w:r>
          <w:rPr>
            <w:lang w:val="zh-CN"/>
          </w:rPr>
          <w:t>2</w:t>
        </w:r>
        <w:r>
          <w:fldChar w:fldCharType="end"/>
        </w:r>
      </w:p>
    </w:sdtContent>
  </w:sdt>
  <w:p w14:paraId="2CF3437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9892A30"/>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11325</Words>
  <Characters>11966</Characters>
  <Lines>4</Lines>
  <Paragraphs>1</Paragraphs>
  <TotalTime>13</TotalTime>
  <ScaleCrop>false</ScaleCrop>
  <LinksUpToDate>false</LinksUpToDate>
  <CharactersWithSpaces>12815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2025-08-12T08:23:41Z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