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1F135D">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5ADD7EFF">
      <w:pPr>
        <w:spacing w:line="540" w:lineRule="exact"/>
        <w:jc w:val="center"/>
        <w:rPr>
          <w:rFonts w:ascii="华文中宋" w:hAnsi="华文中宋" w:eastAsia="华文中宋" w:cs="宋体"/>
          <w:b/>
          <w:kern w:val="0"/>
          <w:sz w:val="52"/>
          <w:szCs w:val="52"/>
        </w:rPr>
      </w:pPr>
    </w:p>
    <w:p w14:paraId="56A7B29E">
      <w:pPr>
        <w:spacing w:line="540" w:lineRule="exact"/>
        <w:jc w:val="center"/>
        <w:rPr>
          <w:rFonts w:ascii="华文中宋" w:hAnsi="华文中宋" w:eastAsia="华文中宋" w:cs="宋体"/>
          <w:b/>
          <w:kern w:val="0"/>
          <w:sz w:val="52"/>
          <w:szCs w:val="52"/>
        </w:rPr>
      </w:pPr>
    </w:p>
    <w:p w14:paraId="1F0BFE11">
      <w:pPr>
        <w:spacing w:line="540" w:lineRule="exact"/>
        <w:jc w:val="center"/>
        <w:rPr>
          <w:rFonts w:ascii="华文中宋" w:hAnsi="华文中宋" w:eastAsia="华文中宋" w:cs="宋体"/>
          <w:b/>
          <w:kern w:val="0"/>
          <w:sz w:val="52"/>
          <w:szCs w:val="52"/>
        </w:rPr>
      </w:pPr>
    </w:p>
    <w:p w14:paraId="35F9E8CC">
      <w:pPr>
        <w:spacing w:line="540" w:lineRule="exact"/>
        <w:jc w:val="center"/>
        <w:rPr>
          <w:rFonts w:ascii="华文中宋" w:hAnsi="华文中宋" w:eastAsia="华文中宋" w:cs="宋体"/>
          <w:b/>
          <w:kern w:val="0"/>
          <w:sz w:val="52"/>
          <w:szCs w:val="52"/>
        </w:rPr>
      </w:pPr>
    </w:p>
    <w:p w14:paraId="4F4F6BCA">
      <w:pPr>
        <w:spacing w:line="540" w:lineRule="exact"/>
        <w:jc w:val="center"/>
        <w:rPr>
          <w:rFonts w:ascii="华文中宋" w:hAnsi="华文中宋" w:eastAsia="华文中宋" w:cs="宋体"/>
          <w:b/>
          <w:kern w:val="0"/>
          <w:sz w:val="52"/>
          <w:szCs w:val="52"/>
        </w:rPr>
      </w:pPr>
    </w:p>
    <w:p w14:paraId="630D8CD0">
      <w:pPr>
        <w:spacing w:line="540" w:lineRule="exact"/>
        <w:jc w:val="center"/>
        <w:rPr>
          <w:rFonts w:ascii="华文中宋" w:hAnsi="华文中宋" w:eastAsia="华文中宋" w:cs="宋体"/>
          <w:b/>
          <w:kern w:val="0"/>
          <w:sz w:val="52"/>
          <w:szCs w:val="52"/>
        </w:rPr>
      </w:pPr>
    </w:p>
    <w:p w14:paraId="415F0D4C">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113F38B">
      <w:pPr>
        <w:spacing w:line="540" w:lineRule="exact"/>
        <w:jc w:val="center"/>
        <w:rPr>
          <w:rFonts w:ascii="华文中宋" w:hAnsi="华文中宋" w:eastAsia="华文中宋" w:cs="宋体"/>
          <w:b/>
          <w:kern w:val="0"/>
          <w:sz w:val="52"/>
          <w:szCs w:val="52"/>
        </w:rPr>
      </w:pPr>
    </w:p>
    <w:p w14:paraId="1531C5AB">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0C08892D">
      <w:pPr>
        <w:spacing w:line="540" w:lineRule="exact"/>
        <w:jc w:val="center"/>
        <w:rPr>
          <w:rFonts w:hAnsi="宋体" w:eastAsia="仿宋_GB2312" w:cs="宋体"/>
          <w:kern w:val="0"/>
          <w:sz w:val="30"/>
          <w:szCs w:val="30"/>
        </w:rPr>
      </w:pPr>
    </w:p>
    <w:p w14:paraId="706504D2">
      <w:pPr>
        <w:spacing w:line="540" w:lineRule="exact"/>
        <w:jc w:val="center"/>
        <w:rPr>
          <w:rFonts w:hAnsi="宋体" w:eastAsia="仿宋_GB2312" w:cs="宋体"/>
          <w:kern w:val="0"/>
          <w:sz w:val="30"/>
          <w:szCs w:val="30"/>
        </w:rPr>
      </w:pPr>
    </w:p>
    <w:p w14:paraId="08572604">
      <w:pPr>
        <w:spacing w:line="540" w:lineRule="exact"/>
        <w:jc w:val="center"/>
        <w:rPr>
          <w:rFonts w:hAnsi="宋体" w:eastAsia="仿宋_GB2312" w:cs="宋体"/>
          <w:kern w:val="0"/>
          <w:sz w:val="30"/>
          <w:szCs w:val="30"/>
        </w:rPr>
      </w:pPr>
    </w:p>
    <w:p w14:paraId="2BFC7976">
      <w:pPr>
        <w:spacing w:line="540" w:lineRule="exact"/>
        <w:jc w:val="center"/>
        <w:rPr>
          <w:rFonts w:hAnsi="宋体" w:eastAsia="仿宋_GB2312" w:cs="宋体"/>
          <w:kern w:val="0"/>
          <w:sz w:val="30"/>
          <w:szCs w:val="30"/>
        </w:rPr>
      </w:pPr>
    </w:p>
    <w:p w14:paraId="6E116B19">
      <w:pPr>
        <w:spacing w:line="540" w:lineRule="exact"/>
        <w:jc w:val="center"/>
        <w:rPr>
          <w:rFonts w:hAnsi="宋体" w:eastAsia="仿宋_GB2312" w:cs="宋体"/>
          <w:kern w:val="0"/>
          <w:sz w:val="30"/>
          <w:szCs w:val="30"/>
        </w:rPr>
      </w:pPr>
    </w:p>
    <w:p w14:paraId="7B1A8C35">
      <w:pPr>
        <w:spacing w:line="540" w:lineRule="exact"/>
        <w:jc w:val="center"/>
        <w:rPr>
          <w:rFonts w:hAnsi="宋体" w:eastAsia="仿宋_GB2312" w:cs="宋体"/>
          <w:kern w:val="0"/>
          <w:sz w:val="30"/>
          <w:szCs w:val="30"/>
        </w:rPr>
      </w:pPr>
    </w:p>
    <w:p w14:paraId="17A5CC05">
      <w:pPr>
        <w:spacing w:line="540" w:lineRule="exact"/>
        <w:rPr>
          <w:rFonts w:hAnsi="宋体" w:eastAsia="仿宋_GB2312" w:cs="宋体"/>
          <w:kern w:val="0"/>
          <w:sz w:val="30"/>
          <w:szCs w:val="30"/>
        </w:rPr>
      </w:pPr>
    </w:p>
    <w:p w14:paraId="18FD9BAB">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DEB01CF">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调整下达2024年度自治州人大代表经费</w:t>
      </w:r>
    </w:p>
    <w:p w14:paraId="366750DC">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呼图壁县人民代表大会常务委员会办公室</w:t>
      </w:r>
    </w:p>
    <w:p w14:paraId="0F274C83">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呼图壁县人民代表大会常务委员会办公室</w:t>
      </w:r>
    </w:p>
    <w:p w14:paraId="7FBF67E1">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许红</w:t>
      </w:r>
    </w:p>
    <w:p w14:paraId="709CB755">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2025年06月17日</w:t>
      </w:r>
    </w:p>
    <w:p w14:paraId="4D280723">
      <w:pPr>
        <w:spacing w:line="700" w:lineRule="exact"/>
        <w:ind w:firstLine="708" w:firstLineChars="236"/>
        <w:jc w:val="left"/>
        <w:rPr>
          <w:rFonts w:hAnsi="宋体" w:eastAsia="仿宋_GB2312" w:cs="宋体"/>
          <w:kern w:val="0"/>
          <w:sz w:val="30"/>
          <w:szCs w:val="30"/>
        </w:rPr>
      </w:pPr>
    </w:p>
    <w:p w14:paraId="2E9E2406">
      <w:pPr>
        <w:spacing w:line="540" w:lineRule="exact"/>
        <w:rPr>
          <w:rStyle w:val="18"/>
          <w:rFonts w:ascii="黑体" w:hAnsi="黑体" w:eastAsia="黑体"/>
          <w:b w:val="0"/>
          <w:spacing w:val="-4"/>
          <w:sz w:val="32"/>
          <w:szCs w:val="32"/>
        </w:rPr>
      </w:pPr>
    </w:p>
    <w:p w14:paraId="71B38D2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4D640D93">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11BBFC4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全面提升服务社会能力，保障工作平稳进行的要求开展本项目工作，依据《关于调整下达2024年度自治州人大代表经费项目的通知》（昌州财行【2024】15号文件），落实自治州党委、人大工作会议精神，州人大代表活动经费用于人大代表开展的“三查（察）”和“双联系”活动等。全面提升服务社会能力，保障工作平稳进行；加快推进基层立法联系点活动场所、人员设施、功能布局建设，发挥基层立法联系点作用。 测算依据：本项目共投入7.45万元，其中州代表活动经费5.45万元，基层立法点补助2万元。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（1）项目名称：调整下达2024年度自治州人大代表经费项目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（2）项目主要内容：一是落实自治州党委、人大工作会议精神，州人大代表活动经费用于人大代表开展的“三查（察）”和“双联系”活动等。全面提升服务社会能力，保障工作平稳进行。 二是加快推进基层立法联系点活动场所、人员设施、功能布局建设，发挥基层立法联系点作用，全面提升服务社会能力，保障工作平稳进行。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实施主体：呼图壁县人民代表大会常务委员会办公室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根据《关于调整下达2024年度自治州人大代表经费的通知》（昌州财行【2024】15号）文件附带的区域目标，结合呼图壁县实际情况，本项目计划投入7.45万元用于州代表活动经费及基层立法联系点建设。通过项目的实施，促进州代表能更好的开展“三查（察）”和“双联系”活动等，落实自治州党委、人大工作会议精神，全面提升服务社会能力，保障工作平稳进行；加快推进基层立法联系点活动场所、人员设施、功能布局建设，发挥基层立法联系点作用，全面提升服务社会能力，保障工作平稳进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（1）在本行政区域内，保证宪法、法律、行政法规和上级人民代表大会及其常务委员会决议的遵守和执行；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（2）领导或者主持本级人民代表大会代表的选举；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（3）召集本级人民代表大会会议；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（4）讨论、决定本行政区域内的政治、经济、教育、科学、文化、卫生、环境和资源保护、民政、民族等工作的重大事项；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（5）根据本级人民政府的建议，决定对本行政区域内的国民经济和社会发展计划、决算的部分变更；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（6）监督本级人民政府、监察委员会、人民法院和人民检察院的工作，联系本级人民代表大会代表，受理人民群众对上述机关和国家工作人员的申诉和意见；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（7）撤销本级人民政府的不适当的决定和命令；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（8）在本级人民代表大会闭会期间，决定“一府一委两院”个别组成人员的任免；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（9）在本级人民代表大会闭会期间，补选上一级人民代表大会出缺的代表和罢免个别代表。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呼图壁县人民代表大会常务委员会办公室无下属预算单位，下设 5 个处室，1个中心。分别是：县人大常委会办公室；法制工作委员会；预算工作委员会；教科文卫工作委员会、民族侨务工作委员会；代表工作委员会；人大代表联络中心。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呼图壁县人民代表大会常务委员会办公室编制数24人，实有人数46人，其中：在职23人，减少1人；退休23人，减少2人；离休0人，增加0人。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本项目预算安排总额为7.45万元，资金来源为上级财政拨款，其中：财政资金7.45万元，其他资金0万元，2024年实际收到预算资金7.45万元，预算资金到位率为100%。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截至2024年12月31日，本项目实际支付资金7.45万元，预算执行率100%。本项目资金主要用于支付州代表活动经费2.93万元；基层立法点补助2万元；州代表活动履职补助720元/人/年，35人，合计2.52万元。</w:t>
      </w:r>
    </w:p>
    <w:p w14:paraId="6DCF976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6BBF5E0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调整下达2024年度自治州人大代表经费的通知》（昌州财行【2024】15号）文件附带的区域目标，结合呼图壁县实际情况，本项目计划投入7.45万元用于州代表活动经费及基层立法联系点建设。通过项目的实施，促进州代表能更好的开展的“三查（察）”和“双联系”活动等，落实自治州党委、人大工作会议精神，全面提升服务社会能力，保障工作平稳进行；加快推进基层立法联系点活动场所、人员设施、功能布局建设，发挥基层立法联系点作用，全面提升服务社会能力，保障工作平稳进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“州人大代表人数 ”指标，预期指标值为“大于等于35人”；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“立法联系点”指标，预期指标值为“大于等于1个”；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“推动人大依法监督工作质效”指标，预期指标值为“&gt;=95%”；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“立法点补助标准”指标，预期指标值为“=2万元”；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“人大代表补助标准”指标，预期指标值为“=720元/人/年”；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“服务社会能力提升”指标，预期指标值为“提升”；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“群众满意度”指标，预期指标值为“&gt;=95%”。</w:t>
      </w:r>
    </w:p>
    <w:p w14:paraId="7E0D23F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411FD00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03EF8A9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此次我单位根据《财政支出绩效评价管理暂行办法》（财预〔2020〕10号）文件要求实施评价工作，本次评价对象为调整下达2024年度自治州人大代表经费项目，评价核心为项目资金、项目产出、项目效益。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p>
    <w:p w14:paraId="50B24F0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583F9E0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公众评判法对项目进行评价，旨在通过综合分析影响绩效目标实现、实施效果的内外部因素，从而评价本项目绩效。三级指标分析环节：总体采用比较法，公众评判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0595BCA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5B79AC6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许红（党组成员、办公室主任）任评价组组长：主要负责项目策划和监督，全面负责项目绩效评价办稿的最终质量，对评估人员出具的最终报告质量进行复核，确保评估结果的客观性；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黄卫（代工委主任）任评价组成员：主要负责资料的收集，取证、数据统计分析；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雷君（二级主任科员、会计）任评价组成员：主要负责主要负责项目报告的制定，指标的研判，数据分析及报告撰写。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经调研了解，该项目主要受益群体包括州人大代表。我们根据绩效评价目标和绩效指标体系，设计满意度调查问卷进行问卷调查，其中州人大代表受益对象共选取样本31人，共发放问卷31份，最终收回31份。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2024年3月11日-3月20日，评价小组按照绩效评价的原则和规范，对取得的资料进行审查核实，对采集的数据进行分析，按照绩效评价指标评分表逐项进行打分、分析、汇总各方评价结果。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2024年3月20日-3月25日，评价小组撰写绩效评价报告，按照新疆维吾尔自治区财政绩效管理信息系统绩效评价模块中统一格式和文本框架撰写绩效评价报告并提交审核。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56A3765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7978BD2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州代表活动培训；对1个基层立法点发放了补助2万元；按照720元/人/年的标准，为35名州代表发放了履职补助，共2.52万元，提升了服务社会能力，保障了工作平稳进行；加快推进了基层立法联系点活动场所、人员设施、功能布局建设，全面提升了服务社会能力。但在实施过程中也存在一些不足：培训方案在具体实施中有偏差，在今后的工作中力争方案做的更实更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19个，实现三级指标数量19个，总体完成率为100%。最终评分结果：总分为100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项目成本类指标共设置2个，满分指标2个，得分率100.0%；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项目效益类指标共设置2个，满分指标2个，得分率100.0%；</w:t>
      </w:r>
    </w:p>
    <w:p w14:paraId="25E9FDFD">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20BA8DE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1C01A992">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华人民共和国地方各级人民代表大会和地方各级人民政府组织法》第四十四条：“规定县级以上地方各级人大常委会行使‘讨论、决定本行政区域内重大事项’‘监督一府一委两院工作’等职权，经费项目直接支撑代表行使监督权、重大事项决定权”等核心职能。《中华人民共和国全国人民代表大会和地方各级人民代表大会代表法》第三十四条：明确代表活动经费应列入本级财政预算，保障代表履职所需；第三十六条要求加强代表履职培训和服务保障。《国家“十四五”规划纲要》第五十八章“发展社会主义民主”中提出“完善人大代表联系群众制度”，要求强化代表履职保障，与本项目“支持代表调研、监督、联系群众”的目标直接契合。本项目立项符合《呼图壁县人民代表大会常务委员会办公室配置内设机构和人员编制规定》中职责范围中的“讨论、决定本行政区域内的政治、经济、教育、科学、文化、卫生、环境和资源保护、民政、民族等工作的重大事项；监督本级人民政府、监察委员会、人民法院和人民检察院的工作，联系本级人民代表大会代表，受理人民群众对上述机关和国家工作人员的申诉和意见。属于我单位履职所需；根据《财政资金直接支付申请书》，本项目资金性质为“公共财政预算”功能分类为“人大事务代表工作”经济分类为“培训费”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关于调整下达2024年度自治州人大代表经费的通知》(昌州财行【2024】15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根据《关于调整下达2024年度自治州人大代表经费的通知》（昌州财行【2024】15号）文件附带的区域目标，结合呼图壁县实际情况，本项目计划投入7.5万元用于州代表活动经费及基层立法联系点建设。通过项目的实施，促进州代表能更好的开展“三查（察）”和“双联系”活动等，落实自治州党委、人大工作会议精神，全面提升服务社会能力，保障工作平稳进行；加快推进基层立法联系点活动场所、人员设施、功能布局建设，发挥基层立法联系点作用，全面提升服务社会能力，保障工作平稳进行。”；本项目实际工作内容为：截止2024年12月31日，该项目已完成州代表活动开展及基层立法联系点建设工作。通过项目的实施，促进了州代表能更好的开展“三查（察）”和“双联系”活动等，落实自治州党委、人大工作会议精神，全面提升了服务社会能力，保障了工作平稳进行；加快推进了基层立法联系点活动场所、人员设施、功能布局建设，发挥基层立法联系点作用，全面提升了服务社会的能力，保障了工作平稳进行。绩效目标与实际工作内容一致，两者具有相关性;本项目预算申请资金7.45万元，预算确定资金量与实际工作任务相匹配。本项目按照绩效目标完成了数量指标、质量指标、时效指标、成本指标，通过项目的实施，有效保障了州代表能更好的开展“三查（察）”和“双联系”活动等，落实好自治州党委、人大工作会议精神，加快了推进基层立法联系点活动场所、人员设施、功能布局建设，发挥了基层立法联系点作用，全面提升了服务社会能力，保障了工作平稳进行。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8个，定量指标7个，定性指标1个，指标量化率为87.50%，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按照35人州代表活动补助经费标准2700元/人和立法点补助标准2万元/个，立法点个数为2个，计算得出为13.45万元，其中包括呼图壁镇水晶社区的立法点补助2万元，园户村和五工台镇的2个新建人大代表活动之家补助4万元。所以本单位该项目资金总额为7.45万元计算得出，经州人民代表大会常务委员会</w:t>
      </w:r>
      <w:bookmarkStart w:id="0" w:name="_GoBack"/>
      <w:bookmarkEnd w:id="0"/>
      <w:r>
        <w:rPr>
          <w:rStyle w:val="18"/>
          <w:rFonts w:hint="eastAsia" w:ascii="楷体" w:hAnsi="楷体" w:eastAsia="楷体"/>
          <w:b w:val="0"/>
          <w:bCs w:val="0"/>
          <w:spacing w:val="-4"/>
          <w:sz w:val="32"/>
          <w:szCs w:val="32"/>
        </w:rPr>
        <w:t>审批，即预算编制较科学且经过论证；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本项目共投入7.45万元，其中州代表活动经费5.45万元，基层立法点补助2万元。项目实际内容为州代表活动经费5.45万元，基层立法点补助2万元，预算申请与《调整下达2024年度自治州人大代表经费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7.45万元，我单位在预算申请中严格按照分项成本进行核算，其中本项目资金主要用于支付州代表活动经费2.93万元；基层立法点补助费2万元；州代表履职补助费2.52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度自治州人大代表经费项目资金的请示》和《2024年度自治州人大代表经费项目实施方案》为依据进行资金分配，预算资金分配依据充分。根据《2024年度自治州人大代表经费资金下达文件》文件显示，本项目实际到位资金7.45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319AEF1D">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6421A8F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本项目预算资金为7.45万元，其中：本级财政安排资金7.45万元，其他资金0万元，实际到位资金7.45万元，资金到位率=（实际到位资金/预算资金）×100.00%=（7.45/7.45）*100.00%=100%。得分=资金到位率*分值=100%*4=4分。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本项目实际支出资金7.45万元，预算执行率=（实际支出资金/实际到位资金）×100.00%=（7.45/7.45）*100.00%=100%。得分=预算执行率*分值=100%*5=5分。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人民代表大会常务委员会办公室单位资金管理办法》《呼图壁县人民代表大会常务委员会办公室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人民代表大会常务委员会办公室资金管理办法》《呼图壁县人民代表大会常务委员会办公室收支业务管理制度》《呼图壁县人民代表大会常务委员会办公室政府采购业务管理制度》《呼图壁县人民代表大会常务委员会办公室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关于赴博乐市、伊宁县等县市学习考察全过程人民民主实践、乡镇人大规范化建设等人大工作的请示》（呼人党组【2024】18号）；全过程人民民主实践基地版面制作合同书、验收报告；州代表履职补助发放表等资料齐全并及时进行了归档。项目资金支出严格按照自治区、地区、市以及本单位资金管理办法执行，项目启动实施后，为了加快本项目的实施，成立了2024年度自治州人大代表经费项目工作领导小组，由党组成员、办公室主任许红任组长，负责项目的组织工作；代工委主任黄卫任副组长，负责项目的实施工作；组员包括：周婷婷和雷君，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38A949C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194A9A1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项目产出类指标由3个二级指标和4个三级指标构成，权重分20.0分，实际得分20分。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“州人大代表人数”指标：预期指标值为“&gt;=35人”，实际完成指标值为“=35人”，指标完成率为100.0%。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综上所述，本指标满分为8分，根据评分标准得8分。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“立法联系点”指标：预期指标值为“&gt;=1个”，实际完成指标值为“=1个”，指标完成率为100.0%。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“推动人大依法监督工作质效”指标：预期指标值为“&gt;=95%”，实际完成指标值为“=95%”，指标完成率为100%。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“项目完成及时率”指标：预期指标值为“&gt;=95%”，实际完成指标值为“=95%”，指标完成率为100%。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项目成本情况指标由1个二级指标和2个三级指标构成，权重分10分，实际得分10分。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“立法点补助标准”指标：预期指标值为“=2万元”，实际完成指标值为“=2万元”，指标完成率为100%。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综上所述，本指标满分为6分，根据评分标准得6分。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“人大代表补助标准”指标：预期指标值为“=720元/人/年”，实际完成指标值为“=720元/人/年”，指标完成率为100%。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58C3867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5104ACD2">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项目效益类指标由2个二级指标和2个三级指标构成，权重分30.0分，实际得分30.0分。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“服务社会能力提升”指标：预期指标值为“提升”，实际完成指标值为“达到预期指标”，指标完成率为100.0%。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491CF34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“群众满意度”指标：预期指标值为“&gt;=95%”，实际完成指标值为“=95%”，指标完成率为100%。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43A8BBFD">
      <w:pPr>
        <w:spacing w:line="540" w:lineRule="exact"/>
        <w:ind w:firstLine="567"/>
        <w:rPr>
          <w:rStyle w:val="18"/>
          <w:rFonts w:hint="eastAsia" w:ascii="楷体" w:hAnsi="楷体" w:eastAsia="楷体"/>
          <w:b w:val="0"/>
          <w:bCs w:val="0"/>
          <w:spacing w:val="-4"/>
          <w:sz w:val="32"/>
          <w:szCs w:val="32"/>
        </w:rPr>
      </w:pPr>
    </w:p>
    <w:p w14:paraId="27966E9B">
      <w:pPr>
        <w:spacing w:line="540" w:lineRule="exact"/>
        <w:ind w:firstLine="567"/>
        <w:rPr>
          <w:rStyle w:val="18"/>
          <w:rFonts w:ascii="楷体" w:hAnsi="楷体" w:eastAsia="楷体"/>
          <w:spacing w:val="-4"/>
          <w:sz w:val="32"/>
          <w:szCs w:val="32"/>
        </w:rPr>
      </w:pPr>
    </w:p>
    <w:p w14:paraId="4F73601C">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250DBA56">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1、项目组织：统筹规划与分层联动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以“全局统筹+精准服务”为原则，结合区域特点和代表履职需求制定差异化活动方案。通过定期召开联席会议、强化跨层级协作能力。针对代表履职能力短板，开展专题培训和政策解读，重点围绕经费使用规范、群众联系方法等内容，提升代表参与活动的主动性和专业性，确保组织工作高效有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2、项目管理：闭环管理与成果转化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代表+职能部门+群众代表”协同机制，推动监督过程与政策落实无缝衔接。通过定期公开履职成果、建立议案办理跟踪台账，强化成果转化实效，确保代表建议从“纸上”落到“地上”。客观评价项目社会效益，持续优化管理策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3、资金管理：规范透明与动态监管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构建“制度约束+技术赋能”双重保障体系，细化经费使用分类标准，简化审批流程，确保资金申请便捷高效。依托信息化平台实现经费申请、审批、拨付全流程线上监管，动态追踪资金流向，防范合规风险。通过定期开展财务培训、建立“负面清单”预警机制，增强代表和工作人员的规范意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1.项目组织方面：部分代表小组活动参与率不高，组织协调效率较低。主要原因是缺乏统一的活动规划，部分代表对经费使用流程不熟悉，导致积极性不足。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2.项目管理方面：部分调研和监督活动执行不到位，成果转化率不高。主要原因是缺乏科学的绩效评估体系，部分活动流于形式，未能有效对接群众需求。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3.资金管理方面：经费使用存在审批流程繁琐、部分支出合规性不足的情况。主要原因是缺乏动态监管机制，部分代表对财务规定理解不深，导致资金使用效率不高。</w:t>
      </w:r>
    </w:p>
    <w:p w14:paraId="6F3CA83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57ED56CA">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1.项目组织方面：建立年度活动计划机制，加强代表履职培训，明确经费支持范围，提升组织动员能力。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2.项目管理方面：建立“选题—实施—评估—反馈”闭环管理机制，强化成果运用，推动代表建议落地见效。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3.资金管理方面：优化经费审批流程，加强财务培训，引入信息化管理手段，确保资金使用规范、透明、高效。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通过总结上述经验，未来可进一步完善工作机制，提升代表履职效能，确保项目资金发挥最大效益。</w:t>
      </w:r>
    </w:p>
    <w:p w14:paraId="3A5D72B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67B68F8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5FD26B62">
      <w:pPr>
        <w:spacing w:line="540" w:lineRule="exact"/>
        <w:ind w:firstLine="567"/>
        <w:rPr>
          <w:rStyle w:val="18"/>
          <w:rFonts w:ascii="仿宋" w:hAnsi="仿宋" w:eastAsia="仿宋"/>
          <w:b w:val="0"/>
          <w:spacing w:val="-4"/>
          <w:sz w:val="32"/>
          <w:szCs w:val="32"/>
        </w:rPr>
      </w:pPr>
    </w:p>
    <w:p w14:paraId="09CD65FC">
      <w:pPr>
        <w:spacing w:line="540" w:lineRule="exact"/>
        <w:ind w:firstLine="567"/>
        <w:rPr>
          <w:rStyle w:val="18"/>
          <w:rFonts w:ascii="仿宋" w:hAnsi="仿宋" w:eastAsia="仿宋"/>
          <w:b w:val="0"/>
          <w:spacing w:val="-4"/>
          <w:sz w:val="32"/>
          <w:szCs w:val="32"/>
        </w:rPr>
      </w:pPr>
    </w:p>
    <w:p w14:paraId="1A35E2B0">
      <w:pPr>
        <w:spacing w:line="540" w:lineRule="exact"/>
        <w:ind w:firstLine="567"/>
        <w:rPr>
          <w:rStyle w:val="18"/>
          <w:rFonts w:ascii="仿宋" w:hAnsi="仿宋" w:eastAsia="仿宋"/>
          <w:b w:val="0"/>
          <w:spacing w:val="-4"/>
          <w:sz w:val="32"/>
          <w:szCs w:val="32"/>
        </w:rPr>
      </w:pPr>
    </w:p>
    <w:p w14:paraId="00C5B8DF">
      <w:pPr>
        <w:spacing w:line="540" w:lineRule="exact"/>
        <w:ind w:firstLine="567"/>
        <w:rPr>
          <w:rStyle w:val="18"/>
          <w:rFonts w:ascii="仿宋" w:hAnsi="仿宋" w:eastAsia="仿宋"/>
          <w:b w:val="0"/>
          <w:spacing w:val="-4"/>
          <w:sz w:val="32"/>
          <w:szCs w:val="32"/>
        </w:rPr>
      </w:pPr>
    </w:p>
    <w:p w14:paraId="2775CA81">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CC1B893">
        <w:pPr>
          <w:pStyle w:val="12"/>
          <w:jc w:val="center"/>
        </w:pPr>
        <w:r>
          <w:fldChar w:fldCharType="begin"/>
        </w:r>
        <w:r>
          <w:instrText xml:space="preserve">PAGE   \* MERGEFORMAT</w:instrText>
        </w:r>
        <w:r>
          <w:fldChar w:fldCharType="separate"/>
        </w:r>
        <w:r>
          <w:rPr>
            <w:lang w:val="zh-CN"/>
          </w:rPr>
          <w:t>2</w:t>
        </w:r>
        <w:r>
          <w:fldChar w:fldCharType="end"/>
        </w:r>
      </w:p>
    </w:sdtContent>
  </w:sdt>
  <w:p w14:paraId="176B3EA3">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3DA2228"/>
    <w:rsid w:val="0856517C"/>
    <w:rsid w:val="0BFB189F"/>
    <w:rsid w:val="0F58071E"/>
    <w:rsid w:val="11BD75F7"/>
    <w:rsid w:val="13BE561A"/>
    <w:rsid w:val="15392994"/>
    <w:rsid w:val="18FE139B"/>
    <w:rsid w:val="1E115533"/>
    <w:rsid w:val="27235DAE"/>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11001</Words>
  <Characters>11586</Characters>
  <Lines>4</Lines>
  <Paragraphs>1</Paragraphs>
  <TotalTime>3</TotalTime>
  <ScaleCrop>false</ScaleCrop>
  <LinksUpToDate>false</LinksUpToDate>
  <CharactersWithSpaces>11611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青青</cp:lastModifiedBy>
  <cp:lastPrinted>2018-12-31T10:56:00Z</cp:lastPrinted>
  <dcterms:modified xsi:type="dcterms:W3CDTF">2025-09-22T09:10:19Z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86A4BE803B594D54BB30BEB283D7FDDD_13</vt:lpwstr>
  </property>
  <property fmtid="{D5CDD505-2E9C-101B-9397-08002B2CF9AE}" pid="4" name="KSOTemplateDocerSaveRecord">
    <vt:lpwstr>eyJoZGlkIjoiMGQwNTUwY2Y3NzNhN2YyMWYyN2ZiODRmYTBmNDUyN2UiLCJ1c2VySWQiOiI1NDgxMDgyMTUifQ==</vt:lpwstr>
  </property>
</Properties>
</file>