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3BAD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B3C80B5">
      <w:pPr>
        <w:spacing w:line="540" w:lineRule="exact"/>
        <w:jc w:val="center"/>
        <w:rPr>
          <w:rFonts w:ascii="华文中宋" w:hAnsi="华文中宋" w:eastAsia="华文中宋" w:cs="宋体"/>
          <w:b/>
          <w:kern w:val="0"/>
          <w:sz w:val="52"/>
          <w:szCs w:val="52"/>
        </w:rPr>
      </w:pPr>
    </w:p>
    <w:p w14:paraId="13675468">
      <w:pPr>
        <w:spacing w:line="540" w:lineRule="exact"/>
        <w:jc w:val="center"/>
        <w:rPr>
          <w:rFonts w:ascii="华文中宋" w:hAnsi="华文中宋" w:eastAsia="华文中宋" w:cs="宋体"/>
          <w:b/>
          <w:kern w:val="0"/>
          <w:sz w:val="52"/>
          <w:szCs w:val="52"/>
        </w:rPr>
      </w:pPr>
    </w:p>
    <w:p w14:paraId="14BD7C46">
      <w:pPr>
        <w:spacing w:line="540" w:lineRule="exact"/>
        <w:jc w:val="center"/>
        <w:rPr>
          <w:rFonts w:ascii="华文中宋" w:hAnsi="华文中宋" w:eastAsia="华文中宋" w:cs="宋体"/>
          <w:b/>
          <w:kern w:val="0"/>
          <w:sz w:val="52"/>
          <w:szCs w:val="52"/>
        </w:rPr>
      </w:pPr>
    </w:p>
    <w:p w14:paraId="63AA2A23">
      <w:pPr>
        <w:spacing w:line="540" w:lineRule="exact"/>
        <w:jc w:val="center"/>
        <w:rPr>
          <w:rFonts w:ascii="华文中宋" w:hAnsi="华文中宋" w:eastAsia="华文中宋" w:cs="宋体"/>
          <w:b/>
          <w:kern w:val="0"/>
          <w:sz w:val="52"/>
          <w:szCs w:val="52"/>
        </w:rPr>
      </w:pPr>
    </w:p>
    <w:p w14:paraId="62E5D927">
      <w:pPr>
        <w:spacing w:line="540" w:lineRule="exact"/>
        <w:jc w:val="center"/>
        <w:rPr>
          <w:rFonts w:ascii="华文中宋" w:hAnsi="华文中宋" w:eastAsia="华文中宋" w:cs="宋体"/>
          <w:b/>
          <w:kern w:val="0"/>
          <w:sz w:val="52"/>
          <w:szCs w:val="52"/>
        </w:rPr>
      </w:pPr>
    </w:p>
    <w:p w14:paraId="4425DD54">
      <w:pPr>
        <w:spacing w:line="540" w:lineRule="exact"/>
        <w:jc w:val="center"/>
        <w:rPr>
          <w:rFonts w:ascii="华文中宋" w:hAnsi="华文中宋" w:eastAsia="华文中宋" w:cs="宋体"/>
          <w:b/>
          <w:kern w:val="0"/>
          <w:sz w:val="52"/>
          <w:szCs w:val="52"/>
        </w:rPr>
      </w:pPr>
    </w:p>
    <w:p w14:paraId="259719C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973AC9C">
      <w:pPr>
        <w:spacing w:line="540" w:lineRule="exact"/>
        <w:jc w:val="center"/>
        <w:rPr>
          <w:rFonts w:ascii="华文中宋" w:hAnsi="华文中宋" w:eastAsia="华文中宋" w:cs="宋体"/>
          <w:b/>
          <w:kern w:val="0"/>
          <w:sz w:val="52"/>
          <w:szCs w:val="52"/>
        </w:rPr>
      </w:pPr>
    </w:p>
    <w:p w14:paraId="7844FF6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B5B53F7">
      <w:pPr>
        <w:spacing w:line="540" w:lineRule="exact"/>
        <w:jc w:val="center"/>
        <w:rPr>
          <w:rFonts w:hAnsi="宋体" w:eastAsia="仿宋_GB2312" w:cs="宋体"/>
          <w:kern w:val="0"/>
          <w:sz w:val="30"/>
          <w:szCs w:val="30"/>
        </w:rPr>
      </w:pPr>
    </w:p>
    <w:p w14:paraId="7D3BFBED">
      <w:pPr>
        <w:spacing w:line="540" w:lineRule="exact"/>
        <w:jc w:val="center"/>
        <w:rPr>
          <w:rFonts w:hAnsi="宋体" w:eastAsia="仿宋_GB2312" w:cs="宋体"/>
          <w:kern w:val="0"/>
          <w:sz w:val="30"/>
          <w:szCs w:val="30"/>
        </w:rPr>
      </w:pPr>
    </w:p>
    <w:p w14:paraId="36CC6A9C">
      <w:pPr>
        <w:spacing w:line="540" w:lineRule="exact"/>
        <w:jc w:val="center"/>
        <w:rPr>
          <w:rFonts w:hAnsi="宋体" w:eastAsia="仿宋_GB2312" w:cs="宋体"/>
          <w:kern w:val="0"/>
          <w:sz w:val="30"/>
          <w:szCs w:val="30"/>
        </w:rPr>
      </w:pPr>
    </w:p>
    <w:p w14:paraId="286866A6">
      <w:pPr>
        <w:spacing w:line="540" w:lineRule="exact"/>
        <w:jc w:val="center"/>
        <w:rPr>
          <w:rFonts w:hAnsi="宋体" w:eastAsia="仿宋_GB2312" w:cs="宋体"/>
          <w:kern w:val="0"/>
          <w:sz w:val="30"/>
          <w:szCs w:val="30"/>
        </w:rPr>
      </w:pPr>
    </w:p>
    <w:p w14:paraId="0AE27841">
      <w:pPr>
        <w:spacing w:line="540" w:lineRule="exact"/>
        <w:jc w:val="center"/>
        <w:rPr>
          <w:rFonts w:hAnsi="宋体" w:eastAsia="仿宋_GB2312" w:cs="宋体"/>
          <w:kern w:val="0"/>
          <w:sz w:val="30"/>
          <w:szCs w:val="30"/>
        </w:rPr>
      </w:pPr>
    </w:p>
    <w:p w14:paraId="2D21832D">
      <w:pPr>
        <w:spacing w:line="540" w:lineRule="exact"/>
        <w:jc w:val="center"/>
        <w:rPr>
          <w:rFonts w:hAnsi="宋体" w:eastAsia="仿宋_GB2312" w:cs="宋体"/>
          <w:kern w:val="0"/>
          <w:sz w:val="30"/>
          <w:szCs w:val="30"/>
        </w:rPr>
      </w:pPr>
    </w:p>
    <w:p w14:paraId="1E5BC261">
      <w:pPr>
        <w:spacing w:line="540" w:lineRule="exact"/>
        <w:rPr>
          <w:rFonts w:hAnsi="宋体" w:eastAsia="仿宋_GB2312" w:cs="宋体"/>
          <w:kern w:val="0"/>
          <w:sz w:val="30"/>
          <w:szCs w:val="30"/>
        </w:rPr>
      </w:pPr>
    </w:p>
    <w:p w14:paraId="4670B1D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8A07B4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2024年中央财政医疗服务与保障能力提升（医疗卫生机构能力建设）补助资金</w:t>
      </w:r>
    </w:p>
    <w:p w14:paraId="6DD2D30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呼图壁县人民医院</w:t>
      </w:r>
    </w:p>
    <w:p w14:paraId="1828A5A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呼图壁县人民医院</w:t>
      </w:r>
    </w:p>
    <w:p w14:paraId="55351BF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吕书宝</w:t>
      </w:r>
    </w:p>
    <w:p w14:paraId="52302BF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14:paraId="39E75981">
      <w:pPr>
        <w:spacing w:line="700" w:lineRule="exact"/>
        <w:ind w:firstLine="708" w:firstLineChars="236"/>
        <w:jc w:val="left"/>
        <w:rPr>
          <w:rFonts w:hAnsi="宋体" w:eastAsia="仿宋_GB2312" w:cs="宋体"/>
          <w:kern w:val="0"/>
          <w:sz w:val="30"/>
          <w:szCs w:val="30"/>
        </w:rPr>
      </w:pPr>
    </w:p>
    <w:p w14:paraId="578D2953">
      <w:pPr>
        <w:spacing w:line="540" w:lineRule="exact"/>
        <w:rPr>
          <w:rStyle w:val="18"/>
          <w:rFonts w:ascii="黑体" w:hAnsi="黑体" w:eastAsia="黑体"/>
          <w:b w:val="0"/>
          <w:spacing w:val="-4"/>
          <w:sz w:val="32"/>
          <w:szCs w:val="32"/>
        </w:rPr>
      </w:pPr>
    </w:p>
    <w:p w14:paraId="3295F51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A5C982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039E8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医院2024年中央财政医疗服务与保障能力提升（医疗卫生机构能力建设）补助资金项目，是基于《关于下达2024年医疗服务与保障能力提升补助资金预算的通知》要求，针对县域内医疗服务能力薄弱环节（如基层诊疗量占比不足60%、疑难重症转诊率超30%等问题）设立的专项工程。项目实施的必要性在于破解县域医疗资源分布不均衡、专科服务能力不足等瓶颈，通过重点加强急诊急救、肿瘤防治和远程医疗等核心科室建设，可显著提升县域内就诊率至90%以上，降低外转率至15%以内，同时推动DRG付费覆盖率实现100%，形成辐射周边的区域性医疗服务中心，切实解决群众"看病难、看病贵"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（1）项目名称：2024年中央财政医疗服务与保障能力提升（医疗卫生机构能力建设）补助资金项目（以下简称“该项目”或“项目”）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加强公立医院专科建设，重点提升专科主要病种诊治水平，购置专科所急需的医疗设备。县人民医院计划购置宫腔镜（一体）、CRRT（床旁血滤连续肾脏代替疗法）、恒温箱（大容量医用液体恒温箱）、麻醉视频喉镜（软镜）、迈瑞麻醉深度监测模块（BIS)、视频硬镜、非接触式眼压仪、肺功能测定仪、麻醉深度检测仪、口腔全景机等设备，这样可以提升医院社会效益，更好的提高医疗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1、专科能力指数按疾病病种分类，将病种例数、四级手术占比、微创手术占比、平均住院日、次均费用等相关参数纳入专科能力考核体系，推动专科技术水平、病种质控水平持续提升。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守住医疗质量安全的底线，守住医院高质量发展的生命线。抓住医疗质量安全的每一个要素，建立健全质量控制体系，始终看齐最高标准最高要求，才能真正让呼图壁县人民群众看病看的安心放心。紧扣择期手术并发症发生率、I类切口手术部位感染率、抗菌药物使用强度、低风险组死亡率等关键指标，着眼于手术技术规范、日常诊疗管理；加强基本医疗服务品质保障，加强急危重症诊疗能力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医院坚持公益属性，做好业务发展规划，结合单病种医保支付杠杆的调节功能，使医院在提升重点监测病种的诊疗水平与收治能力上下功夫，在优化调整病种结构保障重大疾病救治需求上下功夫，真正把好公立医院功能定位，充分发挥公立医院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重大疾病与急危重症诊疗技术能力评价要做到技术应用规范与效率的有机统一，不仅要能看病，看好病，也要减少不必要的诊疗时间消耗与资源消耗，确保有限的医疗资源满足更多患者高水平诊疗需求，医院运行模式持续改进，使医院更加自觉的落实加速康复、多学科联合诊疗及临床路径管理等一整套优质理念，同时加快医疗信息化建设，优化就医流程，在看病就医全过程实现智慧服务与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实施主体：呼图壁县人民医院。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人民医院2024年中央财政医疗服务与保障能力提升（医疗卫生机构能力建设）补助资金项目严格按照规范流程推进，前期充分开展需求调研与可行性论证，科学编制实施方案并完成审批；招投标阶段严格执行政府采购程序，公开透明选定优质供应商，确保设备采购合规性与性价比；实施过程中加强进度与质量管理，协调解决安装调试问题，保障项目按期完成；设备验收环节组织专业团队严格核验技术参数与性能，确保符合合同要求；目前设备已全部投入临床使用，显著提升了医院的诊疗水平与服务能力，为当地群众提供了更优质的医疗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医院位于呼图壁县城镇东风大街8号，始建于1952年，目前已发展成为集医疗、教学、科研、预防、保健、急救和康复为一体的县级非营利性二级甲等综合医院，是呼图壁县城镇职工医保、居民医保、农村合作医疗、商保的定点医院。承担着呼图壁县及周边地区的医疗、教学、预防、保健、康复、医学研究、急救等任务，是昌吉州职业技术学院实训基地。本院实行药品零差率销售，同时承担基本公共卫生服务，办理健康证，开展健康体检业务。是呼图壁县医疗网点的重要环节，担负着医疗防疫、保健的重要任务，解决呼图壁县百姓看病难、看病贵的问题。是属于执行基层医疗卫生机构会计制度的一级预算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医院无下属预算单位，下设38个处室，分别是临床科室20个：心内科，神经内科，呼吸科，消化肾病科，传染病科，普外科，骨科，皮肤科，中医科，儿科，妇产科，急诊科，ICU，五官科，口腔科，手麻科，健康管理科，一门诊，血透室，发热门诊；医技科室及辅诊科室6个：（放射科、功能科（B超、心电图室）、检验科、病理科、药剂科、供应室）；职能后勤科室12个：综合办、医务处、护理部、院感办、信息管理科 、总务科、设备科、财务科、质控科、经管科、医保办、消防控制室。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呼图壁县人民医院编制数 284，实有人数381。其中在编人员250，其他人员131，退休人员153。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本项目预算安排总额为140万元，资金来源为上级专项资金，其中：财政资金140万元，其他资金0万元，2024年实际收到预算资金140万元，预算资金到位率为100%。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截至2024年12月31日，本项目实际支付资金140万元，预算执行率100%。本项目资金主要用于支付购买医疗设备费用90.42万元、购买病床费用23.37万元、购买吊塔费用25.6万元、购买通用设备费用0.61万元。</w:t>
      </w:r>
    </w:p>
    <w:p w14:paraId="0DA340E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BE747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中央财政医疗服务与保障能力提升补助资金的支持，全面提升呼图壁县人民医院的医疗服务水平与保障能力，确保全年门急诊服务量达到20万人次，全年出院病人数量超过1万人次，同时严格保证医疗设备的质量与安全性，实现设备验收合格率达到百分之百，从而优化医疗资源配置，提高诊疗效率，更好地满足当地群众的健康需求，推动医疗卫生机构能力建设迈上新台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“全年门急诊人次”指标，预期指标值为“等于20万人次”；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“全年出院病人人次”指标，预期指标值为“大于等于1万人次”；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“改善医疗设备条件”指标，预期指标值为“有效改善”；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035A90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A633E1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939708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财政医疗服务与保障能力提升（医疗卫生机构能力建设）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(5)自治区财政厅《关于下达 2024 年中央医疗服务与保障能力提升（公立医院综合改革）补助资金预算的通知》（新财社〔2024〕38 号）。</w:t>
      </w:r>
    </w:p>
    <w:p w14:paraId="0E6D9D7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251DDD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BA83EF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F8F7E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王磊（评价小组组长）：主要负责项目策划和监督，全面负责项目绩效评价办稿的最终质量，对评估人员出具的最终报告质量进行复核，确保评估结果的客观性；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苏比努尔（评价小组组员）：主要负责资料的收集，取证、数据统计分析；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王玲（评价小组组员）：主要负责主要负责项目报告的制定，指标的研判，数据分析及报告撰写。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2025年3月3日-3月10日，评价工作进入实施阶段。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经调研了解，该项目主要受益群体是就医患者。我们根据绩效评价目标和绩效指标体系，设计满意度调查问卷进行问卷调查，其中住院患者共选取样本55人，共发放问卷55份，最终收回55份；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5B5C4E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73D49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全面提升呼图壁县人民医院的医疗服务水平与保障能力，确保全年门急诊服务量达到26.69万人次，全年出院病人数量超过1万人次，同时严格保证医疗设备的质量与安全性，实现设备验收合格率达到百分之百，从而优化医疗资源配置，提高诊疗效率，发挥了改善基层医疗卫生服务和保障薄弱环节及医疗设备条件工作，提升了我院医疗服务和保障能力，补充医疗设施设备短板弱项，促进了和谐医患关系等效益。但在实施过程中也存在一些不足：设备招投标进度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w:t>
      </w:r>
      <w:r>
        <w:rPr>
          <w:rStyle w:val="18"/>
          <w:rFonts w:hint="eastAsia" w:ascii="楷体" w:hAnsi="楷体" w:eastAsia="楷体"/>
          <w:b w:val="0"/>
          <w:bCs w:val="0"/>
          <w:spacing w:val="-4"/>
          <w:sz w:val="32"/>
          <w:szCs w:val="32"/>
          <w:lang w:val="en-US" w:eastAsia="zh-CN"/>
        </w:rPr>
        <w:t>100.00</w:t>
      </w:r>
      <w:r>
        <w:rPr>
          <w:rStyle w:val="18"/>
          <w:rFonts w:hint="eastAsia" w:ascii="楷体" w:hAnsi="楷体" w:eastAsia="楷体"/>
          <w:b w:val="0"/>
          <w:bCs w:val="0"/>
          <w:spacing w:val="-4"/>
          <w:sz w:val="32"/>
          <w:szCs w:val="32"/>
        </w:rPr>
        <w:t>%。最终评分结果：总分为98.</w:t>
      </w:r>
      <w:r>
        <w:rPr>
          <w:rStyle w:val="18"/>
          <w:rFonts w:hint="eastAsia" w:ascii="楷体" w:hAnsi="楷体" w:eastAsia="楷体"/>
          <w:b w:val="0"/>
          <w:bCs w:val="0"/>
          <w:spacing w:val="-4"/>
          <w:sz w:val="32"/>
          <w:szCs w:val="32"/>
          <w:lang w:val="en-US" w:eastAsia="zh-CN"/>
        </w:rPr>
        <w:t>33</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项目产出类指标共设置5个，满分指标4个，得分率91.50%；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3B0438C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6F6311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934396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财政部、国家卫健委印发的《医疗服务与保障能力提升补助资金管理办法》（财社〔2024〕56号）中：“直接明确该资金用于医疗卫生机构能力建设，包括设备购置、人才培养等”，符合国家法律法规、国民经济发展规划和相关政策；本项目立项符合《公立医院改革与高质量发展示范项目实施方案》</w:t>
      </w:r>
      <w:bookmarkStart w:id="0" w:name="_GoBack"/>
      <w:bookmarkEnd w:id="0"/>
      <w:r>
        <w:rPr>
          <w:rStyle w:val="18"/>
          <w:rFonts w:hint="eastAsia" w:ascii="楷体" w:hAnsi="楷体" w:eastAsia="楷体"/>
          <w:b w:val="0"/>
          <w:bCs w:val="0"/>
          <w:spacing w:val="-4"/>
          <w:sz w:val="32"/>
          <w:szCs w:val="32"/>
        </w:rPr>
        <w:t>中：“通过财政补助推动县级医院在医疗技术、管理、服务等方面的提升”内容，符合行业发展规划和政策要求；本项目立项符合《呼图壁县人民医院单位配置内设机构和人员编制规定》中职责范围中的“提供医疗防疫、保健服务”，属于我单位履职所需；根据《财政资金直接支付申请书》，本项目资金性质为“公共财政预算”功能分类为“其他公立医院支出”经济分类为“专用设备购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中央医疗服务与保障能力提升（医疗卫生机构能力建设）补助资金的通知》(昌州财社〔2023〕68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2024年努力全面改善基层医疗卫生服务和保障薄弱环节及医疗设施设备条件，提升我院医疗服务和保障能力，补充医疗设施设备短板弱项，调整优化医疗资源布局，构筑起保护人民群众健康和生命安全的有力屏障。”；本项目实际工作内容为：全面提升呼图壁县人民医院的医疗服务水平与保障能力，确保全年门急诊服务量达到26.69万人次，全年出院病人数量超过1万人次，同时严格保证医疗设备的质量与安全性，实现设备验收合格率达到百分之百，从而优化医疗资源配置，提高诊疗效率，发挥了改善基层医疗卫生服务和保障薄弱环节及医疗设备条件工作，提升了我院医疗服务和保障能力，补充医疗设施设备短板弱项，促进了和谐医患关系等效益。绩效目标与实际工作内容一致，两者具有相关性;本项目预算申请资金140万元，预算确定资金量与实际工作任务相匹配。本项目按照绩效目标完成了数量指标、质量指标、时效指标、成本指标，发挥了改善基层医疗卫生服务和保障薄弱环节及医疗设备条件工作，提升了我院医疗服务和保障能力。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本项目预算编制通过招投标得出，即预算编制较科学且经过论证；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加强公立医院专科建设，重点提升专科主要病种诊治水平，购置专科所急需的医疗设备。县人民医院计划购置宫腔镜（一体）、CRRT（床旁血滤连续肾脏代替疗法）、恒温箱（大容量医用液体恒温箱）、麻醉视频喉镜（软镜）、迈瑞麻醉深度监测模块（BIS)、视频硬镜、非接触式眼压仪、肺功能测定仪、麻醉深度检测仪、口腔全景机等医疗设备，这样可以提升医院经济效益，更好的提高医疗服务质量。项目实际内容为招投标购买热熔牙胶充填机、手术显微镜、宫腔镜、肺功能测定仪、麻醉视频喉镜、压膜机等医疗设备及医用吊塔、病床等病房设备。预算申请与《2024年中央财政医疗服务与保障能力提升（医疗卫生机构能力建设）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140万元，我单位在预算申请中严格按照分项成本进行核算，其中：购买医疗设备费用90.42万元、购买病床费用23.37万元、购买吊塔费用25.6万元、购买通用设备费用0.61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中央财政医疗服务与保障能力提升（医疗卫生机构能力建设）补助资金项目资金的请示》和《2024年中央财政医疗服务与保障能力提升（医疗卫生机构能力建设）补助资金项目实施方案》为依据进行资金分配，预算资金分配依据充分。根据《2024年中央财政医疗服务与保障能力提升（医疗卫生机构能力建设）补助资金资金下达文件》文件显示，本项目实际到位资金140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CB78368">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C19C7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本项目预算资金为140万元，其中：本级财政安排资金140万元，其他资金0万元，实际到位资金140万元，资金到位率=（实际到位资金/预算资金）×100.00%=（140/140）*100.00%=100%。得分=资金到位率*分值=100%*4=4分。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本项目实际支出资金140万元，预算执行率=（实际支出资金/实际到位资金）×100.00%=（140/140）*100.00%=100%。得分=预算执行率*分值=100.0%*5=5分。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人民医院资金管理办法》《医疗服务与保障能力提升补助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人民医院资金管理办法》《呼图壁县人民医院收支业务管理制度》《呼图壁县人民医院政府采购业务管理制度》《呼图壁县人民医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招投标等资料齐全并及时进行了归档。项目资金支出严格按照自治区、地区、市以及本单位资金管理办法执行，项目启动实施后，为了加快本项目的实施，成立了2024年中央财政医疗服务与保障能力提升（医疗卫生机构能力建设）补助资金项目工作领导小组，由副院长王磊任组长，负责项目的组织工作；黄湘东任副组长，负责项目的实施工作；组员包括：尤红和王玲，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2E8973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6D19B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“全年门急诊人次”指标：预期指标值为“=20万人次”，实际完成指标值为“=26.69万人次”，指标完成率为=133.45%。偏差率为33.45%，偏差原因主要为：本年新开设慢病门诊，诊疗人次增加。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综上所述，本指标满分为4分，根据评分标准得2.7分。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“全年出院病人人次”指标：预期指标值为“&gt;=1万人次”，实际完成指标值为“=1万人次”，指标完成率为100%。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7945D0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A5B926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“改善医疗设备条件”指标：预期指标值为“有效改善”，实际完成指标值为“达到预期指标值”，指标完成率为100.0%。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E4590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1515D20">
      <w:pPr>
        <w:spacing w:line="540" w:lineRule="exact"/>
        <w:ind w:firstLine="567"/>
        <w:rPr>
          <w:rStyle w:val="18"/>
          <w:rFonts w:hint="eastAsia" w:ascii="楷体" w:hAnsi="楷体" w:eastAsia="楷体"/>
          <w:b w:val="0"/>
          <w:bCs w:val="0"/>
          <w:spacing w:val="-4"/>
          <w:sz w:val="32"/>
          <w:szCs w:val="32"/>
        </w:rPr>
      </w:pPr>
    </w:p>
    <w:p w14:paraId="3E9BE436">
      <w:pPr>
        <w:spacing w:line="540" w:lineRule="exact"/>
        <w:ind w:firstLine="567"/>
        <w:rPr>
          <w:rStyle w:val="18"/>
          <w:rFonts w:ascii="楷体" w:hAnsi="楷体" w:eastAsia="楷体"/>
          <w:spacing w:val="-4"/>
          <w:sz w:val="32"/>
          <w:szCs w:val="32"/>
        </w:rPr>
      </w:pPr>
    </w:p>
    <w:p w14:paraId="297382A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00354B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在2024年中央财政医疗服务与保障能力提升（医疗卫生机构能力建设）补助资金项目的实施过程中，尽管遇到了一些挑战，但也积累了宝贵的经验，这些经验对于未来类似项目的顺利推进具有重要的借鉴意义。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项目规划阶段的充分准备是成功的关键。在项目启动之初，相关部门进行了详尽的需求分析和资源评估，确保了项目目标的明确性和可行性。通过与各级医疗卫生机构的深入沟通，项目团队能够准确把握各机构的具体需求，从而制定出切实可行的实施方案。这种前期工作的细致入微，为项目的顺利实施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次，项目管理机制的完善也是项目成功的重要因素。项目团队建立了严格的项目管理制度，包括定期的进度检查、质量控制和风险评估等。这些制度的有效执行，确保了项目在各个阶段都能按照既定计划推进，即使遇到问题也能及时调整和解决。此外，项目团队还注重与各参与方的沟通协调，确保信息的透明和畅通，这在一定程度上减少了误解和冲突，提高了工作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再者，项目团队的专业能力和协作精神也是项目成功的重要保障。项目团队成员具备丰富的医疗卫生行业经验和项目管理知识，能够迅速应对各种复杂情况。同时，团队成员之间的紧密合作和相互支持，形成了强大的团队凝聚力，这种团队精神在项目遇到困难时发挥了重要作用，帮助项目团队克服了诸多挑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最后，项目实施的透明度和公众参与也是项目成功的重要因素。项目团队通过多种渠道向公众公开项目进展和成果，接受社会监督，这不仅增强了项目的公信力，也提高了公众对项目的认同感和支持度。同时，项目团队还积极听取公众意见和建议，将这些反馈纳入项目调整和改进中，使得项目更加贴近实际需求，提高了项目的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尽管2024年中央财政医疗服务与保障能力提升（医疗卫生机构能力建设）补助资金项目在实施过程中取得了一定的成效，但也暴露出一些问题，这些问题在一定程度上影响了项目的进展和效果，需要引起高度重视并加以解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设备招投标进度滞后是项目实施过程中遇到的主要问题之一。招投标是项目采购设备的关键环节，其进度直接影响到项目的整体推进。然而，在实际操作中，由于招投标流程复杂、审批环节多、参与方众多等原因，导致招投标进度严重滞后。这不仅延误了设备的采购和安装，也影响了项目的整体进度和效果。此外，招投标过程中的信息不对称和透明度不足，也增加了项目管理的难度和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次，项目实施过程中的协调不畅也是影响项目进展的重要因素。由于项目涉及多个部门和机构，各方之间的协调和沟通显得尤为重要。然而，在实际操作中，由于各部门职责不清、沟通机制不完善等原因，导致协调不畅，信息传递不及时，影响了项目的顺利推进。特别是在设备采购、安装和调试等关键环节，由于协调不力，导致工作重复、资源浪费，甚至出现了设备无法按时到位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再者，项目实施过程中的监督和评估机制不完善也是影响项目效果的重要因素。虽然项目团队建立了项目管理制度，但在实际执行过程中，监督和评估机制的执行力度不够，导致一些问题未能及时发现和解决。特别是在项目进度和质量控制方面，由于监督不到位，导致一些环节出现了偏差，影响了项目的整体效果。此外，项目评估机制的不完善，也使得项目团队难以全面了解项目的实际效果和存在的问题，从而无法进行有效的调整和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2024年中央财政医疗服务与保障能力提升（医疗卫生机构能力建设）补助资金项目在实施过程中虽然取得了一定的成效，但也暴露出一些问题。这些问题需要项目团队和相关各方高度重视，采取有效措施加以解决，以确保项目的顺利推进和预期效果的实现。</w:t>
      </w:r>
    </w:p>
    <w:p w14:paraId="607BA3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1CA99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1.优化招投标流程设计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梳理现有流程，合并或取消非必要的审批节点（如重复审核、形式化签字），明确关键审批环节的权限和时限。推行电子化会签或联合审批，减少线下传递时间。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制定通用技术规范和合同条款模板，减少每次招标文件的重复编制时间。建立历史招标案例库，供后续项目快速参考。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2.系统性提升医院内部协作效率，保障项目顺利推进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明确职责分工：梳理各部门职能，制定清晰的权责清单，明确项目各环节的牵头部门和配合部门，避免推诿扯皮。可通过会议或文件形式固化职责，确保全员知晓。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优化沟通机制：建立定期跨部门协调会议制度（如每周例会），并设立专项工作群或信息化平台（如企业微信、OA系统），确保关键信息实时共享，减少信息滞后。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设立协调专员：由院办或项目管理办公室指派专人负责跟踪进度，协调跨部门问题，确保问题及时上报和解决。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3.有效提升医院项目的规范性和执行力，确保项目高质量完成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建立专项监督小组：由医院管理层牵头，组建跨部门监督小组，明确职责分工，定期检查项目进度、质量和预算执行情况，确保问题及时发现和整改。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完善评估指标体系：制定科学、量化的评估标准，涵盖项目进度、成本控制、医疗质量、患者满意度等核心维度，并引入第三方评估机构，确保客观公正。</w:t>
      </w:r>
    </w:p>
    <w:p w14:paraId="648DDF6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5922B90">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A1D01D2">
        <w:pPr>
          <w:pStyle w:val="12"/>
          <w:jc w:val="center"/>
        </w:pPr>
        <w:r>
          <w:fldChar w:fldCharType="begin"/>
        </w:r>
        <w:r>
          <w:instrText xml:space="preserve">PAGE   \* MERGEFORMAT</w:instrText>
        </w:r>
        <w:r>
          <w:fldChar w:fldCharType="separate"/>
        </w:r>
        <w:r>
          <w:rPr>
            <w:lang w:val="zh-CN"/>
          </w:rPr>
          <w:t>2</w:t>
        </w:r>
        <w:r>
          <w:fldChar w:fldCharType="end"/>
        </w:r>
      </w:p>
    </w:sdtContent>
  </w:sdt>
  <w:p w14:paraId="4AF81B2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FD5A84"/>
    <w:rsid w:val="0BFB189F"/>
    <w:rsid w:val="0F58071E"/>
    <w:rsid w:val="11BD75F7"/>
    <w:rsid w:val="13BE561A"/>
    <w:rsid w:val="15392994"/>
    <w:rsid w:val="18FE139B"/>
    <w:rsid w:val="2D615457"/>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12626</Words>
  <Characters>13246</Characters>
  <Lines>4</Lines>
  <Paragraphs>1</Paragraphs>
  <TotalTime>9</TotalTime>
  <ScaleCrop>false</ScaleCrop>
  <LinksUpToDate>false</LinksUpToDate>
  <CharactersWithSpaces>13271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2025-09-22T09:15:33Z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