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08F9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A3BBCB4">
      <w:pPr>
        <w:spacing w:line="540" w:lineRule="exact"/>
        <w:jc w:val="center"/>
        <w:rPr>
          <w:rFonts w:ascii="华文中宋" w:hAnsi="华文中宋" w:eastAsia="华文中宋" w:cs="宋体"/>
          <w:b/>
          <w:kern w:val="0"/>
          <w:sz w:val="52"/>
          <w:szCs w:val="52"/>
        </w:rPr>
      </w:pPr>
    </w:p>
    <w:p w14:paraId="4A494576">
      <w:pPr>
        <w:spacing w:line="540" w:lineRule="exact"/>
        <w:jc w:val="center"/>
        <w:rPr>
          <w:rFonts w:ascii="华文中宋" w:hAnsi="华文中宋" w:eastAsia="华文中宋" w:cs="宋体"/>
          <w:b/>
          <w:kern w:val="0"/>
          <w:sz w:val="52"/>
          <w:szCs w:val="52"/>
        </w:rPr>
      </w:pPr>
    </w:p>
    <w:p w14:paraId="0938CAD9">
      <w:pPr>
        <w:spacing w:line="540" w:lineRule="exact"/>
        <w:jc w:val="center"/>
        <w:rPr>
          <w:rFonts w:ascii="华文中宋" w:hAnsi="华文中宋" w:eastAsia="华文中宋" w:cs="宋体"/>
          <w:b/>
          <w:kern w:val="0"/>
          <w:sz w:val="52"/>
          <w:szCs w:val="52"/>
        </w:rPr>
      </w:pPr>
    </w:p>
    <w:p w14:paraId="4239D603">
      <w:pPr>
        <w:spacing w:line="540" w:lineRule="exact"/>
        <w:jc w:val="center"/>
        <w:rPr>
          <w:rFonts w:ascii="华文中宋" w:hAnsi="华文中宋" w:eastAsia="华文中宋" w:cs="宋体"/>
          <w:b/>
          <w:kern w:val="0"/>
          <w:sz w:val="52"/>
          <w:szCs w:val="52"/>
        </w:rPr>
      </w:pPr>
    </w:p>
    <w:p w14:paraId="039BF447">
      <w:pPr>
        <w:spacing w:line="540" w:lineRule="exact"/>
        <w:jc w:val="center"/>
        <w:rPr>
          <w:rFonts w:ascii="华文中宋" w:hAnsi="华文中宋" w:eastAsia="华文中宋" w:cs="宋体"/>
          <w:b/>
          <w:kern w:val="0"/>
          <w:sz w:val="52"/>
          <w:szCs w:val="52"/>
        </w:rPr>
      </w:pPr>
    </w:p>
    <w:p w14:paraId="1E77179C">
      <w:pPr>
        <w:spacing w:line="540" w:lineRule="exact"/>
        <w:jc w:val="center"/>
        <w:rPr>
          <w:rFonts w:ascii="华文中宋" w:hAnsi="华文中宋" w:eastAsia="华文中宋" w:cs="宋体"/>
          <w:b/>
          <w:kern w:val="0"/>
          <w:sz w:val="52"/>
          <w:szCs w:val="52"/>
        </w:rPr>
      </w:pPr>
    </w:p>
    <w:p w14:paraId="098E3D5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0D2DEE0">
      <w:pPr>
        <w:spacing w:line="540" w:lineRule="exact"/>
        <w:jc w:val="center"/>
        <w:rPr>
          <w:rFonts w:ascii="华文中宋" w:hAnsi="华文中宋" w:eastAsia="华文中宋" w:cs="宋体"/>
          <w:b/>
          <w:kern w:val="0"/>
          <w:sz w:val="52"/>
          <w:szCs w:val="52"/>
        </w:rPr>
      </w:pPr>
    </w:p>
    <w:p w14:paraId="5B7F256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C16AF13">
      <w:pPr>
        <w:spacing w:line="540" w:lineRule="exact"/>
        <w:jc w:val="center"/>
        <w:rPr>
          <w:rFonts w:hAnsi="宋体" w:eastAsia="仿宋_GB2312" w:cs="宋体"/>
          <w:kern w:val="0"/>
          <w:sz w:val="30"/>
          <w:szCs w:val="30"/>
        </w:rPr>
      </w:pPr>
    </w:p>
    <w:p w14:paraId="171E1BE6">
      <w:pPr>
        <w:spacing w:line="540" w:lineRule="exact"/>
        <w:jc w:val="center"/>
        <w:rPr>
          <w:rFonts w:hAnsi="宋体" w:eastAsia="仿宋_GB2312" w:cs="宋体"/>
          <w:kern w:val="0"/>
          <w:sz w:val="30"/>
          <w:szCs w:val="30"/>
        </w:rPr>
      </w:pPr>
    </w:p>
    <w:p w14:paraId="550B101F">
      <w:pPr>
        <w:spacing w:line="540" w:lineRule="exact"/>
        <w:jc w:val="center"/>
        <w:rPr>
          <w:rFonts w:hAnsi="宋体" w:eastAsia="仿宋_GB2312" w:cs="宋体"/>
          <w:kern w:val="0"/>
          <w:sz w:val="30"/>
          <w:szCs w:val="30"/>
        </w:rPr>
      </w:pPr>
    </w:p>
    <w:p w14:paraId="46ABAA62">
      <w:pPr>
        <w:spacing w:line="540" w:lineRule="exact"/>
        <w:jc w:val="center"/>
        <w:rPr>
          <w:rFonts w:hAnsi="宋体" w:eastAsia="仿宋_GB2312" w:cs="宋体"/>
          <w:kern w:val="0"/>
          <w:sz w:val="30"/>
          <w:szCs w:val="30"/>
        </w:rPr>
      </w:pPr>
    </w:p>
    <w:p w14:paraId="28A6D991">
      <w:pPr>
        <w:spacing w:line="540" w:lineRule="exact"/>
        <w:jc w:val="center"/>
        <w:rPr>
          <w:rFonts w:hAnsi="宋体" w:eastAsia="仿宋_GB2312" w:cs="宋体"/>
          <w:kern w:val="0"/>
          <w:sz w:val="30"/>
          <w:szCs w:val="30"/>
        </w:rPr>
      </w:pPr>
    </w:p>
    <w:p w14:paraId="596CBD3D">
      <w:pPr>
        <w:spacing w:line="540" w:lineRule="exact"/>
        <w:jc w:val="center"/>
        <w:rPr>
          <w:rFonts w:hAnsi="宋体" w:eastAsia="仿宋_GB2312" w:cs="宋体"/>
          <w:kern w:val="0"/>
          <w:sz w:val="30"/>
          <w:szCs w:val="30"/>
        </w:rPr>
      </w:pPr>
    </w:p>
    <w:p w14:paraId="50C00A33">
      <w:pPr>
        <w:spacing w:line="540" w:lineRule="exact"/>
        <w:rPr>
          <w:rFonts w:hAnsi="宋体" w:eastAsia="仿宋_GB2312" w:cs="宋体"/>
          <w:kern w:val="0"/>
          <w:sz w:val="30"/>
          <w:szCs w:val="30"/>
        </w:rPr>
      </w:pPr>
    </w:p>
    <w:p w14:paraId="039AAB0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CE482D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政府救助综合保障保险项目</w:t>
      </w:r>
    </w:p>
    <w:p w14:paraId="5EF2633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呼图壁县人民政府办公室</w:t>
      </w:r>
    </w:p>
    <w:p w14:paraId="32A43D02">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呼图壁县人民政府办公室</w:t>
      </w:r>
    </w:p>
    <w:p w14:paraId="12BDEA7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张伟</w:t>
      </w:r>
    </w:p>
    <w:p w14:paraId="4B8B3C73">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027236BF">
      <w:pPr>
        <w:spacing w:line="700" w:lineRule="exact"/>
        <w:ind w:firstLine="708" w:firstLineChars="236"/>
        <w:jc w:val="left"/>
        <w:rPr>
          <w:rFonts w:hAnsi="宋体" w:eastAsia="仿宋_GB2312" w:cs="宋体"/>
          <w:kern w:val="0"/>
          <w:sz w:val="30"/>
          <w:szCs w:val="30"/>
        </w:rPr>
      </w:pPr>
    </w:p>
    <w:p w14:paraId="4853446C">
      <w:pPr>
        <w:spacing w:line="540" w:lineRule="exact"/>
        <w:rPr>
          <w:rStyle w:val="18"/>
          <w:rFonts w:ascii="黑体" w:hAnsi="黑体" w:eastAsia="黑体"/>
          <w:b w:val="0"/>
          <w:spacing w:val="-4"/>
          <w:sz w:val="32"/>
          <w:szCs w:val="32"/>
        </w:rPr>
      </w:pPr>
    </w:p>
    <w:p w14:paraId="5D10AB4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F35973C">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93B92C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相关要求，兜底救助类政策保持稳定，政府救助综合保障资金有助于确保困难群众的救助不断档，在巩固拓展脱贫攻坚成果同乡村振兴有效衔接中发挥重要作用，保障农村低收入人口等困难群体的基本生活。为增强困难群众抵御风险能力，形成政府救助与社会力量参与的多层次社会救助体系，政府设立救助综合保障资金，旨在进一步完善救助制度，填补救助空白，提高救助的精准性和有效性，使救助体系更加全面、系统。社会救助方式主要以现金和实物救助为主，难以满足困难群众在照料服务、精神慰藉、能力提升等方面的需求。同时，困难群众在生活中可能遭遇突发性、临时性、紧迫性困难问题，如重大疾病、自然灾害、意外事故等，导致基本生活陷入困境，需要政府提供及时、有效的救助资金来缓解困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（1）项目名称：政府救助综合保障保险资金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（2）项目主要内容：政府救助综合保障保险资金的项目主要内容通常涵盖多个方面，旨在为特定群体或全体市民提供风险保障和应急救助。以下是主要项目内容：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1.自然灾害救助：包括台风、暴雨、洪水、地震、冰雹等自然灾害导致的人身伤亡和财产损失救助。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 意外事故救助：包括火灾、爆炸、燃气泄漏、交通事故等突发事故的救助。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3.医疗救助：对因重大疾病或意外伤害导致的医疗费用进行补偿，特别是针对困难群众。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特殊群体救助：针对建档立卡脱贫户、低保对象、特困人员等困难群体的专项救助。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公共安全事件救助：包括犯罪行为、拥挤踩踏、恐怖活动等公共安全事件的救助。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6. 其他专项救助：如精神病人伤人、高空坠物、传染病等特殊情况的救助。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这些项目通常由政府全额出资投保，旨在提升社会保障水平，增强群众抵御风险的能力。如需更详细的理赔标准或具体政策，可参考相关政府公告或保险条款。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实施主体：呼图壁县人民政府办公室。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且人民政府办公室政府救助保障保险资金项目用于保险事故发生后，安排专人对接，协助调查，配合取证，提供材料等。对属于保险责任内的大额赔款，若赔付金额一时难以确定，启动预付赔款处理机制，按初步估损金额的50%先行预付赔款，以帮助及时恢复生产生活。损失金额一经最终确定，将在承诺的时间内支会其余赔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概述项目实施主体的主要职能和机构设置情况。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1、围绕县委决策部署和县人民政府中心工作，筹备组织县人民政府各类会议，协助县人民政府领导同志组织实施会议决定事项。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2、协助县人民政府领导同志，组织起草或审核以县人民政府、县人民政府办公室（人民政府外事办公室、数字化发展局）名义发布的公文。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3、督促检查党中央、国务院和自治区、自治州党委政府及县委</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lang w:val="en-US" w:eastAsia="zh-CN"/>
        </w:rPr>
        <w:t>县</w:t>
      </w:r>
      <w:r>
        <w:rPr>
          <w:rStyle w:val="18"/>
          <w:rFonts w:hint="eastAsia" w:ascii="楷体" w:hAnsi="楷体" w:eastAsia="楷体"/>
          <w:b w:val="0"/>
          <w:bCs w:val="0"/>
          <w:spacing w:val="-4"/>
          <w:sz w:val="32"/>
          <w:szCs w:val="32"/>
        </w:rPr>
        <w:t>政府重要文件、重要会议和领导同志重要批示、交办事项贯彻落实情况并跟踪调研，及时向县人民政府领导同志报告；督促检查人大代表议案、建议和政协委员提案的办理工作。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4、研究县人民政府各部门和各乡镇人民政府向县人民政府请示的事项，提出审核意见，报县人民政府领导同志审定。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5、负责县人民政府政务值班工作，及时向县人民政府领导同志报告重要情况。协助处理县人民政府各部门和各乡镇人民政府向县人民政府反映的重要问题，传达和督促落实县人民政府领导同志的指示批示要求。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6、按规定负责县本级机关通用资产管理工作，制定具体制度和管理办法，承担产权界定、清查登记、资产处置等工作。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7、负责县本级机关房产、公务用车管理工作，制定规章制度并组织实施；按规定负责行政办公用房的权属、配置、建设、使用、维修、处置和利用管理。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8、拟定公务接待相关制度和标准并监督实施，指导、协调县本级机关公务接待工作。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9、负责监督管理县本级公共机构节能工作。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10、贯彻落实数据要素、数据安全、政务服务管理相关法规、规章、指标规范及政策措施。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11、组织落实国家和自治区、自治州大数据战略；贯彻落实数字呼图壁、数字经济、数字社会、数字政府规划和建设。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12、组织拟订自治州有关数字基础设施布局规划，协调推进数字基础设施布局建设；协调推进数字经济发展，促进数字产业化和产业数字化。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13、组织落实数据要素产权、流通、分配、治理等数据基础制度，指导数据交易场所建设发展。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14、统筹数据资源整合共享和开发利用。协调推进数据资源分类分级管理，组织推动公共数据资源开发利用，推动信息资源跨行业跨部门互联互通。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15、负责组织、协调、指导推进全县数字政府的改革、管理和数字政府平台建设运维资金及资产管理工作；负责推动全县政务服务体系建设工作，落实政务服务“一网通办”、政府运行“一网协同”、经济社会治理“一网统管”建设。负责全县政务服务综合管理、业务指导。统筹推进全县行政审批制度改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16、负责推进全县信息化工作，研究拟订全县信息化发展规划，协调推进信息技术的推广应用，协调推动信息化领域重大科技攻关。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17、完成县党委、县人民政府交办的其他任务。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呼图壁县人民政府办公室机构设置：无下属预算单位，内设5个科室，分别是：文书科、行政管理科、综合政务服务科、政务数字化发展科、外事和政务督查科。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单位人员总数58名，其中：在职43名，退休15名，离休0名。实有人员58人。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本项目预算安排总额为252万元，资金来源为财政拨款，其中：财政资金252万元，其他资金0万元，2024年实际收到预算资金252万元，预算资金到位率为100%。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截至2024年12月31日，本项目实际支付资金252万元，预算执行率100%。本项目资金主要用于支付2023年政府救助综合保障保险资金126万元及2024年政府救助综合保障保险资金126万元。</w:t>
      </w:r>
    </w:p>
    <w:p w14:paraId="35FF5EC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9CBB25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计划投入252万元，主要用于政府救助综合保障保险，通过项目的实施，为提升政府对大灾的救助能力，提高辖区城乡居民在是常生产、生活过程中应对各种各类风险的能力，提升政府应对大灾的救助能力，发挥保险作为社会“稳定器”和经济“助推器”的作用，辖区城乡居民风险降到最小化，保障居民正常生产生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“完成政府救助保障保险数量”指标，预期指标值为“大于等于2批”；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“保障对象符合率”指标，预期指标值为“大于等于100%”；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“工作质量达标率”指标，预期指标值为“大于等于95%”；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“保险公司分配金额”指标，预期指标值为“小于等于21万元/月”；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“增强综合服务意识”指标，预期指标值为“显著增强”；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二、绩效评价工作开展情况</w:t>
      </w:r>
    </w:p>
    <w:p w14:paraId="0C453FD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322F17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70818F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此次我单位根据《财政支出绩效评价管理暂行办法》（财预〔2020〕10号）文件要求实施评价工作，本次评价对象为政府救助综合保障保险资金项目，评价核心为项目资金、项目产出、项目效益。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(5)呼县政办（2024）42号-关于申请拨付“政府救助综合保障保险”资金的请示。</w:t>
      </w:r>
    </w:p>
    <w:p w14:paraId="0190EF4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CA673F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同时辅以关键绩效指标法以及公众满意度评估法对项目进行评价，旨在通过综合分析影响绩效目标实现、实施效果的内外部因素，从而评价本项目绩效。三级指标分析环节：成本效益分析法，同时辅以关键绩效指标法以及公众满意度评估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（1）成本效益分析法：通过量化项目</w:t>
      </w:r>
      <w:bookmarkStart w:id="0" w:name="_GoBack"/>
      <w:bookmarkEnd w:id="0"/>
      <w:r>
        <w:rPr>
          <w:rStyle w:val="18"/>
          <w:rFonts w:hint="eastAsia" w:ascii="楷体" w:hAnsi="楷体" w:eastAsia="楷体"/>
          <w:b w:val="0"/>
          <w:bCs w:val="0"/>
          <w:spacing w:val="-4"/>
          <w:sz w:val="32"/>
          <w:szCs w:val="32"/>
        </w:rPr>
        <w:t>投入成本与产出效益的比率，评估经费使用的经济性和效率性，判断是否以最小成本实现了预期目标。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（2）关键绩效指标法：选取反映项目核心目标的可量化指标（如经费执行率、任务完成率等），通过定期监测指标达成情况来评价绩效表现。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（3）公众满意度评估法：通过问卷调查、访谈等方式收集服务对象（如机关单位职工、公众）对经费支持的服务质量的满意度，衡量社会效益。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D50C44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717380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张伟（评价小组组长）：主要负责项目策划和监督，全面负责项目绩效评价办稿的最终质量，对评估人员出具的最终报告质量进行复核，确保评估结果的客观性；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蔡建勇（评价小组组员）：主要负责资料的收集，取证、数据统计分析；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孙殿萍（评价小组组员）：主要负责主要负责项目报告的制定，指标的研判，数据分析及报告撰写。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经调研了解，该项目主要受益群体包括被接待人员。我们根据绩效评价目标和绩效指标体系，设计满意度调查问卷进行问卷调查，其中被接待人员受益对象共选取样本31人，共发放问卷31份，最终收回31份。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2025年3月11日-3月16日，评价小组按照绩效评价的原则和规范，对取得的资料进行审查核实，对采集的数据进行分析，按照绩效评价指标评分表逐项进行打分、分析、汇总各方评价结果。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2025年3月17-3月25日，评价小组撰写绩效评价报告，按照新疆维吾尔自治区财政绩效管理信息系统绩效评价模块中统一格式和文本框架撰写绩效评价报告并提交审核。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576A1D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90582D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截至2024年12月31日，该项目实际完成了政府救助综合保障保险工作，保险对象符合率达到100%。通过项目实施，提升了政府对大灾的救助能力，提高了辖区城乡居民在日常生产、生活过程中应对各种各类风险的能力，提升了政府应对大灾的救助能力，发挥了保险作为社会“稳定器”和经济“助推器”的作用，使辖区城乡居民风险降到了最小化，保障了居民正常生产生活。提高了资产使用效率、维护资产及人</w:t>
      </w:r>
      <w:r>
        <w:rPr>
          <w:rStyle w:val="18"/>
          <w:rFonts w:hint="eastAsia" w:ascii="楷体" w:hAnsi="楷体" w:eastAsia="楷体"/>
          <w:b w:val="0"/>
          <w:bCs w:val="0"/>
          <w:spacing w:val="-4"/>
          <w:sz w:val="32"/>
          <w:szCs w:val="32"/>
          <w:lang w:val="en-US" w:eastAsia="zh-CN"/>
        </w:rPr>
        <w:t>身</w:t>
      </w:r>
      <w:r>
        <w:rPr>
          <w:rStyle w:val="18"/>
          <w:rFonts w:hint="eastAsia" w:ascii="楷体" w:hAnsi="楷体" w:eastAsia="楷体"/>
          <w:b w:val="0"/>
          <w:bCs w:val="0"/>
          <w:spacing w:val="-4"/>
          <w:sz w:val="32"/>
          <w:szCs w:val="32"/>
        </w:rPr>
        <w:t>安全并实现服务满意度提升至95%以上，为全县行政效能优化提供坚实保障。但在实施过程中也存在一些不足：项目预算管理与成本控制存在问题，如成本管理意识薄弱、预算与实际执行脱节等。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2D0CB0EE">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84FF5E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D1C0B45">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务院颁发的《国务院关于加快发展现代保险服务业的若干意见》（国发[2014]29号）、《国务院办公厅关于政府向社会力量购买服务的指导意见》（国办发〔2013〕96号）文件精神，全面落实自治区人民政府与人保集团签署的《战略合作构架协议内容》，全力惠及和改善民生，体现中国人保财险为国有大型保险企业的社会责任，符合国家法律法规、国民经济发展规划和相关政策；本项目立项符合《保险法》中规定：乙方推出“政府救助保险”来提高甲方抽辖区居民在日常生产、生活过程中应对各类风险的能力，通过赔款的精神投放，实现党和政府对困难群众的关爱和关怀，提升政府应对大灾的救助能力，发挥保险作为社会“稳定器”和经济“助推器”的作用，辖区城乡居民风险降到最小化，保障居民正常生产生活。符合行业发展规划和政策要求；本项目立项符合《呼图壁县人民政府办公室单位配置内设机构和人员编制规定》中职责范围中的“16条，负责组织、协调、指导推进全县数字政府的改革、管理和数字政府平台建设运维资金及资产管理工作；负责推动全县政务服务体系建设工作，落实政务服务“一网通办”、政府运行“一网协同”、经济社会治理“一网统管”建设。负责全县政务服务综合管理、业务指导。统筹推进全县行政审批制度改革”，属于我单位履职所需；根据《财政资金直接支付申请书》，本项目资金性质为“公共财政预算”功能分类为“行政运行”经济分类为“委托业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呼县政办（2024）42号关于申请拨付“政府救助综合保障保险”资金的请示，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完成政府救助综合保障保险工作，保险对象符合率达到100%。提升政府对大灾的救助能力，提高辖区城乡居民在日常生产、生活过程中应对各种各类风险的能力，提升政府应对大灾的救助能力，发挥保险作为社会“稳定器”和经济“助推器”的作用，使辖区城乡居民风险降到最小化，保障居民正常生产生活”；本项目实际工作内容为：拨付2023年-2024年政府综合救助保障保险资金包括：1.自然灾害救助：包括台风、暴雨、洪水、地震、冰雹等自然灾害导致的人身伤亡和财产损失救助。 2. 意外事故救助：包括火灾、爆炸、燃气泄漏、交通事故等突发事故的救助。3.医疗救助：对因重大疾病或意外伤害导致的医疗费用进行补偿，特别是针对困难群众。4. 特殊群体救助：针对建档立卡脱贫户、低保对象、特困人员等困难群体的专项救助。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公共安全事件救助：包括犯罪行为、拥挤踩踏、恐怖活动等公共安全事件的救助。6. 其他专项救助：如精神病人伤人、高空坠物、传染病等特殊情况的救助。绩效目标与实际工作内容一致，两者具有相关性;本项目预算申请资金252万元，预算确定资金量与实际工作任务相匹配。本项目按照绩效目标完成了数量指标、质量指标、时效指标、成本指标，保障了居民正常生产生活。提高了资产使用效率、维护资产及人</w:t>
      </w:r>
      <w:r>
        <w:rPr>
          <w:rStyle w:val="18"/>
          <w:rFonts w:hint="eastAsia" w:ascii="楷体" w:hAnsi="楷体" w:eastAsia="楷体"/>
          <w:b w:val="0"/>
          <w:bCs w:val="0"/>
          <w:spacing w:val="-4"/>
          <w:sz w:val="32"/>
          <w:szCs w:val="32"/>
          <w:lang w:val="en-US" w:eastAsia="zh-CN"/>
        </w:rPr>
        <w:t>身</w:t>
      </w:r>
      <w:r>
        <w:rPr>
          <w:rStyle w:val="18"/>
          <w:rFonts w:hint="eastAsia" w:ascii="楷体" w:hAnsi="楷体" w:eastAsia="楷体"/>
          <w:b w:val="0"/>
          <w:bCs w:val="0"/>
          <w:spacing w:val="-4"/>
          <w:sz w:val="32"/>
          <w:szCs w:val="32"/>
        </w:rPr>
        <w:t>安全并实现服务满意度提升至95%以上，为全县行政效能优化提供坚实保障。年度绩效目标完成，预期产出效益和效果符合正常的业绩水平。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按照每月21万元的标准，经呼图壁县第十八届人民政府57次（2024年第23次）常务会议通过，即预算编制较科学且经过论证；项目实际内容为本项目计划投入252万元，主要用于政府救助综合保障保险，通过项目的实施，为提升政府对大灾的救助能力，提高辖区城乡居民在是常生产、生活过程中应对各种各类风险的能力，提升政府应对大灾的救助能力，发挥保险作为社会“稳定器”和经济“助推器”的作用，辖区城乡居民风险降到最小化，保障居民正常生产生活。预算申请与《呼图壁县政府救助综合保障保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252万元，我单位在预算申请中严格按照单位标准和数量进行核算，其中：单位标准21万元/月，数量为12个月。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拨付“政府救助综合保障保险”资金的请示》为依据进行资金分配，预算资金分配依据充分。根据《关于申请拨付“政府救助综合保障保险”资金的请示》文件显示，本项目实际到位资金252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D4B38DE">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B6F495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本项目预算资金为252万元，其中：本级财政安排资金252万元，其他资金0万元，实际到位资金252万元，资金到位率=（实际到位资金/预算资金）×100.00%=（252/252）*100.00%=100%。得分=资金到位率*分值=100%*4=4分。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本项目实际支出资金252万元，预算执行率=（实际支出资金/实际到位资金）×100.00%=（252/252）*100.00%=100%。得分=预算执行率*分值=100%*5=5分。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人民政府办公室单位资金管理办法》《呼图壁县人民政府办公室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人民政府办公室资金管理办法》《呼图壁县人民政府办公室收支业务管理制度》《呼图壁县人民政府办公政府采购业务管理制度》《呼图壁县人民政府办公室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关于申请拨付“政府救助综合保障保险”资金的请示》、《合同协议书》、《保险单》等资料齐全并及时进行了归档。项目资金支出严格按照自治区、地区、市以及本单位资金管理办法执行，项目启动实施后，为了加快本项目的实施，成立了政府救助综合保障保险资金项目工作领导小组，由党组书记张伟任组长，负责项目的组织工作；蔡建勇任副组长，负责项目的实施工作；组员包括：孙殿萍和宣晓斌，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0A4F92B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33A3DE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项目产出类指标由3个二级指标和4个三级指标构成，权重分20.00分，实际得分20.00分。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“完成政府救助保障保险数量”指标：预期指标值为“&gt;=2批”，实际完成指标值为“=2批”，指标完成率为100.0%。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“保障对象符合率”指标：预期指标值为“&gt;=100%”，实际完成指标值为“=100%”，指标完成率为100.0%。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“工作质量达标率”指标：预期指标值为“&gt;=95%”，实际完成指标值为“=95%”，指标完成率为100.0%。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综上所述，本指标满分为6.0分，根据评分标准得6.0分。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“项目完成及时率”指标：预期指标值为“&gt;=100%”，实际完成指标值为“=100%”，指标完成率为100.0%。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综上所述，本指标满分为9.0分，根据评分标准得9.0分。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“保险公司分配金额”指标：预期指标值为“&lt;=21万元/月”，实际完成指标值为“=21万元/月”，指标完成率为100.0%。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8430A3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BFDE65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“增强综合服务意识”指标：预期指标值为“显著增强 ”，实际完成指标值为“达到预期指标”，指标完成率为100.0%。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1CA27D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“受益群众满意度”指标：预期指标值为“&gt;=95%”，实际完成指标值为“=95%”，指标完成率为“100%”。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45B37DFC">
      <w:pPr>
        <w:spacing w:line="540" w:lineRule="exact"/>
        <w:ind w:firstLine="567"/>
        <w:rPr>
          <w:rStyle w:val="18"/>
          <w:rFonts w:hint="eastAsia" w:ascii="楷体" w:hAnsi="楷体" w:eastAsia="楷体"/>
          <w:b w:val="0"/>
          <w:bCs w:val="0"/>
          <w:spacing w:val="-4"/>
          <w:sz w:val="32"/>
          <w:szCs w:val="32"/>
        </w:rPr>
      </w:pPr>
    </w:p>
    <w:p w14:paraId="53364E1B">
      <w:pPr>
        <w:spacing w:line="540" w:lineRule="exact"/>
        <w:ind w:firstLine="567"/>
        <w:rPr>
          <w:rStyle w:val="18"/>
          <w:rFonts w:ascii="楷体" w:hAnsi="楷体" w:eastAsia="楷体"/>
          <w:spacing w:val="-4"/>
          <w:sz w:val="32"/>
          <w:szCs w:val="32"/>
        </w:rPr>
      </w:pPr>
    </w:p>
    <w:p w14:paraId="6E293B5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9AE09F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组织方面：通过成立工作领导小组，明确责任人，强化统筹调度与信息共享机制，确保各环节衔接有序。同时，建立常态化沟通协调平台，定期组织会议，动态解决项目实施中的难点问题，形成多层级、多维度协同发力的组织保障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创新运用信息化管理平台，实现项目进度可视化追踪和档案电子化管理，提升工作透明度和可追溯性。注重过程监督与结果导向相结合，引入第三方专业力量参与阶段性评估，及时优化实施方案，确保项目推进质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方面：坚持预算约束与绩效管理双轮驱动。严格按照财政管理要求规范预算编制流程，强化资金使用计划的科学性和前瞻性。建立分级审批制度和动态调整机制，确保资金流向合规、使用高效。同时加强财务人员专业培训，完善内控制度建设，有效防范资金运行风险，实现财政资金使用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1、问题：预算编制不够精准，项目预算管理与成本控制存在问题，如成本管理意识薄弱、预算与实际执行脱节等。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原因分析：预算编制时未充分调研实际需求，缺乏历史数据参考对突发性支出（如政府救助标准与对象认定）预估不足；专项基金部门间沟通不畅，导致部分经费分配不合理。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2、问题：救助标准与对象识别不科学， 当前救助标准多以城市低保为基准，导致城乡救助水平差异显著，难以满足农村受助者的实际需求。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原因分析：经费拨付流程繁琐，导致资金到位延迟；责任分工不明确，部门间协作效率低；缺乏阶段性目标考核，执行过程监督不足。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3、问题：人员专业性不足，影响经费管理水平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原因分析：财务人员缺乏专业培训，对最新政策理解不到位；业务部门对经费使用规则不熟悉，易出现违规操作；未引入信息化管理工具，依赖人工核算效率低。</w:t>
      </w:r>
    </w:p>
    <w:p w14:paraId="6A7E258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6DE567CD">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1. 完善政策法规，细化政府救助标准与对象认定程序，建立动态调整机制；强化资金监管，推行“全程电子化+第三方审计”，严惩违规行为。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推动数据共享，打通部门信息壁垒，实现救助对象精准识别与资源高效配置。可逐步解决救助资金管理中的结构性矛盾，真正实现“应救尽救、救必精准”的目标。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 提升服务能力，加强基层人员培训，构建“经济+服务”综合救助模式。  </w:t>
      </w:r>
    </w:p>
    <w:p w14:paraId="6760B29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F1671A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34C0103E">
      <w:pPr>
        <w:spacing w:line="540" w:lineRule="exact"/>
        <w:ind w:firstLine="567"/>
        <w:rPr>
          <w:rStyle w:val="18"/>
          <w:rFonts w:ascii="仿宋" w:hAnsi="仿宋" w:eastAsia="仿宋"/>
          <w:b w:val="0"/>
          <w:spacing w:val="-4"/>
          <w:sz w:val="32"/>
          <w:szCs w:val="32"/>
        </w:rPr>
      </w:pPr>
    </w:p>
    <w:p w14:paraId="7D10B02F">
      <w:pPr>
        <w:spacing w:line="540" w:lineRule="exact"/>
        <w:ind w:firstLine="567"/>
        <w:rPr>
          <w:rStyle w:val="18"/>
          <w:rFonts w:ascii="仿宋" w:hAnsi="仿宋" w:eastAsia="仿宋"/>
          <w:b w:val="0"/>
          <w:spacing w:val="-4"/>
          <w:sz w:val="32"/>
          <w:szCs w:val="32"/>
        </w:rPr>
      </w:pPr>
    </w:p>
    <w:p w14:paraId="52F1CB9D">
      <w:pPr>
        <w:spacing w:line="540" w:lineRule="exact"/>
        <w:ind w:firstLine="567"/>
        <w:rPr>
          <w:rStyle w:val="18"/>
          <w:rFonts w:ascii="仿宋" w:hAnsi="仿宋" w:eastAsia="仿宋"/>
          <w:b w:val="0"/>
          <w:spacing w:val="-4"/>
          <w:sz w:val="32"/>
          <w:szCs w:val="32"/>
        </w:rPr>
      </w:pPr>
    </w:p>
    <w:p w14:paraId="37A829E5">
      <w:pPr>
        <w:spacing w:line="540" w:lineRule="exact"/>
        <w:ind w:firstLine="567"/>
        <w:rPr>
          <w:rStyle w:val="18"/>
          <w:rFonts w:ascii="仿宋" w:hAnsi="仿宋" w:eastAsia="仿宋"/>
          <w:b w:val="0"/>
          <w:spacing w:val="-4"/>
          <w:sz w:val="32"/>
          <w:szCs w:val="32"/>
        </w:rPr>
      </w:pPr>
    </w:p>
    <w:p w14:paraId="48B7E6FF">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805AF83">
        <w:pPr>
          <w:pStyle w:val="12"/>
          <w:jc w:val="center"/>
        </w:pPr>
        <w:r>
          <w:fldChar w:fldCharType="begin"/>
        </w:r>
        <w:r>
          <w:instrText xml:space="preserve">PAGE   \* MERGEFORMAT</w:instrText>
        </w:r>
        <w:r>
          <w:fldChar w:fldCharType="separate"/>
        </w:r>
        <w:r>
          <w:rPr>
            <w:lang w:val="zh-CN"/>
          </w:rPr>
          <w:t>2</w:t>
        </w:r>
        <w:r>
          <w:fldChar w:fldCharType="end"/>
        </w:r>
      </w:p>
    </w:sdtContent>
  </w:sdt>
  <w:p w14:paraId="4712F5C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4AA64DA"/>
    <w:rsid w:val="0856517C"/>
    <w:rsid w:val="0BFB189F"/>
    <w:rsid w:val="0F58071E"/>
    <w:rsid w:val="11BD75F7"/>
    <w:rsid w:val="13BE561A"/>
    <w:rsid w:val="15392994"/>
    <w:rsid w:val="18FE139B"/>
    <w:rsid w:val="3029612C"/>
    <w:rsid w:val="32A221C5"/>
    <w:rsid w:val="33F20F2A"/>
    <w:rsid w:val="34C44675"/>
    <w:rsid w:val="3B5B5607"/>
    <w:rsid w:val="3CE21B3C"/>
    <w:rsid w:val="46AD611F"/>
    <w:rsid w:val="4ADD21D5"/>
    <w:rsid w:val="4D2606A1"/>
    <w:rsid w:val="51830480"/>
    <w:rsid w:val="53A616BE"/>
    <w:rsid w:val="54662BFB"/>
    <w:rsid w:val="62051CA5"/>
    <w:rsid w:val="6C3A69EF"/>
    <w:rsid w:val="6FD325A4"/>
    <w:rsid w:val="7BDF2CF1"/>
    <w:rsid w:val="7D4F3ED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11760</Words>
  <Characters>12349</Characters>
  <Lines>4</Lines>
  <Paragraphs>1</Paragraphs>
  <TotalTime>12</TotalTime>
  <ScaleCrop>false</ScaleCrop>
  <LinksUpToDate>false</LinksUpToDate>
  <CharactersWithSpaces>12385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2025-09-22T08:01:03Z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