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309E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5ED9C33">
      <w:pPr>
        <w:spacing w:line="540" w:lineRule="exact"/>
        <w:jc w:val="center"/>
        <w:rPr>
          <w:rFonts w:ascii="华文中宋" w:hAnsi="华文中宋" w:eastAsia="华文中宋" w:cs="宋体"/>
          <w:b/>
          <w:kern w:val="0"/>
          <w:sz w:val="52"/>
          <w:szCs w:val="52"/>
        </w:rPr>
      </w:pPr>
    </w:p>
    <w:p w14:paraId="5F824914">
      <w:pPr>
        <w:spacing w:line="540" w:lineRule="exact"/>
        <w:jc w:val="center"/>
        <w:rPr>
          <w:rFonts w:ascii="华文中宋" w:hAnsi="华文中宋" w:eastAsia="华文中宋" w:cs="宋体"/>
          <w:b/>
          <w:kern w:val="0"/>
          <w:sz w:val="52"/>
          <w:szCs w:val="52"/>
        </w:rPr>
      </w:pPr>
    </w:p>
    <w:p w14:paraId="415F05F9">
      <w:pPr>
        <w:spacing w:line="540" w:lineRule="exact"/>
        <w:jc w:val="center"/>
        <w:rPr>
          <w:rFonts w:ascii="华文中宋" w:hAnsi="华文中宋" w:eastAsia="华文中宋" w:cs="宋体"/>
          <w:b/>
          <w:kern w:val="0"/>
          <w:sz w:val="52"/>
          <w:szCs w:val="52"/>
        </w:rPr>
      </w:pPr>
    </w:p>
    <w:p w14:paraId="28B69287">
      <w:pPr>
        <w:spacing w:line="540" w:lineRule="exact"/>
        <w:jc w:val="center"/>
        <w:rPr>
          <w:rFonts w:ascii="华文中宋" w:hAnsi="华文中宋" w:eastAsia="华文中宋" w:cs="宋体"/>
          <w:b/>
          <w:kern w:val="0"/>
          <w:sz w:val="52"/>
          <w:szCs w:val="52"/>
        </w:rPr>
      </w:pPr>
    </w:p>
    <w:p w14:paraId="7022C65E">
      <w:pPr>
        <w:spacing w:line="540" w:lineRule="exact"/>
        <w:jc w:val="center"/>
        <w:rPr>
          <w:rFonts w:ascii="华文中宋" w:hAnsi="华文中宋" w:eastAsia="华文中宋" w:cs="宋体"/>
          <w:b/>
          <w:kern w:val="0"/>
          <w:sz w:val="52"/>
          <w:szCs w:val="52"/>
        </w:rPr>
      </w:pPr>
    </w:p>
    <w:p w14:paraId="1EF77798">
      <w:pPr>
        <w:spacing w:line="540" w:lineRule="exact"/>
        <w:jc w:val="center"/>
        <w:rPr>
          <w:rFonts w:ascii="华文中宋" w:hAnsi="华文中宋" w:eastAsia="华文中宋" w:cs="宋体"/>
          <w:b/>
          <w:kern w:val="0"/>
          <w:sz w:val="52"/>
          <w:szCs w:val="52"/>
        </w:rPr>
      </w:pPr>
    </w:p>
    <w:p w14:paraId="47DE4D0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EC63D82">
      <w:pPr>
        <w:spacing w:line="540" w:lineRule="exact"/>
        <w:jc w:val="center"/>
        <w:rPr>
          <w:rFonts w:ascii="华文中宋" w:hAnsi="华文中宋" w:eastAsia="华文中宋" w:cs="宋体"/>
          <w:b/>
          <w:kern w:val="0"/>
          <w:sz w:val="52"/>
          <w:szCs w:val="52"/>
        </w:rPr>
      </w:pPr>
    </w:p>
    <w:p w14:paraId="07A27C0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85D92AE">
      <w:pPr>
        <w:spacing w:line="540" w:lineRule="exact"/>
        <w:jc w:val="center"/>
        <w:rPr>
          <w:rFonts w:hAnsi="宋体" w:eastAsia="仿宋_GB2312" w:cs="宋体"/>
          <w:kern w:val="0"/>
          <w:sz w:val="30"/>
          <w:szCs w:val="30"/>
        </w:rPr>
      </w:pPr>
    </w:p>
    <w:p w14:paraId="659DF676">
      <w:pPr>
        <w:spacing w:line="540" w:lineRule="exact"/>
        <w:jc w:val="center"/>
        <w:rPr>
          <w:rFonts w:hAnsi="宋体" w:eastAsia="仿宋_GB2312" w:cs="宋体"/>
          <w:kern w:val="0"/>
          <w:sz w:val="30"/>
          <w:szCs w:val="30"/>
        </w:rPr>
      </w:pPr>
    </w:p>
    <w:p w14:paraId="2D445CBA">
      <w:pPr>
        <w:spacing w:line="540" w:lineRule="exact"/>
        <w:jc w:val="center"/>
        <w:rPr>
          <w:rFonts w:hAnsi="宋体" w:eastAsia="仿宋_GB2312" w:cs="宋体"/>
          <w:kern w:val="0"/>
          <w:sz w:val="30"/>
          <w:szCs w:val="30"/>
        </w:rPr>
      </w:pPr>
    </w:p>
    <w:p w14:paraId="51A16B3B">
      <w:pPr>
        <w:spacing w:line="540" w:lineRule="exact"/>
        <w:jc w:val="center"/>
        <w:rPr>
          <w:rFonts w:hAnsi="宋体" w:eastAsia="仿宋_GB2312" w:cs="宋体"/>
          <w:kern w:val="0"/>
          <w:sz w:val="30"/>
          <w:szCs w:val="30"/>
        </w:rPr>
      </w:pPr>
    </w:p>
    <w:p w14:paraId="3595F91C">
      <w:pPr>
        <w:spacing w:line="540" w:lineRule="exact"/>
        <w:jc w:val="center"/>
        <w:rPr>
          <w:rFonts w:hAnsi="宋体" w:eastAsia="仿宋_GB2312" w:cs="宋体"/>
          <w:kern w:val="0"/>
          <w:sz w:val="30"/>
          <w:szCs w:val="30"/>
        </w:rPr>
      </w:pPr>
    </w:p>
    <w:p w14:paraId="653D5395">
      <w:pPr>
        <w:spacing w:line="540" w:lineRule="exact"/>
        <w:jc w:val="center"/>
        <w:rPr>
          <w:rFonts w:hAnsi="宋体" w:eastAsia="仿宋_GB2312" w:cs="宋体"/>
          <w:kern w:val="0"/>
          <w:sz w:val="30"/>
          <w:szCs w:val="30"/>
        </w:rPr>
      </w:pPr>
    </w:p>
    <w:p w14:paraId="6CF91480">
      <w:pPr>
        <w:spacing w:line="540" w:lineRule="exact"/>
        <w:rPr>
          <w:rFonts w:hAnsi="宋体" w:eastAsia="仿宋_GB2312" w:cs="宋体"/>
          <w:kern w:val="0"/>
          <w:sz w:val="30"/>
          <w:szCs w:val="30"/>
        </w:rPr>
      </w:pPr>
    </w:p>
    <w:p w14:paraId="287A7A5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F4972A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2024年农房抗震防灾工程</w:t>
      </w:r>
    </w:p>
    <w:p w14:paraId="4377D43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呼图壁县住房和城乡建设局</w:t>
      </w:r>
    </w:p>
    <w:p w14:paraId="67A9AF3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呼图壁县住房和城乡建设局</w:t>
      </w:r>
    </w:p>
    <w:p w14:paraId="3C46351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潘存玲</w:t>
      </w:r>
    </w:p>
    <w:p w14:paraId="63E06EC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2F1F2EB1">
      <w:pPr>
        <w:spacing w:line="700" w:lineRule="exact"/>
        <w:ind w:firstLine="708" w:firstLineChars="236"/>
        <w:jc w:val="left"/>
        <w:rPr>
          <w:rFonts w:hAnsi="宋体" w:eastAsia="仿宋_GB2312" w:cs="宋体"/>
          <w:kern w:val="0"/>
          <w:sz w:val="30"/>
          <w:szCs w:val="30"/>
        </w:rPr>
      </w:pPr>
    </w:p>
    <w:p w14:paraId="4E880CEE">
      <w:pPr>
        <w:spacing w:line="540" w:lineRule="exact"/>
        <w:rPr>
          <w:rStyle w:val="18"/>
          <w:rFonts w:ascii="黑体" w:hAnsi="黑体" w:eastAsia="黑体"/>
          <w:b w:val="0"/>
          <w:spacing w:val="-4"/>
          <w:sz w:val="32"/>
          <w:szCs w:val="32"/>
        </w:rPr>
      </w:pPr>
    </w:p>
    <w:p w14:paraId="13A0DD7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4C57D7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E608D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新疆维吾尔自治区“十四五”防震减灾规划》和《关于加快推进农房抗震改造的指导意见》，呼图壁县地处北天山地震带，地震风险等级较高，全县60%以上农房为土木或砖木结构，抗震设防达标率不足40%，部分老旧房屋存在墙体开裂、地基不稳等隐患，严重威胁群众生命财产安全。实施必要性：推进农房抗震改造是落实国家防灾减灾救灾体制改革要求、降低地震灾害损失的关键举措，也是巩固脱贫攻坚成果、推动乡村振兴的必然需求。通过系统加固或重建，可有效提升农村住房抗震性能，减少因灾返贫风险，同时引导农户科学建房，优化农村人居环境。项目计划通过分类施策（加固、拆除重建、新建示范），使改造后农房抗震设防达标率达到85%以上，基本消除C/D级危房，同步建立农房建设全过程监管体系，普及抗震技术标准，增强群众防灾意识和应急能力，为县域高质量发展筑牢安全屏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（1）项目名称：2024年农房抗震防灾工程项目（以下简称“该项目”或“项目”）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一、农房抗震排查与鉴定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域房屋安全普查：组织专业团队对全县农村住房开展全覆盖排查，重点针对土木、砖木结构房屋，采用仪器检测与人工评估相结合的方式，对地基稳定性、墙体承重能力、屋顶结构等进行综合鉴定。依据《农村住房危险性鉴定标准》（JGJ/T 363-2014），将房屋划分为A（安全）、B（轻微隐患）、C（需加固）、D（需拆除重建）四个等级，建立“一房一档”电子数据库，动态更新隐患台账。分类制定改造方案：对C级危房实施加固改造，D级危房纳入拆除重建计划，B级房屋进行局部修缮，确保改造措施精准适配房屋安全等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二、抗震加固与重建工程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抗震加固技术应用：结构加固，对土木结构房屋增设木构架或钢构架支撑系统，砖木结构房屋加设钢筋混凝土圈梁、构造柱，提升整体抗震性能。基础加固，采用注浆加固、扩大基础等方式，改善地基承载力不足问题；对滑坡、泥石流易发区房屋增设挡土墙、排水沟等防护设施。连接节点强化：对屋架与墙体、梁柱连接处使用抗震锚固件、钢带捆扎等工艺，增强结构整体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拆除重建与示范房建设：对D级危房实施整栋拆除，按照《新疆维吾尔自治区农房抗震改造技术导则》要求，统一设计抗震设防烈度8度的标准化图纸，推广轻钢结构、装配式建筑等新型抗震技术。选取3-5个行政村建设抗震示范房，集成保温墙体、太阳能供电、节水设施等绿色技术，打造可复制的“安全+宜居”样板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实施主体呼图壁县住房和城乡建设局。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住房和城乡建设局2024年农房抗震防灾工程项目遵循“全流程规范、多维度协同”原则有序推进。前期准备阶段，通过全域农房安全普查和危险性等级鉴定，精准锁定C/D级危房并建立动态数据库，同步编制抗震加固技术方案和资金分配计划，完成政策宣传与农户意愿摸底。招投标环节，严格遵循《中华人民共和国招标投标法》，通过公开招标优选具备抗震改造资质的施工企业及第三方监理单位，重点审核企业过往工程案例和技术方案可行性，确保公平竞争与专业能力匹配。实施过程中，采取“试点先行、分类推进”策略，优先对地震高风险区农房实施结构加固（如增设圈梁构造柱、地基注浆）或拆除重建，施工全程由监理单位驻场监督，并联合乡镇干部、村民代表成立质量巡查组，定期抽查建材质量与工艺标准，同步开展工匠培训与农户安全知识普及。项目验收阶段，实行“农户自验+乡镇初验+县级终验”三级审核机制，委托专业机构进行抗震性能检测，重点核查加固节点、消防设施及水电管网改造达标情况，对不合格工程限期整改并纳入信用记录。投入使用后，建立农房安全动态监测平台，定期回访房屋使用状况，配套完善应急避难场所和物资储备，组织常态化防灾演练，形成“改造—维护—应急”全生命周期管理体系。项目最终实现农房抗震达标率显著提升，安全隐患全面消除，农户居住安全感和满意度同步增强，为边疆地区乡村振兴与防灾减灾能力建设提供示范样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国家、自治区、州、县有关工程建设、城市建设、村镇建设、房地产开发、住房体系保障建设、市政公用事业的方针、政策、法律、法规；进行建筑、房产等行业管理；推进城市公共基础设施工程项目建设，并负责全县建设档案建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全县城镇低收入家庭住房保障工作，规范全县房地产市场秩序、监督管理全县房地产市场；监督管理全县建筑市场，规范各方主体行为。负责全县住房保障信息平台的建设、管理和各类数据的统计上报工作；负责全县保障性住房建设、分配、管理、维修、维护和物业管理等相关业务；负责全县保障性住房的申请、审核、分配和后续动态管理等业务工作；负责全县保障性安居工程项目建设资金、住房保障专项资金的核算和使用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负责城市道路、供排水、市政照明、维护及日常管理工作。负责全县市政公用事业特许经营；监督指导供水供气、供热和市容环境卫生、园林绿化法律法规规章的执行；指导市政公用设施建设、安全和应急管理。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建设工程质量和安全管理有关业务工作。建立建设工程质量和安全管理台账；协助对本县建筑工程质量和安全进行日常巡查和抽查；参与建筑工程重大质量事故和安全事故的调查处理；协助受理本县建筑工程质量和安全问题的投诉、举报工作；负责对建筑工程竣工验收的质量监督；负责全县建设工程消防设计审查验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负责城乡安居富民工程建设的指导监督，指导农村住房建设和安全及危房改造，指导城镇人居生态环境的改善工作。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宣传国家房屋征收与补偿的法律法规、房屋征收与补偿政策；负责征收范围内房屋、人员等基本信息的采集等工作；负责征迁区域内的征迁户签订安置协议相关工作；负责征收补偿有关费用的结算工作；负责房屋征收与补偿数据信息的统计、档案资料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行使住房和城乡建设、城市综合管理范围内的行政处罚权；负责市政公用设施运行管理、市容环境卫生管理、园林绿化设施管理等方面的全部执法工作。依法行使环境保护管理方面社会生活噪音污染、餐饮服务业油烟污染、露天烧烤污染、城市焚烧沥青塑料垃圾等烟尘和恶臭污染、露天焚烧秸秆落叶等盐城污染、燃放烟花爆竹污染等的行政处罚权；行使市场管理方面户外公共场所无证无照经营、违规设置户外广告的行政处罚权；行使交通管理方面侵占城市道路、车行道外违法停放车辆等的行政处罚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无下属预算单位，下设中心2个，执法大队1个及2个业务科室，分别是：呼图壁县综合保障中心、呼图壁县建设工程质量安全消防技术服务中心（城建档案室）、呼图壁县住房和城乡建设综合行政执法大队、财务室、综合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呼图壁县住房和城乡建设局单位编制数45，实有人数53人，其中：在职42人，增加13人； 退休11人，增加2人；离休0人，减少1人。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万元，资金来源为财政资金，其中：财政资金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万元，预算执行率100%。本项目资金主要用于支付1345户房屋抗震改造、加固、重建，户均改造标准2.13万元每户，共计</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w:t>
      </w:r>
    </w:p>
    <w:p w14:paraId="6B2CE6D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955A2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2024年农房抗震防灾工程以“安全为本、精准施策”为核心理念，围绕数量与质量双维度设定三级指标：数量指标包括覆盖全县农村地区需改造农房总数的100%，完成抗震加固与重建农房数量不低于2000户，培训具备专业资质的建筑工匠不少于300人；质量指标涵盖改造后农房抗震设防标准达标率提升至85%以上，工程验收一次性合格率不低于95%，主要建材质量抽检合格率达到100%，群众对住房安全满意度超过90%。项目总体目标是通过系统性加固、重建及技术赋能，全面消除农村住房抗震安全隐患，构建“房屋安全有保障、应急能力有提升、群众意识有增强”的防灾减灾体系，切实保障农民生命财产安全，助力乡村振兴与边疆地区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“实施抗震防灾户数”指标，预期指标值为“&gt;=1345户”；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“抽检质量合格率”指标，预期指标值为“&gt;=95%”；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“抗震补助到位及时率”指标，预期指标值为“&gt;=95%”；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“补助标准”指标，预期指标值为“&lt;=1500元/户”；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“改善居住环境”指标，预期指标值为“改善”；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“受益群体满意度”指标，预期指标值为“&gt;=95%”。</w:t>
      </w:r>
    </w:p>
    <w:p w14:paraId="5089FD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97E2D3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EA42F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州本级2024年农房抗震防灾工程财政专项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（6）《新疆维吾尔自治区“十四五”防震减灾规划》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（7）《建设工程质量管理条例》（国务院令第714号）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（8）《农村住房危险性鉴定标准》（JGJ/T 363-2014）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（9）《关于实现巩固拓展脱贫攻坚成果同乡村振兴有效衔接的意见》（中发〔2020〕30号）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（10）《新疆维吾尔自治区农房抗震改造技术导则》</w:t>
      </w:r>
    </w:p>
    <w:p w14:paraId="38C96C0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BB5D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同时辅以关键绩效指标法以及公众满意度调查法。对项目进行评价，旨在通过综合分析影响绩效目标实现、实施效果的内外部因素，从而评价本项目绩效。三级指标分析环节：成本效益分析法，同时辅以关键绩效指标法</w:t>
      </w:r>
      <w:bookmarkStart w:id="0" w:name="_GoBack"/>
      <w:bookmarkEnd w:id="0"/>
      <w:r>
        <w:rPr>
          <w:rStyle w:val="18"/>
          <w:rFonts w:hint="eastAsia" w:ascii="楷体" w:hAnsi="楷体" w:eastAsia="楷体"/>
          <w:b w:val="0"/>
          <w:bCs w:val="0"/>
          <w:spacing w:val="-4"/>
          <w:sz w:val="32"/>
          <w:szCs w:val="32"/>
        </w:rPr>
        <w:t>以及公众满意度调查法。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成本效益分析法：通过对比项目实施的总投入（包括资金、人力、物资等）与产生的综合效益（如抗震能力提升、灾害损失减少、群众满意度提高等），评估项目的经济性和社会价值，衡量资源使用效率与目标达成之间的匹配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2.关键绩效指标法（KPI）：选取与项目核心目标直接关联的量化或质性指标（如改造农房数量、抗震达标率、验收合格率），通过定期监测和对比实际完成值与预设目标值，直观反映项目执行效果与预期差距。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公众满意度调查法：通过问卷调查、入户访谈等方式，收集农户对房屋加固效果、政策公平性、施工过程透明度等主观评价，从受益者视角评估项目的实际成效与社会接受度。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BBD451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35F9A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何玉博（评价小组组长）：主要负责项目策划和监督，全面负责项目绩效评价办稿的最终质量，对评估人员出具的最终报告质量进行复核，确保评估结果的客观性；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徐晓璐（评价小组组员）：主要负责资料的收集，取证、数据统计分析；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赵涵（评价小组组员）：主要负责主要负责项目报告的制定，指标的研判，数据分析及报告撰写。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当地居民。我们根据绩效评价目标和绩效指标体系，设计满意度调查问卷进行问卷调查，其中当地居民受益对象当地居民受益对象共选取样本38人，共发放问卷38份，最终收回38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861A66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1F8C5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1345户房屋抗震改造、加固、重建目标，改善了居民居住环境，提高了生活水平。但在实施过程中也存在一些不足：部分农房改造技术标准执行不到位、跨部门协同效率低等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C1406D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6B1B7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8870B1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央颁发的《中华人民共和国防震减灾法》中：“法律明确要求地方政府加强农村住房抗震能力建设，对不符合抗震设防标准的既有建筑进行加固改造。项目通过农房抗震改造，落实法律中“预防为主、防御与救助相结合”的基本原则。”，符合国家法律法规、国民经济发展规划和相关政策；本项目立项符合《住房和城乡建设部关于加强农村住房建设管理的通知》中：“强调“加强农村住房抗震设计和技术指导”，项目通过制定标准化改造方案、培训本地工匠，推动政策要求落地。”内容，符合行业发展规划和政策要求；本项目立项符合《呼图壁县住房和城乡建设局配置内设机构和人员编制规定》中职责范围中的“城镇规划建设”，属于我单位履职所需；根据《财政资金直接支付申请书》，本项目资金性质为“公共财政预算”功能分类为“农村危房改造”经济分类为“房屋建筑物购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昌州财建[2024]73号文件要求，我单位上报《资金申请报告》呼住建发〔2024〕23号，经昌吉州发展和改革委员会审核，下发《关于2024年农房抗震防灾工程财政专项补助资金的批复》（呼发改投资〔2021〕128号）批复文件，本项目正式设立。经查看，该项目立项过程产生的相关文件，符合相关要求。本项目为基础建设类项目，属于经常性项目，不涉及事前绩效评估和风险评估，已委托新疆东方瀚宇建筑规划设计有限公司编制《呼图壁县2024年农房抗震防灾工程建设项目EPC总承包设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本项目已设置年度绩效目标，具体内容为“根据昌州财建[2024]73号、昌州财建[2024]113号文件附带的区域目标，结合呼图壁县实际情况，本项目计划投入</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用于2024年1345户房屋抗震改造、加固、重建工作，每户改造标准2.13万元，通过项目的实施，促进城市的发展，完善居住条件，改善生活水平。”本项目实际工作内容为：完成1345户房屋抗震改造、加固、重建工作，每户改造标准2.13万元。通过项目的实施，促进了城市的发展，完善了居住条件，改善了生活水平；绩效目标与实际工作内容一致，两者具有相关性;本项目预算申请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保障了1345户房屋抗震改造、加固、重建工作，改善了居民居住环境，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本项目预算编制通过农房抗震防灾工程可行性研究报告得出，即预算编制较科学且经过论证；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预算申请内容为对1345户房屋抗震改造、加固、重建，户均改造标准2.13万元每户，共计</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万元，项目实际内容为对1345户房屋抗震改造、加固、重建，户均改造标准2.13万元每户，共计</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万元，预算申请与《2024年农房抗震防灾项目实施方案》中涉及的项目内容匹配；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万元，我单位在预算申请中严格按照单位标准和数量进行核算，其中：单位标准为2.13万元，数量为1345户。本项目预算额度测算依据充分，严格按照标准编制，预算确定资金量与实际工作任务相匹配；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农房抗震防灾工程资金的请示》和《2024年农房抗震防灾工程实施方案》为依据进行资金分配，预算资金分配依据充分。根据《2024年农房抗震防灾项目资金下达文件》文件显示，本项目实际到位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E8427E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8E1B9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万元，资金到位率=100%（实际到位资金/预算资金）×100.00%=（</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）*100.00%=100.00%。得分=资金到位率*分值=100%*4=4分。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万元，预算执行率=100%（实际支出资金/实际到位资金）×100.00%=（</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2860.90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住房和城乡建设局资金管理办法》《呼图壁县住房和城乡建设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住房和城乡建设局资金管理办法》《呼图壁县住房和城乡建设局收支业务管理制度》《呼图壁县住房和城乡建设局政府采购业务管理制度》《呼图壁县住房和城乡建设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鉴定报告、审计定案表等资料齐全并及时进行了归档。项目资金支出严格按照自治区、地区、市以及本单位资金管理办法执行，项目启动实施后，为了加快本项目的实施，成立了呼图壁县住房和城乡建设局项目工作领导小组，由党组书记王军任组长，负责项目的组织工作；何玉博任副组长，负责项目的实施工作；组员包括：徐晓璐和赵涵，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AD31D8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287B27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“实施抗震防灾户数”指标：预期指标值为“&gt;=1345户”，实际完成指标值为“=1345户”，指标完成率为100.0%。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“抽检质量合格率”指标：预期指标值为“&gt;=95%”，实际完成指标值为“=100%”，指标完成率为100%。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“抽检及时率”指标：预期指标值为“&gt;=95%”，实际完成指标值为“=100%”，指标完成率为100%。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“抗震补助到位及时率”指标：预期指标值为“&gt;=95%”，实际完成指标值为“=100%”，指标完成率为100%。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“经济成本指标”指标：预期指标值为“&lt;=1500元/户”，实际完成指标值为“=1500元/户”，指标完成率为100%。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C68E07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5018B2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“改善居住环境”指标：预期指标值为“改善”，实际完成指标值为“达到预期指标”，指标完成率为100.0%。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A8BD3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“受益群体满意度”指标：预期指标值为“&gt;=95%”，实际完成指标值为“=100%”，指标完成率为100%。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14662445">
      <w:pPr>
        <w:spacing w:line="540" w:lineRule="exact"/>
        <w:ind w:firstLine="567"/>
        <w:rPr>
          <w:rStyle w:val="18"/>
          <w:rFonts w:hint="eastAsia" w:ascii="楷体" w:hAnsi="楷体" w:eastAsia="楷体"/>
          <w:b w:val="0"/>
          <w:bCs w:val="0"/>
          <w:spacing w:val="-4"/>
          <w:sz w:val="32"/>
          <w:szCs w:val="32"/>
        </w:rPr>
      </w:pPr>
    </w:p>
    <w:p w14:paraId="6B724A70">
      <w:pPr>
        <w:spacing w:line="540" w:lineRule="exact"/>
        <w:ind w:firstLine="567"/>
        <w:rPr>
          <w:rStyle w:val="18"/>
          <w:rFonts w:ascii="楷体" w:hAnsi="楷体" w:eastAsia="楷体"/>
          <w:spacing w:val="-4"/>
          <w:sz w:val="32"/>
          <w:szCs w:val="32"/>
        </w:rPr>
      </w:pPr>
    </w:p>
    <w:p w14:paraId="6FC4A51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23A0CF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经验：在项目组织层面，构建了“政府主导、部门协同、群众参与”的多方联动机制。成立由住建局牵头，财政、自然资源、应急管理、乡镇街道等多部门参与的专项工作组，明确职责分工，形成“横向到边、纵向到底”的责任体系。通过定期召开联席会议，统筹解决土地审批、技术标准、群众动员等关键问题，确保政策执行与基层需求精准对接。同时，注重发挥村级自治组织作用，发动村干部、党员代表参与政策宣传和农户动员，有效提升群众配合度与参与感，形成上下贯通、高效协同的组织网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经验：项目管理以“全流程标准化、动态化防控”为核心，制定《农房抗震改造技术导则》和《施工质量管控手册》，规范从房屋鉴定、方案设计到施工验收的全链条操作标准。引入“分片包干+交叉检查”模式，将全县划分为若干责任片区，由技术骨干驻点指导，并组建由监理单位、乡镇干部、村民代表组成的联合督查组，定期开展质量巡查，重点核查建材质量、工艺合规性及安全防护措施。针对高寒、地震多发等区域特殊性，建立“风险预警—应急响应—整改闭环”机制，通过数字化平台实时监测施工进度与隐患，确保问题早发现、早处置。此外，通过“现场培训+实操演练”提升本地工匠技能，为长效管理储备技术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经验：资金管理坚持“规范透明、精准高效”原则，建立“预算编制—执行监控—绩效评价”一体化机制。通过整合中央补助、地方配套及社会捐赠等多渠道资金，设立专项账户并实行封闭运行，严格按工程进度分期拨付，避免资金沉淀或挪用风险。推行“阳光公示”制度，在村级政务栏、线上平台公开资金分配方案、受益农户名单及支出明细，接受群众监督与审计部门抽查。同时，创新“联审联批”模式，由财政、审计、纪检等部门联合审核大额支出，确保每一笔资金流向清晰、用途合规。通过引入第三方绩效评价机构，对资金使用效益进行全周期跟踪，重点评估抗震改造实效与群众满意度，为后续政策优化提供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分农房加固技术标准执行不到位，存在质量隐患；施工人员对高寒、冻土等特殊地质条件下的抗震技术掌握不足，缺乏针对性操作指南；部分乡镇监管力量薄弱，对隐蔽工程（如地基注浆、构造柱钢筋绑扎）验收流于形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2.群众政策知晓率低，主动参与意愿不足；政策宣传形式单一（仅依赖张贴公告），未针对少数民族群体使用双语（汉维/汉哈）宣传材料；农户对改造后房屋安全效益缺乏直观认知，担心改造影响原有居住习惯。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3.补助资金分配精准度不足，部分边缘户未被覆盖；农户经济状况核查依赖人工摸排，存在信息更新滞后、漏评错评现象；补贴申领流程复杂，部分文化程度较低的农户因材料不全放弃申请。</w:t>
      </w:r>
    </w:p>
    <w:p w14:paraId="55B738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7223E1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制定本地化技术细则：编制《呼图壁县农房抗震加固技术手册》，明确冻土区地基处理、圈梁节点连接等工艺标准；强化过程监管：推行“双随机一公开”检查制度，邀请第三方检测机构对关键工序（如混凝土强度、钢筋间距）进行抽检，结果公示并纳入施工方信用评价；技术培训全覆盖：组织自治区抗震专家开展“送教下乡”培训，对工匠进行实操考核，合格者颁发资质证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精准宣传推广：制作双语版动画短片、对比图册，通过村委会大屏、微信推送展示改造案例；试点示范带动：选取3-5个村建设“安全样板房”，组织村民现场参观，讲解抗震原理和居住优势；建立反馈机制：设置“村民监督员”，参与施工方案讨论及质量验收，保障其知情权和决策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大数据精准识别：联合民政、医保部门建立“防返贫监测平台”，通过医疗支出、收入变动等数据动态筛选补助对象；简化申领流程：推行“一表通办”服务，由驻村工作队协助农户填写申请、代办手续；差异化补贴政策：对特困户、残疾人家庭提高补助比例，最高可达总造价的90%，并通过“一卡通”直接发放。</w:t>
      </w:r>
    </w:p>
    <w:p w14:paraId="4FD1B9F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EE777AE">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B9934F9">
        <w:pPr>
          <w:pStyle w:val="12"/>
          <w:jc w:val="center"/>
        </w:pPr>
        <w:r>
          <w:fldChar w:fldCharType="begin"/>
        </w:r>
        <w:r>
          <w:instrText xml:space="preserve">PAGE   \* MERGEFORMAT</w:instrText>
        </w:r>
        <w:r>
          <w:fldChar w:fldCharType="separate"/>
        </w:r>
        <w:r>
          <w:rPr>
            <w:lang w:val="zh-CN"/>
          </w:rPr>
          <w:t>2</w:t>
        </w:r>
        <w:r>
          <w:fldChar w:fldCharType="end"/>
        </w:r>
      </w:p>
    </w:sdtContent>
  </w:sdt>
  <w:p w14:paraId="483621B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284DD1"/>
    <w:rsid w:val="11BD75F7"/>
    <w:rsid w:val="13BE561A"/>
    <w:rsid w:val="15392994"/>
    <w:rsid w:val="18FE139B"/>
    <w:rsid w:val="2FCC15D8"/>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12688</Words>
  <Characters>13468</Characters>
  <Lines>4</Lines>
  <Paragraphs>1</Paragraphs>
  <TotalTime>8</TotalTime>
  <ScaleCrop>false</ScaleCrop>
  <LinksUpToDate>false</LinksUpToDate>
  <CharactersWithSpaces>13526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2025-09-22T08:41:26Z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