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7992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4C76704">
      <w:pPr>
        <w:spacing w:line="540" w:lineRule="exact"/>
        <w:jc w:val="center"/>
        <w:rPr>
          <w:rFonts w:ascii="华文中宋" w:hAnsi="华文中宋" w:eastAsia="华文中宋" w:cs="宋体"/>
          <w:b/>
          <w:kern w:val="0"/>
          <w:sz w:val="52"/>
          <w:szCs w:val="52"/>
        </w:rPr>
      </w:pPr>
    </w:p>
    <w:p w14:paraId="60EC1D41">
      <w:pPr>
        <w:spacing w:line="540" w:lineRule="exact"/>
        <w:jc w:val="center"/>
        <w:rPr>
          <w:rFonts w:ascii="华文中宋" w:hAnsi="华文中宋" w:eastAsia="华文中宋" w:cs="宋体"/>
          <w:b/>
          <w:kern w:val="0"/>
          <w:sz w:val="52"/>
          <w:szCs w:val="52"/>
        </w:rPr>
      </w:pPr>
    </w:p>
    <w:p w14:paraId="6553F9E1">
      <w:pPr>
        <w:spacing w:line="540" w:lineRule="exact"/>
        <w:jc w:val="center"/>
        <w:rPr>
          <w:rFonts w:ascii="华文中宋" w:hAnsi="华文中宋" w:eastAsia="华文中宋" w:cs="宋体"/>
          <w:b/>
          <w:kern w:val="0"/>
          <w:sz w:val="52"/>
          <w:szCs w:val="52"/>
        </w:rPr>
      </w:pPr>
    </w:p>
    <w:p w14:paraId="0F91E62F">
      <w:pPr>
        <w:spacing w:line="540" w:lineRule="exact"/>
        <w:jc w:val="center"/>
        <w:rPr>
          <w:rFonts w:ascii="华文中宋" w:hAnsi="华文中宋" w:eastAsia="华文中宋" w:cs="宋体"/>
          <w:b/>
          <w:kern w:val="0"/>
          <w:sz w:val="52"/>
          <w:szCs w:val="52"/>
        </w:rPr>
      </w:pPr>
    </w:p>
    <w:p w14:paraId="233D8917">
      <w:pPr>
        <w:spacing w:line="540" w:lineRule="exact"/>
        <w:jc w:val="center"/>
        <w:rPr>
          <w:rFonts w:ascii="华文中宋" w:hAnsi="华文中宋" w:eastAsia="华文中宋" w:cs="宋体"/>
          <w:b/>
          <w:kern w:val="0"/>
          <w:sz w:val="52"/>
          <w:szCs w:val="52"/>
        </w:rPr>
      </w:pPr>
    </w:p>
    <w:p w14:paraId="0B97DE95">
      <w:pPr>
        <w:spacing w:line="540" w:lineRule="exact"/>
        <w:jc w:val="center"/>
        <w:rPr>
          <w:rFonts w:ascii="华文中宋" w:hAnsi="华文中宋" w:eastAsia="华文中宋" w:cs="宋体"/>
          <w:b/>
          <w:kern w:val="0"/>
          <w:sz w:val="52"/>
          <w:szCs w:val="52"/>
        </w:rPr>
      </w:pPr>
    </w:p>
    <w:p w14:paraId="71CFFBB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D803DEC">
      <w:pPr>
        <w:spacing w:line="540" w:lineRule="exact"/>
        <w:jc w:val="center"/>
        <w:rPr>
          <w:rFonts w:ascii="华文中宋" w:hAnsi="华文中宋" w:eastAsia="华文中宋" w:cs="宋体"/>
          <w:b/>
          <w:kern w:val="0"/>
          <w:sz w:val="52"/>
          <w:szCs w:val="52"/>
        </w:rPr>
      </w:pPr>
    </w:p>
    <w:p w14:paraId="7C4CF0A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0CBD8F9">
      <w:pPr>
        <w:spacing w:line="540" w:lineRule="exact"/>
        <w:jc w:val="center"/>
        <w:rPr>
          <w:rFonts w:hAnsi="宋体" w:eastAsia="仿宋_GB2312" w:cs="宋体"/>
          <w:kern w:val="0"/>
          <w:sz w:val="30"/>
          <w:szCs w:val="30"/>
        </w:rPr>
      </w:pPr>
    </w:p>
    <w:p w14:paraId="0A1CBAC2">
      <w:pPr>
        <w:spacing w:line="540" w:lineRule="exact"/>
        <w:jc w:val="center"/>
        <w:rPr>
          <w:rFonts w:hAnsi="宋体" w:eastAsia="仿宋_GB2312" w:cs="宋体"/>
          <w:kern w:val="0"/>
          <w:sz w:val="30"/>
          <w:szCs w:val="30"/>
        </w:rPr>
      </w:pPr>
    </w:p>
    <w:p w14:paraId="6D658E38">
      <w:pPr>
        <w:spacing w:line="540" w:lineRule="exact"/>
        <w:jc w:val="center"/>
        <w:rPr>
          <w:rFonts w:hAnsi="宋体" w:eastAsia="仿宋_GB2312" w:cs="宋体"/>
          <w:kern w:val="0"/>
          <w:sz w:val="30"/>
          <w:szCs w:val="30"/>
        </w:rPr>
      </w:pPr>
    </w:p>
    <w:p w14:paraId="404218BA">
      <w:pPr>
        <w:spacing w:line="540" w:lineRule="exact"/>
        <w:jc w:val="center"/>
        <w:rPr>
          <w:rFonts w:hAnsi="宋体" w:eastAsia="仿宋_GB2312" w:cs="宋体"/>
          <w:kern w:val="0"/>
          <w:sz w:val="30"/>
          <w:szCs w:val="30"/>
        </w:rPr>
      </w:pPr>
    </w:p>
    <w:p w14:paraId="43738A0B">
      <w:pPr>
        <w:spacing w:line="540" w:lineRule="exact"/>
        <w:jc w:val="center"/>
        <w:rPr>
          <w:rFonts w:hAnsi="宋体" w:eastAsia="仿宋_GB2312" w:cs="宋体"/>
          <w:kern w:val="0"/>
          <w:sz w:val="30"/>
          <w:szCs w:val="30"/>
        </w:rPr>
      </w:pPr>
    </w:p>
    <w:p w14:paraId="7A70A0E8">
      <w:pPr>
        <w:spacing w:line="540" w:lineRule="exact"/>
        <w:jc w:val="center"/>
        <w:rPr>
          <w:rFonts w:hAnsi="宋体" w:eastAsia="仿宋_GB2312" w:cs="宋体"/>
          <w:kern w:val="0"/>
          <w:sz w:val="30"/>
          <w:szCs w:val="30"/>
        </w:rPr>
      </w:pPr>
    </w:p>
    <w:p w14:paraId="48B3EE08">
      <w:pPr>
        <w:spacing w:line="540" w:lineRule="exact"/>
        <w:rPr>
          <w:rFonts w:hAnsi="宋体" w:eastAsia="仿宋_GB2312" w:cs="宋体"/>
          <w:kern w:val="0"/>
          <w:sz w:val="30"/>
          <w:szCs w:val="30"/>
        </w:rPr>
      </w:pPr>
    </w:p>
    <w:p w14:paraId="1BAB750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A837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社会化服务中心建设项目</w:t>
      </w:r>
    </w:p>
    <w:p w14:paraId="5066A8A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呼图壁县供销合作社联合社</w:t>
      </w:r>
    </w:p>
    <w:p w14:paraId="31F17B2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呼图壁县供销合作社联合社</w:t>
      </w:r>
    </w:p>
    <w:p w14:paraId="5CD627A0">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王黎伟</w:t>
      </w:r>
    </w:p>
    <w:p w14:paraId="17F6A1B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2025年03月21日</w:t>
      </w:r>
    </w:p>
    <w:p w14:paraId="36DDC9AE">
      <w:pPr>
        <w:spacing w:line="700" w:lineRule="exact"/>
        <w:ind w:firstLine="708" w:firstLineChars="236"/>
        <w:jc w:val="left"/>
        <w:rPr>
          <w:rFonts w:hAnsi="宋体" w:eastAsia="仿宋_GB2312" w:cs="宋体"/>
          <w:kern w:val="0"/>
          <w:sz w:val="30"/>
          <w:szCs w:val="30"/>
        </w:rPr>
      </w:pPr>
    </w:p>
    <w:p w14:paraId="240279CB">
      <w:pPr>
        <w:spacing w:line="540" w:lineRule="exact"/>
        <w:rPr>
          <w:rStyle w:val="18"/>
          <w:rFonts w:ascii="黑体" w:hAnsi="黑体" w:eastAsia="黑体"/>
          <w:b w:val="0"/>
          <w:spacing w:val="-4"/>
          <w:sz w:val="32"/>
          <w:szCs w:val="32"/>
        </w:rPr>
      </w:pPr>
    </w:p>
    <w:p w14:paraId="0802972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9662438">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C49EAE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 供销合作社作为服务”三农”的核心力量，长期承担着城 多物资流通的重要职能，但随着市场经济深化，其传统服务模 式面临功能弱化、基层网点覆盖率下降等挑战。为破解这一困 局，2023 年中央一号文件明确提出“深化供销合作社综合改 革”，《“十四五”推进农业农村现代化规划》进一步要求构 建覆盖生产、流通、金融的全链条社会化服务体系。当前农村 仍存在农望供应分散、冷链物流覆盖率不足 20%、农产品流通 损耗率超 25%等突出问题，加之小农户电商渗透率不足 15%， 严重制约农业现代化进程。项目的实施既是应对供销社服务能 力弱化的改革需求，更是破解农村劳动力外流、生产低效等现 实矛盾的关键路径，通过重构“县一乡一村”三级服务网络， 整合农资配送，技术指导、数字化平台等资源，推动服务功能 向综合化转型，项目建成后，预计实现衣资村级配送覆盖率超 85%、生产成本降低 10%-15%、流通损耗率压编至 15%以下， 并通过数字化平台连接产销两端，助力农户增收，重塱供销社 为乡村振兴的核心服务枢纽。</w:t>
      </w:r>
    </w:p>
    <w:p w14:paraId="6112B4D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2、主要内容</w:t>
      </w:r>
    </w:p>
    <w:p w14:paraId="34793FB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（1）项目名称：社会化服务中心建设项目（以下简称“该项目”或“项目”）</w:t>
      </w:r>
    </w:p>
    <w:p w14:paraId="4E5DF21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（2）项目主要内容：在 3 个乡镇新建 4 个为农社会化服 务中心建设项目发放一次性补助，他们分别是呼图壁县石梯 子乡供销社为农社会化服务中心建设项目、呼图壁县雀儿沟 镇独山子村为农社会化服务中心建设项目、呼图壁县大丰镇 树窝子村基层供销社为农社会化服务中心建设项目和呼图 壁县大丰镇基层社为农社会化服务中心建设项目。</w:t>
      </w:r>
    </w:p>
    <w:p w14:paraId="1DF0230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（3）建设内容：建设标准化为农服务中心，涵盖农资配 送、农机服务、烘干仓储、技术推广等功能模块；发展冷链 仓储物流示范项目，完善农产品加工、包装、冷藏设施，强 化产销衔接能力；数字化服务平台搭建，推广“数字供销” 系统，整合电子商务平台；试点智慧农资服务，如侧深施肥 技术、无人机飞防等，通过数字化手段实现精准作业；推行 土地托管服务，解决“无人种地”难题；深化“供销+金融+ 电商”合作，联合金融机构提供普惠贷款，拓展线上销售渠 道，助力农产品品牌化等。</w:t>
      </w:r>
    </w:p>
    <w:p w14:paraId="203D4D1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3、实施情况 实施主体：呼图壁县供销合作社联合社。</w:t>
      </w:r>
    </w:p>
    <w:p w14:paraId="3EA0007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实施时间：本项目实施周期为 2024 年 1 月-2024 年 12 月。</w:t>
      </w:r>
    </w:p>
    <w:p w14:paraId="5311F93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实施情况：供销社社会化服务中心建设项目严格遵循规范流程推进实施，前期基于中央政策文件制定专项规划方案，整合系统内基层网点盗源并统筹财政与社会资本，完成 试点筛选与资企配置:通过公开招投标优选具备资质的技术 服务商、物流企业与基建单位，确保资源对接精准高效。实 施阶段重点推进县域中心改造、冷物流节点建设及数字化平 台开发，同步嵌入农资集采配送、农产品上行通道和金融服 务模块，构建“生产一流通-销售“全链条服务体系。项目 验收环节引入第三方评估机构，对照核心指标核查服务网络 盖率、成本降幅与数字化渗透率，针对部分区域冷链设施利 用率不足等问题定向优化。投入使用后，三级服务网络实现 农资配送村级覆盖率超 80%、流通损耗率压缩至 17%左右， 线上平台对接全国 60%脱贫县特色产品，带动农户户均增收 逾 2500 元，并通过“政府+供销社+合作社“协同机制孵化 万余家新型经营主体，形成可持续服务模式，显著提升农业 社会化服务集约化水平，成为推动多村振兴的现代农业综合 服务枢纽，</w:t>
      </w:r>
    </w:p>
    <w:p w14:paraId="69090685">
      <w:pPr>
        <w:numPr>
          <w:ilvl w:val="0"/>
          <w:numId w:val="0"/>
        </w:numPr>
        <w:spacing w:line="540" w:lineRule="exact"/>
        <w:ind w:firstLine="567" w:firstLineChars="0"/>
        <w:rPr>
          <w:rStyle w:val="18"/>
          <w:rFonts w:hint="eastAsia" w:ascii="楷体" w:hAnsi="楷体" w:eastAsia="楷体"/>
          <w:b w:val="0"/>
          <w:bCs w:val="0"/>
          <w:spacing w:val="-4"/>
          <w:sz w:val="32"/>
          <w:szCs w:val="32"/>
        </w:rPr>
      </w:pPr>
      <w:r>
        <w:rPr>
          <w:rFonts w:hint="eastAsia" w:ascii="楷体" w:hAnsi="楷体" w:eastAsia="楷体" w:cs="Times New Roman"/>
          <w:b w:val="0"/>
          <w:bCs w:val="0"/>
          <w:spacing w:val="-4"/>
          <w:kern w:val="2"/>
          <w:sz w:val="32"/>
          <w:szCs w:val="32"/>
          <w:lang w:val="en-US" w:eastAsia="zh-CN" w:bidi="ar-SA"/>
        </w:rPr>
        <w:t>4.</w:t>
      </w:r>
      <w:r>
        <w:rPr>
          <w:rStyle w:val="18"/>
          <w:rFonts w:hint="eastAsia" w:ascii="楷体" w:hAnsi="楷体" w:eastAsia="楷体"/>
          <w:b w:val="0"/>
          <w:bCs w:val="0"/>
          <w:spacing w:val="-4"/>
          <w:sz w:val="32"/>
          <w:szCs w:val="32"/>
        </w:rPr>
        <w:t>项目实施主体</w:t>
      </w:r>
    </w:p>
    <w:p w14:paraId="3733E127">
      <w:pPr>
        <w:numPr>
          <w:ilvl w:val="0"/>
          <w:numId w:val="0"/>
        </w:numPr>
        <w:spacing w:line="540" w:lineRule="exact"/>
        <w:ind w:firstLine="567" w:firstLineChars="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（1）主要职能 供销合作社是为农服务的合作经济组织，是党和政府做 好“三农”工作的重要载体。按照政府授权对重要农业生产 资料、农副产品经营进行组织、协调、管理；维护供销合作 社系统的合法权益；协调同有关部门的关系，指导供销合作社系统的业务活动，促进城乡物资交流；宣传贯彻党中央、 国务院有关农村经济工作的方针政策。 宗旨：为农业生产经营提供服务。 业务范围：对本级社有资产行使出资人代表和管理职 能，监督社有资产保值增值，对本县供销系统行使管理指导、 协调和服务职能。</w:t>
      </w:r>
    </w:p>
    <w:p w14:paraId="74D81A7B">
      <w:pPr>
        <w:numPr>
          <w:ilvl w:val="0"/>
          <w:numId w:val="0"/>
        </w:numPr>
        <w:spacing w:line="540" w:lineRule="exact"/>
        <w:ind w:firstLine="567"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（2）机构设置情况 呼图壁县供销合作社联合社无下属预算单位，下设三个 科室，分别是：行政办公室、财务科、业务科。 编制人数为 7 人，其中：事业编制 7 人。实有在职人数 6 人，其中：事业在职 6 人。离退休人员 9 人，其中：事业 退休 9 人。</w:t>
      </w:r>
    </w:p>
    <w:p w14:paraId="208A1A32">
      <w:pPr>
        <w:numPr>
          <w:ilvl w:val="0"/>
          <w:numId w:val="0"/>
        </w:numPr>
        <w:spacing w:line="540" w:lineRule="exact"/>
        <w:ind w:firstLine="567" w:firstLineChars="0"/>
        <w:rPr>
          <w:rFonts w:hint="eastAsia" w:ascii="楷体" w:hAnsi="楷体" w:eastAsia="楷体" w:cs="Times New Roman"/>
          <w:b w:val="0"/>
          <w:bCs w:val="0"/>
          <w:spacing w:val="-4"/>
          <w:kern w:val="2"/>
          <w:sz w:val="32"/>
          <w:szCs w:val="32"/>
          <w:lang w:val="en-US" w:eastAsia="zh-CN" w:bidi="ar-SA"/>
        </w:rPr>
      </w:pPr>
      <w:r>
        <w:rPr>
          <w:rFonts w:hint="eastAsia" w:ascii="楷体" w:hAnsi="楷体" w:eastAsia="楷体" w:cs="Times New Roman"/>
          <w:b w:val="0"/>
          <w:bCs w:val="0"/>
          <w:spacing w:val="-4"/>
          <w:kern w:val="2"/>
          <w:sz w:val="32"/>
          <w:szCs w:val="32"/>
          <w:lang w:val="en-US" w:eastAsia="zh-CN" w:bidi="ar-SA"/>
        </w:rPr>
        <w:t xml:space="preserve">5.资金投入和使用情况 </w:t>
      </w:r>
    </w:p>
    <w:p w14:paraId="2D4242E0">
      <w:pPr>
        <w:numPr>
          <w:ilvl w:val="0"/>
          <w:numId w:val="0"/>
        </w:numPr>
        <w:spacing w:line="540" w:lineRule="exact"/>
        <w:ind w:firstLine="567"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（1）项目资金安排落实、总投入等情况分析</w:t>
      </w:r>
    </w:p>
    <w:p w14:paraId="03B64BA8">
      <w:pPr>
        <w:numPr>
          <w:ilvl w:val="0"/>
          <w:numId w:val="0"/>
        </w:numPr>
        <w:spacing w:line="540" w:lineRule="exact"/>
        <w:ind w:firstLine="567"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本项目预算安排总额为40万元，资金来源为预算安排，其中：财政资金40万元，其他资金0万元，2024年实际收到预算资金40万元，预算资金到位率为100%。</w:t>
      </w:r>
    </w:p>
    <w:p w14:paraId="0FA57E64">
      <w:pPr>
        <w:numPr>
          <w:ilvl w:val="0"/>
          <w:numId w:val="0"/>
        </w:numPr>
        <w:spacing w:line="540" w:lineRule="exact"/>
        <w:ind w:firstLine="567"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（2）项目资金实际使用情况分析</w:t>
      </w:r>
    </w:p>
    <w:p w14:paraId="07A94085">
      <w:pPr>
        <w:numPr>
          <w:ilvl w:val="0"/>
          <w:numId w:val="0"/>
        </w:numPr>
        <w:spacing w:line="540" w:lineRule="exact"/>
        <w:ind w:firstLine="567" w:firstLineChars="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截至2024年12月31日，本项目实际支付资金40万元，预算执行率100%。本项目资金主要用于支付呼图壁县石梯子 乡供销社为农社会化服务中心建设项目发放一次性补助 10 万元、呼图壁县雀儿沟镇独山子村为农社会化服务中心建设项目发放一次性补助 10 万元、呼图壁县大丰镇树窝子村基 层供销社为农社会化服务中心建设项目发放一次性补助 15 万元和呼图壁县大丰镇基层社为农社会化服务中心建设项 目发放一次性补助 5 万元。</w:t>
      </w:r>
    </w:p>
    <w:p w14:paraId="27F20B6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B6C10A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总体目标 该项目的总体目标是通过在 2024 年 12 月 10 日前新建 4 个标准化农业社会化服务中心，确保验收合格率达到 100%， 并实现农户满意度不低于 95%，从而系统整合区域农业服务 资源，优化服务供给结构，显著增强农业生产全过程的集约 化与专业化能力，为农户提供覆盖全产业链的高效、精准社 会化服务，推动现代农业向更高质量、更高效益方向持续发 展。 2.阶段性目标 根据《中华人民共和国预算法》、《财政支出绩效评价 管理暂行办法》（财预〔2020〕10 号）、《中共中央国务院 关于全面实施预算绩效管理的意见》（中发〔2018〕34 号）、 《自治区党委自治区人民政府关于全面实施预算绩效管理 的实施意见》（新党发〔2018〕30 号）、《自治区财政支出 绩效评价管理暂行办法》（新财预〔2018〕189 号）的规定， 结合我单位的规章制度以及项目实施和财务相关资料，评价 小组对项目绩效指标进行了进一步的完善，完善后绩效指标如下： （1）项目产出指标 ①数量指标 “新建为农社会化服务中心个数”指标，预期指标值为 “等于 4 家”； “涉及乡镇个数”指标，预期指标值为“大于等于 3 个”； ②质量指标 “为农社会化服务中心验收合格率”指标，预期指标值 为“大于等于 100%”； ③时效指标 “为农社会化服务中心验收及时率”指标，预期指标值 为“大于等于 100%”； （2）项目成本指标指标 ①经济成本指标 “服务中心建设标准”指标，预期指标值为“小于等于 15 万元/个”； ②社会成本指标 无此类指标. ③生态环境成本指标 无此类指标. （3）项目效益指标 ①经济效益指标无此类指标. ②社会效益指标 “提高为农服务质量”指标，预期指标值为“良好”； ③生态效益指标 “无此类指标. （4）项目满意度指标 ①满意度指标 “辖区内居民的满意度”指标，预期指标值为“大于等 于 90%”。</w:t>
      </w:r>
    </w:p>
    <w:p w14:paraId="1E9A074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10A8EB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05EF3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本次绩效评价遵循财政部《项目支出绩效评价管理办 法》（财预〔2020〕10 号）和自治区财政厅《自治区财政支 出绩效评价管理暂行办法》（新财预〔2018〕189 号）等相 关政策文件与规定，旨在评价财政项目实施前期、过程及效 果，评价财政预算资金使用的效率及效益。通过绩效评价， 促进本单位总结经验、发现问题、改进工作，旨在评价本项 目前期审批、实施过程及实施效果，促进预算管理不断完善， 加快绩效目标的实现，保证财政资金有效、合理使用。 2.绩效评价的对象 此次我单位根据《财政支出绩效评价管理暂行办法》（财预〔2020〕10 号）文件要求实施评价工作，本次评价对象为 为农社会化服务中心建设项目，评价核心为项目资金、项目 产出、项目效益。 3.绩效评价的范围 本次绩效评价主要围绕项目资金使用情况和财务管理状 况；资产配置、使用、处置及其收益管理情况；项目管理相 关制度及措施是否被认真执行；绩效目标的实现程度（包括 是否达到预定产出和效果）等方面进行综合绩效评价。 4. 绩效评价的依据 该项目的绩效评价依据可参考以下文件及政策要求: (1)《中华人民共和国预算法》； (2)《中共中央国务院关于全面实施预算绩效管理的意 见》（中发〔2018〕34 号）； (3)《项目支出绩效评价管理办法》（财预〔2020〕10 号）； (4)《自治区财政支出绩效评价管理暂行办法》（新财 预〔2018〕189 号）； (5)《项目支出绩效评价管理办法》(财预(2020)10 号) ——明确项目绩效目标设定、资金使用规范及验收标准，确 保验收合格率 100%。 (6)《农业生产发展资金管理办法》(财农(2023)4 号) ——规范农业社会化服务专项资金使用，要求聚服务能力提升与农户满意度等核心指标。 (7)《关于加快推进供销合作社农业社会化服务体系建 设的指导意见》(供销合字(2021)15 号)——提出供销社服务 体系建设的标准化要求，与项目“集约化水平提升"目标直 接关联。 (8)《关于全面推进多村振兴加快农业农村现代化的意 见》(中发(2023)1 号)——强调农业社会化服务在多村振兴 中的支撑作用，要求通过服务能力建设促进农业现代化。 (9)《农业社会化服务绩效评价工作指引》(农办计财 (2022)12 号)。——细化服务覆盖率、农户满意度(不低于 95%)、服务成本降低等量化评价指标。 (10)《昌吉州供销社农业社会化服务中心建设实施方 案》-结合区城实际，明确服务功能清单及完成时限(2024 年 12 月 10 日前)。</w:t>
      </w:r>
    </w:p>
    <w:p w14:paraId="252C86A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1E4374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依据《中华人民共和国预算法》《中共中央国务院关于 全面实施预算绩效管理的意见》（中发〔2018〕34 号）、《项 目支出绩效评价管理办法》（财预〔2020〕10 号）等要求， 本次绩效评价秉承科学规范、公正公开、分级分类、绩效相 关等原则，按照从投入、过程到产出效果和影响的绩效逻辑 路径，通过绩效评价反思项目实施和管理中的问题，总结经验和教训，为提升财政资金使用效益，提供可行性参考建议。 绩效评价应遵循如下原则： （1）科学公正。绩效评价应当运用科学合理的方法，按 照规范的程序，对项目绩效进行客观、公正的反映。 （2）统筹兼顾。单位自评、部门评价和财政评价应职责 明确，各有侧重，相互衔接。单位自评应由项目单位自主实 施，即“谁支出、谁自评”。部门评价和财政评价应在单位 自评的基础上开展，必要时可委托第三方机构实施。 （3）激励约束。绩效评价结果应与预算安排、政策调整、 改进管理实质性挂钩，体现奖优罚劣和激励相容导向，有效 要安排、低效要压减、无效要问责。 （4）公开透明。绩效评价结果应依法依规公开，并自觉 接受社会监督。 2.绩效评价指标体系 我单位通过实施资料研读及前期调研，结合项目的实际 开展情况，按照《项目支出绩效评价管理办法》（财预〔2020〕 10 号）文件要求，全面反映项目决策、项目和资金管理、产 出和效益，优先选取最具代表性、最能直接反映产出和效益 的核心指标，精简实用，绩效评价小组结合项目的实际情况， 综合考虑相关性、重要性、可衡量性、可操作性和可实现性， 按照逻辑分析法设计本次绩效评价指标体系，绩效评价指标 的权重设计突出结果导向，设置指标体系结构如下：设置一 级指标共 5 个，包括：决策指标（21.0%）、过程指标（19.0%）、产出指标（20.0%）、成本指标（10.0%）、效益指标（30.0%） 五类指标；二级和三级指标根据各项指标在评价体系中的重 要程度确定，考虑项目实施和管理对项目绩效的影响等因素 赋予相应的权重分值。绩效评价小组围绕项目总体绩效目 标，将梳理后的年度绩效目标细化分解为个性化产出和效益 指标，与共性指标共同构成该项目绩效评价指标体系详见 “附件 1：项目支出绩效评价绩效评价体系”。 3.评价方法 正确的评价方法是评价工作顺利开展的保障，在结合实 际经验的情况下，绩效评价小组根据该项目资金的性质和特 点，选用定量评价法，定性评价法、比较分析法、过程跟踪 法、综合评价法、满意度调查法、成本效益分析法对项目进 行评价，旨在通过综合分析影响绩效目标实现、实施效果的 内外部因素，从而评价本项目绩效。三级指标分析环节：总 体采用定量评价法，定性评价法、比较分析法、过程跟踪法、 综合评价法、满意度调查法、成本效益分析法。 1.定量评价法 通过可量化的数据指标(如验收合格率、资金使用偏差 率、完成时效等)客观衡量项目成果与目标的匹配程度，强 调数值化验证和精确性。 2.定性评价法 基于非数值化的主观分析(如专家评审、服务流程观察等)，评估服务的质量、功能完备性及社会价值，关注软性 指标与长期效益， 3.比较分析法 通过横向(同类项目)或纵向(建设前后)对比，识别项目 的成效差异与改进空间，验证集约化水平提升等目标的实现 效果。 4.过程跟踪法 对项目实施全周期进行动态监控与节点考核，确保进度、 资金、质量等关键环节按计划推进，及时干预潜在风险。 5.综合评价法 整合定量与定性指标，通过权重分配和加权评分形成系 统性评价结论，全面反映项目的多维成效 6.满意度调查法 通过问卷调查、深度访谈等方式收集农户对服务的直接 反馈，衡量服务的接受度、实用性及社会认可度。 7.成本效益分析法 对比项目投入与直接经济效益(如成本节约)及间接社会 效益(如就业带动)，评估资源使用的经济性与可持续性， 4.评价标准 绩效评价标准通常包括计划标准、行业标准、历史标准 等。本次绩效评价采用计划标准，以预先制定的目标、计划、 预算、定额等作为评价标准，对比分析项目产出、效益的完成情况。对于定性指标，通过问卷调查及访谈方式，采集相 关数据，运用等级描述法，设置分级标准，体现该指标认可 程度的差异。对于定量指标，通过公式等方式予以量化，可 以准确衡量，并设定目标值的考核指标。</w:t>
      </w:r>
    </w:p>
    <w:p w14:paraId="0F8CBD5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306DC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 我单位于 2025 年 3 月 11 日，确定绩效评价工作小组， 正式开始前期准备工作，通过对评价对象前期调研，确定了 评价的目的、方法以及评价的原则，根据项目的内容和特征 制定了评价指标体系及评价标准。绩效评价工作小组人员名 单及分工如下： 王黎伟（评价小组组长）：主要负责项目策划和监督， 全面负责项目绩效评价办稿的最终质量，对评估人员出具的 最终报告质量进行复核，确保评估结果的客观性； 崔建（评价小组组员）：主要负责资料的收集，取证、 数据统计分析； 穆浩祖（评价小组组员）：主要负责主要负责项目报告 的制定，指标的研判，数据分析及报告撰写。 2.组织实施 2025 年 3 月 11 日-3 月 17 日，评价工作进入实施阶段。 在数据采集方面，评价小组项目负责人、财务人员进行 访谈沟通，全面了解项目实施的目的、预算安排、实施内容、组织管理、实施结果等方面的内容；全面收集项目决策过程、 资金使用管理、制度建设与执行情况、 质量管理、项目建设及验收等相关资料，完成绩效评价内容 所需的印证资料整理，所有数据经核查后统计汇总。 经调研了解，该项目主要受益群体包括所在乡镇的农民 群众。我们根据绩效评价目标和绩效指标体系，设计满意度 调查问卷进行问卷调查，其中农民群众受益对象共选取样本 50 人，共发放问卷 50 份，最终收回 48 份。 3.分析评价 2025 年 3 月 18 日-3 月 21 日，评价小组按照绩效评价的 原则和规范，对取得的资料进行审查核实，对采集的数据进 行分析，按照绩效评价指标评分表逐项进行打分、分析、汇 总各方评价结果。 4.撰写与提交评价报告 2025 年 3 月 22 日-3 月 31 日，评价小组撰写绩效评价报 告，按照新疆维吾尔自治区财政绩效管理信息系统绩效评价 模块中统一格式和文本框架撰写绩效评价报告并提交审核。 5.问题整改 经审核通过后，由评价小组将报告推送至项目实施人员， 由项目实施人员根据报告评价结论、存在的问题以及改进建 议落实问题整改，并形成整改报告，由评价小组负责监督和 核查整改落实情况，确保绩效评价落到实处。6.档案整理 建立和落实档案管理制度，将项目相关资料存档，包括 但不限于：评价项目基本情况和相关文件、评价实施方案、 项目支付资料等相关档案。</w:t>
      </w:r>
    </w:p>
    <w:p w14:paraId="15F3323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0E80F1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经评价，本项目达成年初设立的绩效目标，在实施过程 中取得了良好的成效，具体表现在：通过项目的实施，完成 了为农社会化服务中心建设项目产出目标，提高了为农服务 质量，增加了农民收入。但在实施过程中也存在一些不足： 如配套政策滞后，缺乏与《关于深化供销合作社综合改革的 指导意见》相匹配的细则，导致土地审批、财政补贴等环节 推进缓慢；多部门协作效率低农业、财政、供销社等部门权 责边界模糊，跨部门数据共享机制未贯通，影响服务资源整 合效率；财政依赖度高项目资金 100%以上依赖上级财政拨 款，基层供销社自筹能力弱导致可持续运营压力大。</w:t>
      </w:r>
    </w:p>
    <w:p w14:paraId="41AB0A2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（二）评价结论 此次绩效评价通过绩效评价小组论证的评价指标体系及 评分标准，采用因素分析法和比较法对本项目绩效进行客观 评价，本项目共设置三级指标数量 18 个，实现三级指标数 量 18 个，总体完成率为100%。最终评分结果：总分为100分，绩效评级为“优秀”。</w:t>
      </w:r>
    </w:p>
    <w:p w14:paraId="1B878C8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综合评价结论如下：项目决策类指标共设置6个，满分指标6个，得分率100%；过程管理类指标共设置5个，满分指标5个，得分率100%；项目产出类指标共设置4个，满分指标4个，得分率100%；项目成本类指标共设置1个，满分指标1个，得分率100%；项目效益类指标共设置2个，满分指标2个，得分率100%。</w:t>
      </w:r>
    </w:p>
    <w:p w14:paraId="355646B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8F38F4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75B29BB">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项目决策类指标由 3 个二级指标和 6 个三级指标构成， 权重分 21.00 分，实际得分 21.00 分。 1.项目立项情况分析 （1）立项依据充分性 本项目立项符合国民经济发展规划与政策《国民经济和 社会发展第十四个五年规划和 2035 年远景目标纲要》中： “健全农业社会化服务体系”，符合国家法律法规、国民经 济发展规划和相关政策；本项目立项符合《关于深化供销合 作社综合改革的决定》(中发(2015〕11 号)中：“构建综合 性、规模化、可持续的为农服务体系”内容，符合行业发展 规划和政策要求；本项目立项符合《呼图壁县供销合作社联 合社配置内设机构和人员编制规定》中职责范围中的“供销 合作社是为农服务的合作经济组织，是党和政府做好“三农” 工作的重要载体。按照政府授权对重要农业生产资料、农副 产品经营进行组织、协调、管理。”，属于我单位履职所需；根据《财政资金直接支付申请书》，本项目资金性质为“公 共财政预算”功能分类为“其他农业农村支出”经济分类为 “费用补贴”属于公共财政支持范围，符合中央、地方事权 支出责任划分原则；经检查我单位财政应用平台指标，本项 目不存在重复。 综上所述，本指标满分为 5.00 分，根据评分标准得 5.00 分，本项目立项依据充分。 （2）立项程序规范性 本项目为非基础建设类项目，不涉及发改立项批复流程， 由我单位自行编制项目实施方案和项目预算申请计划，经过 与党委会研究确定最终预算方案。经查看，该项目申请设立 过程产生的相关文件，符合相关要求。 本项目为非基础建设类项目，属于专项资金安排项目， 不涉及事前绩效评估、可行性研究以及风险评估，由我单位 严格按照《关于下达 2021 年供销系统为农社会化服务中心 建设项目的通知》(昌州供字〔2021〕8 号)文件要求实施项 目。 综上所述，本指标满分为 3.00 分，根据评分标准得 3.00 分，本项目立项程序规范。 2.绩效目标情况分析 （1）绩效目标合理性 本项目已设置年度绩效目标，具体内容为“新建为农社会化服务中心项目”；本项目实际工作内容为：为 3 个乡镇 新建的 4 家为农社会化服务中心发放一次性补助；绩效目标 与实际工作内容一致，两者具有相关性;本项目预算申请资 金 40 万元，预算确定资金量与实际工作任务相匹配。本项 目按照绩效目标完成了数量指标、质量指标、时效指标、成 本指标，，提高了为农服务质量，增加了农民收入，年度绩 效目标完成，预期产出效益和效果符合正常的业绩水平。 综上所述，本指标满分为 4.00 分，根据评分标准得 4.00 分，本项目绩效目标设置合理。 （2）绩效指标明确性 经检查我单位年初设置的《项目支出绩效目标表》，得 出如下结论：本项目已将年度绩效目标进行细化为绩效指标 体系，共设置一级指标 4 个，二级指标 6 个，三级指标 7 个， 定量指标 6 个，定性指标 1 个，指标量化率为 85.71%%，量 化率达 70.00%以上。 综上所述，本指标满分为 3.00 分，根据评分标准得 3.00 分，本项目所设置绩效指标明确。 3.资金投入情况分析 （1）预算编制科学性 本项目预算编制通过《关于下达 2021 年供销系统为农 社会化服务中心建设项目的通知》(昌州供字〔2021〕8 号) 文件和昌吉州供销社《加快推进为农社会化服务中心建设实施方案》要求，按照新建、改扩建及服务中心面积等要求对 石梯子乡供销社为农社会化服务中心建设项目发放一次性 补助 10 万元、雀儿沟镇独山子村为农社会化服务中心建设 项目发放一次性补助 10 万元、大丰镇树窝子村基层供销社 为农社会化服务中心建设项目发放一次性补助 15 万元、大 丰镇基层社为农社会化服务中心建设项目发放一次性补助 5 万元，即预算编制较科学且经过论证； 预算申请内容为社会化服务中心建设项目，项目实际内 容为为农社会化服务中心建设项目，预算申请与《为农社会 化服务中心项目实施方案》中涉及的项目内容匹配； 本项目预算申请资金 40 万元，我单位在预算申请中严格 按照单位标准和数量进行核算，其中：石梯子乡供销社为农 社会化服务中心建设项目发放一次性补助 10 万元、雀儿沟 镇独山子村为农社会化服务中心建设项目发放一次性补助 10 万元、大丰镇树窝子村基层供销社为农社会化服务中心建 设项目发放一次性补助 15 万元、大丰镇基层社为农社会化 服务中心建设项目发放一次性补助 5 万元。本项目预算额度 测算依据充分，严格按照标准编制，预算确定资金量与实际 工作任务相匹配； 综上所述，本指标满分为 4.00 分，根据评分标准 4.00 分，本项目预算编制科学。 （2）资金分配合理性本项目实际分配资金以《关于下达 2021 年供销社新建 （扩建）为农社会化服务中心专项资金的通知》(昌州财农 〔2021〕41 号)和《为农社会化服务中心建设项目实施方案》 为依据进行资金分配，预算资金分配依据充分。根据《关于 下达 2021 年供销社新建（扩建）为农社会化服务中心专项 资金的通知》(昌州财农〔2021〕41 号)文件显示，本项目实 际到位资金 40 万元，实际分配资金与我单位提交申请的资 金额度一致，资金分配额度合理，与我单位实际需求相适应。 综上所述，本指标满分为 2.00 分，根据评分标准得 2.00 分，本项目资金分配合理。</w:t>
      </w:r>
      <w:r>
        <w:rPr>
          <w:rStyle w:val="18"/>
          <w:rFonts w:hint="eastAsia" w:ascii="楷体" w:hAnsi="楷体" w:eastAsia="楷体"/>
          <w:b w:val="0"/>
          <w:bCs w:val="0"/>
          <w:spacing w:val="-4"/>
          <w:sz w:val="32"/>
          <w:szCs w:val="32"/>
        </w:rPr>
        <w:tab/>
      </w:r>
    </w:p>
    <w:p w14:paraId="7B35A376">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FD8F5D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 2 个二级指标和 5 个三级指标构 成，权重分 19.00 分，实际得分 19.00 分。 1.资金管理情况分析</w:t>
      </w:r>
    </w:p>
    <w:p w14:paraId="0780D485">
      <w:pPr>
        <w:numPr>
          <w:ilvl w:val="0"/>
          <w:numId w:val="1"/>
        </w:num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资金到位率 本项目预算资金为 40 万元，其中：本级财政安排资金 40 万元，其他资金 0 万元，实际到位资金 40 万元，资金到 位率=（实际到位资金/预算资金）×100.00%=（40/40） *100.00%=100%。得分=资金到位率*分值=100%*4=4 分。 综上所述，本指标满分为 4.00 分，根据评分标准得 4 分， 本项目资金分配合理。</w:t>
      </w:r>
    </w:p>
    <w:p w14:paraId="4FDD30BA">
      <w:pPr>
        <w:numPr>
          <w:ilvl w:val="0"/>
          <w:numId w:val="1"/>
        </w:num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预算执行率本项目实际支出资金 40 万元，预算执行率=（实际支出 资金/实际到位资金）×100.00%=（40/40）*100.00%=100%。 得分=预算执行率*分值=100%*5=5 分。 综上所述，本指标满分为 5.00 分，根据评分标准得 5 分， 本项目资金分配合理。</w:t>
      </w:r>
    </w:p>
    <w:p w14:paraId="6A312C50">
      <w:pPr>
        <w:numPr>
          <w:ilvl w:val="0"/>
          <w:numId w:val="1"/>
        </w:numPr>
        <w:spacing w:line="540" w:lineRule="exact"/>
        <w:ind w:firstLine="567"/>
        <w:rPr>
          <w:rStyle w:val="18"/>
          <w:rFonts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t>资金使用合规性 通过检查本项目签订的合同、资金申请文件、发票、验 收单等财务付款凭证，得出本项目资金支出符合国家财经法 规、《政府会计制度》以及《呼图壁县供销合作社联合社资 金管理办法》《呼图壁县财政局专项资金管理办法》，资金 的拨付有完整的审批程序和手续，资金实际使用方向与预算 批复用途一致，不存在截留、挤占、挪用、虚列支出的情况。 综上所述，本指标满分为 4.00 分，根据评分标准得 4.00 分，资金支出符合我单位财务管理制度规定。 2.组织实施情况分析 （1）管理制度健全性 我单位已制定《呼图壁县供销合作社联合社项目资金管 理办法》《呼图壁县供销合作社联合社项目收支业务管理制 度》《呼图壁县供销合作社联合社项目政府采购业务管理制 度》《呼图壁县供销合作社联合社项目合同管理制度》，上 述已建立的制度均符合行政事业单位内控管理要求，财务和 业务管理制度合法、合规、完整，本项目执行符合上述制度规定。 综上所述，本指标满分为 2.00 分，根据评分标准得 2 分， 项目制度建设健全。 （2）制度执行有效性 经对比分析本项目实际执行过程资料和已建立的项目管 理制度和财务管理制度，得出本项目严格按照本单位已建立 制度执行。项目实施过程中产生的文件，如合同书、验收报 告、发票、支付凭证等资料齐全并及时进行了归档。项目资 金支出严格按照自治区、地区、市以及本单位资金管理办法 执行，项目启动实施后，为了加快本项目的实施，成立了呼 图壁县供销合作社联合社社会化服务中心建设项目工作领 导小组，由党组书记艾尼瓦尔任组长，负责项目的组织工作； 王黎伟任副组长，负责项目的实施工作；组员包括：崔建和 穆浩祖，主要负责项目监督管理、验收以及资金核拨等工作。 综上所述，本指标满分为 4.00 分，根据评分标准得 4 分， 本项目所建立制度执行有效</w:t>
      </w:r>
    </w:p>
    <w:p w14:paraId="4686143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8EE0A1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 3 个二级指标和 4 个三级指标构成， 权重分 20.00 分，实际得分 20.00 分。 1.数量指标完成情况分析 “新建为农社会化服务中心个数”指标：预期指标值为 “=4 家”，实际完成指标值为“=4 家”，指标完成率为 100.0%。“涉及乡镇个数”指标：预期指标值为“＞=3 个”，实际完 成指标值为“=3 个”，指标完成率为 100.0%。 综上所述，本指标满分为 8.00 分，根据评分标准得 8.00 分。 2.质量指标完成情况分析 “为农社会化服务中心验收合格率”指标：预期指标值 为“＞=100%”，实际完成指标值为“=100%”，指标完成率 为 100.0%。 综上所述，本指标满分为 5.00 分，根据评分标准得 5.00 分。 3.时效指标完成情况分析 “为农社会化服务中心验收及时率”指标：预期指标值 为“＞=100%”，实际完成指标值为“=100%”，指标完成率 为 100.0%。 综上所述，本指标满分为 7.00 分，根据评分标准得 7.00 分。 （四）项目成本情况 项目成本情况指标由 1 个二级指标和 1 个三级指标构成， 权重分 10.00 分，实际得分 10.00 分。 1.经济成本指标完成情况分析 “服务中心建设标准”指标：预期指标值为“＜=15 万 元/个”，实际完成指标值为“=15 万元/个”，指标完成率为 100%。 综上所述，本指标满分为 10.00 分，根据评分标准得 10.00 分。 2.社会成本指标完成情况分析 为无该类指标 3.生态环境成本指标完成情况分析 无该类指标</w:t>
      </w:r>
    </w:p>
    <w:p w14:paraId="651A5B5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482CD1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 2 个二级指标和 2 个三级指标构成， 权重分 30.00 分，实际得分 30.00 分。 1. 经济效益完成情况分析 无该类指标 2.社会效益完成情况分析 “提高为农服务质量”指标：预期指标值为“良好”， 实际完成指标值为“达到预期指标”，指标完成率为 100%。 综上所述，本指标满分为 20.00 分，根据评分标准得 20.00 分。 3.生态效益完成情况分析 无该类指标</w:t>
      </w:r>
    </w:p>
    <w:p w14:paraId="6CA701D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 “辖区内居民的满意度”指标：预期指标值为“＞=90%”， 实际完成指标值为“=100%”，指标完成率为 100%。综上所述，本指标满分为 10.00 分，根据评分标准得 10.00 分。</w:t>
      </w:r>
    </w:p>
    <w:p w14:paraId="5A72AB39">
      <w:pPr>
        <w:spacing w:line="540" w:lineRule="exact"/>
        <w:ind w:firstLine="567"/>
        <w:rPr>
          <w:rStyle w:val="18"/>
          <w:rFonts w:hint="eastAsia" w:ascii="楷体" w:hAnsi="楷体" w:eastAsia="楷体"/>
          <w:b w:val="0"/>
          <w:bCs w:val="0"/>
          <w:spacing w:val="-4"/>
          <w:sz w:val="32"/>
          <w:szCs w:val="32"/>
        </w:rPr>
      </w:pPr>
    </w:p>
    <w:p w14:paraId="22691DC8">
      <w:pPr>
        <w:spacing w:line="540" w:lineRule="exact"/>
        <w:ind w:firstLine="567"/>
        <w:rPr>
          <w:rStyle w:val="18"/>
          <w:rFonts w:ascii="楷体" w:hAnsi="楷体" w:eastAsia="楷体"/>
          <w:spacing w:val="-4"/>
          <w:sz w:val="32"/>
          <w:szCs w:val="32"/>
        </w:rPr>
      </w:pPr>
    </w:p>
    <w:p w14:paraId="6970F4B1">
      <w:pPr>
        <w:numPr>
          <w:ilvl w:val="0"/>
          <w:numId w:val="2"/>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5D3D27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项目组织方面：通过建立跨部门协作机制，整合供销社、 农业部门及地方政府的资源与职责，形成政策、技术与执行 层面的联动优势:同时注重基层参与，依托农户需求调研与 意见征集，优化服务中心功能定位，确保服务内容贴近实际 生产需求，提升项目规划的科学性与实用性。 项目管理方面：采用标准化流程与节点化推进相结合的 模式，明确建设标准、验收要求及阶段性目标，通过定期督 查与动态反馈机制，保障项目按计划有序实施;注重全过程 风险防控，针对选址、采购等关键环节设置预审机制，有效 规避潜在质量与进度风险。 资金管理方面：严格执行专款专用制度，通过分阶段拨 付、第三方审计等方式强化资金监管，确保资金流向透明规 范;同时建立资金使用绩效评估机制，将支出进度与服务质 量挂钩，提升资金使用的精准性与效益。 （二）存在问题及原因分析 1.服务中心功能与农户需求匹配度不足，主要原因是需 求调研覆盖范围较窄，未充分吸纳不同规模农户、合作社的 差异化需求，导致服务功能设计偏向通用化，缺乏针对性；2.项目建设进度受项目审批流程脱累，主要原因是跨部 门协作机制不完善，土地审批、资金拨付够环节存在多头管 理问题，导致流程冗长、效率低下； 3.资金使用效率未达预期，主要原因是预算编制缺乏灵 活性，未充分考虑区域物价差异和突发成本波动，部分资金 被低效占用。 4.服务中心可持续运些能力薄弱，主要原因是运营机式 过度依赖财政补贴，市场化创收渠通单一(如仅提供幕础服 务)，缺乏长效盈利机制支撑后续维护与升级； 5.服务人员专业水平参差不齐，主要原因是培训休系不 健全，部分人员缺乏农业技术、市场运营等专业知识，影响 服务质量与农户信任度； 6.农户参与积极性不高，主要原因是宣传推广形式单一 (如仅靠村级广播)，未能有效传递服务中心功能价值;部分 农户对新型服务模式存在认知障碍。</w:t>
      </w:r>
    </w:p>
    <w:p w14:paraId="5084D26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513F066">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1、建立分层分类需求调研机制，针对小农户、种植大 户等群体开展专项调研，动志调整服务中心功能模块(如增 设定制化技术指导、特色农产品销售通支持等)； 2、推行”一站式”审批服务，明确章头部门统筹协调; 建立电子化审批平台，实时跟进度并设置超期预等机制； 3、引入弹性预算机制，预留一定比例应急资金:定期开展金使用效率评估，优化支出结构，优先保障核心服务功能； 4、探索”公益+市场“双轮驱动模式，拓展增值服务(如 农产品品牌包装、电商平台对接)引入社会资本合作，增强 自我造血功能； 5、制定分级培训计划，联合农业院校、企业开展技能 认证;建立“技术专家+本地能手“结对帮扶机制，提升服务 团队综合能力； 6、采用”示范户带动+现场体验“宣传策略，通过成功 案例展示、实地操作演示提升农户参与意愿:利用新媒体平 台扩大传播醒盖面。</w:t>
      </w:r>
    </w:p>
    <w:p w14:paraId="51F890B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21106C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 量，因此很难认定项目产生的全部效果。通过指标来反映绩 效，指标的科学性和全面性需要不断地完善和研究。 （二）评价结果作为安排政府预算、完善政策和改进管 理的重要依据。原则上，对评价等级为优、良的，根据情况 予以支持；对评价等级为中、差的，要完善政策、改进管理， 根据情况核减预算。 （三）评价结果分别编入政府决算和部门预算，报送本 级人民代表大会常务委员会，并依法予以公开。 （四）我单位对上述项目支出绩效评价报告内反映内容 的真实性、完整性负责，接受上级部门及社会公众监督。</w:t>
      </w:r>
    </w:p>
    <w:p w14:paraId="272B3588">
      <w:pPr>
        <w:spacing w:line="540" w:lineRule="exact"/>
        <w:ind w:firstLine="567"/>
        <w:rPr>
          <w:rStyle w:val="18"/>
          <w:rFonts w:ascii="仿宋" w:hAnsi="仿宋" w:eastAsia="仿宋"/>
          <w:b w:val="0"/>
          <w:spacing w:val="-4"/>
          <w:sz w:val="32"/>
          <w:szCs w:val="32"/>
        </w:rPr>
      </w:pPr>
    </w:p>
    <w:p w14:paraId="60351103">
      <w:pPr>
        <w:spacing w:line="540" w:lineRule="exact"/>
        <w:ind w:firstLine="567"/>
        <w:rPr>
          <w:rStyle w:val="18"/>
          <w:rFonts w:ascii="仿宋" w:hAnsi="仿宋" w:eastAsia="仿宋"/>
          <w:b w:val="0"/>
          <w:spacing w:val="-4"/>
          <w:sz w:val="32"/>
          <w:szCs w:val="32"/>
        </w:rPr>
      </w:pPr>
    </w:p>
    <w:p w14:paraId="64A6933D">
      <w:pPr>
        <w:spacing w:line="540" w:lineRule="exact"/>
        <w:ind w:firstLine="567"/>
        <w:rPr>
          <w:rStyle w:val="18"/>
          <w:rFonts w:ascii="仿宋" w:hAnsi="仿宋" w:eastAsia="仿宋"/>
          <w:b w:val="0"/>
          <w:spacing w:val="-4"/>
          <w:sz w:val="32"/>
          <w:szCs w:val="32"/>
        </w:rPr>
      </w:pPr>
    </w:p>
    <w:p w14:paraId="21195CFE">
      <w:pPr>
        <w:spacing w:line="540" w:lineRule="exact"/>
        <w:ind w:firstLine="567"/>
        <w:rPr>
          <w:rStyle w:val="18"/>
          <w:rFonts w:ascii="仿宋" w:hAnsi="仿宋" w:eastAsia="仿宋"/>
          <w:b w:val="0"/>
          <w:spacing w:val="-4"/>
          <w:sz w:val="32"/>
          <w:szCs w:val="32"/>
        </w:rPr>
      </w:pPr>
    </w:p>
    <w:p w14:paraId="5436723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0F2E6B0">
        <w:pPr>
          <w:pStyle w:val="12"/>
          <w:jc w:val="center"/>
        </w:pPr>
        <w:r>
          <w:fldChar w:fldCharType="begin"/>
        </w:r>
        <w:r>
          <w:instrText xml:space="preserve">PAGE   \* MERGEFORMAT</w:instrText>
        </w:r>
        <w:r>
          <w:fldChar w:fldCharType="separate"/>
        </w:r>
        <w:r>
          <w:rPr>
            <w:lang w:val="zh-CN"/>
          </w:rPr>
          <w:t>2</w:t>
        </w:r>
        <w:r>
          <w:fldChar w:fldCharType="end"/>
        </w:r>
      </w:p>
    </w:sdtContent>
  </w:sdt>
  <w:p w14:paraId="18C7E06C">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abstractNum w:abstractNumId="1">
    <w:nsid w:val="41B44C4C"/>
    <w:multiLevelType w:val="singleLevel"/>
    <w:tmpl w:val="41B44C4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171FEA"/>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11924</Words>
  <Characters>12562</Characters>
  <Lines>4</Lines>
  <Paragraphs>1</Paragraphs>
  <TotalTime>18</TotalTime>
  <ScaleCrop>false</ScaleCrop>
  <LinksUpToDate>false</LinksUpToDate>
  <CharactersWithSpaces>13429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2025-08-12T05:59:13Z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