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360572">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3EEBE3BD">
      <w:pPr>
        <w:spacing w:line="540" w:lineRule="exact"/>
        <w:jc w:val="center"/>
        <w:rPr>
          <w:rFonts w:ascii="华文中宋" w:hAnsi="华文中宋" w:eastAsia="华文中宋" w:cs="宋体"/>
          <w:b/>
          <w:kern w:val="0"/>
          <w:sz w:val="52"/>
          <w:szCs w:val="52"/>
        </w:rPr>
      </w:pPr>
    </w:p>
    <w:p w14:paraId="7A897F9B">
      <w:pPr>
        <w:spacing w:line="540" w:lineRule="exact"/>
        <w:jc w:val="center"/>
        <w:rPr>
          <w:rFonts w:ascii="华文中宋" w:hAnsi="华文中宋" w:eastAsia="华文中宋" w:cs="宋体"/>
          <w:b/>
          <w:kern w:val="0"/>
          <w:sz w:val="52"/>
          <w:szCs w:val="52"/>
        </w:rPr>
      </w:pPr>
    </w:p>
    <w:p w14:paraId="2A799C70">
      <w:pPr>
        <w:spacing w:line="540" w:lineRule="exact"/>
        <w:jc w:val="center"/>
        <w:rPr>
          <w:rFonts w:ascii="华文中宋" w:hAnsi="华文中宋" w:eastAsia="华文中宋" w:cs="宋体"/>
          <w:b/>
          <w:kern w:val="0"/>
          <w:sz w:val="52"/>
          <w:szCs w:val="52"/>
        </w:rPr>
      </w:pPr>
    </w:p>
    <w:p w14:paraId="0E78CAB6">
      <w:pPr>
        <w:spacing w:line="540" w:lineRule="exact"/>
        <w:jc w:val="center"/>
        <w:rPr>
          <w:rFonts w:ascii="华文中宋" w:hAnsi="华文中宋" w:eastAsia="华文中宋" w:cs="宋体"/>
          <w:b/>
          <w:kern w:val="0"/>
          <w:sz w:val="52"/>
          <w:szCs w:val="52"/>
        </w:rPr>
      </w:pPr>
    </w:p>
    <w:p w14:paraId="4735E93F">
      <w:pPr>
        <w:spacing w:line="540" w:lineRule="exact"/>
        <w:jc w:val="center"/>
        <w:rPr>
          <w:rFonts w:ascii="华文中宋" w:hAnsi="华文中宋" w:eastAsia="华文中宋" w:cs="宋体"/>
          <w:b/>
          <w:kern w:val="0"/>
          <w:sz w:val="52"/>
          <w:szCs w:val="52"/>
        </w:rPr>
      </w:pPr>
    </w:p>
    <w:p w14:paraId="7EA4E6B5">
      <w:pPr>
        <w:spacing w:line="540" w:lineRule="exact"/>
        <w:jc w:val="center"/>
        <w:rPr>
          <w:rFonts w:ascii="华文中宋" w:hAnsi="华文中宋" w:eastAsia="华文中宋" w:cs="宋体"/>
          <w:b/>
          <w:kern w:val="0"/>
          <w:sz w:val="52"/>
          <w:szCs w:val="52"/>
        </w:rPr>
      </w:pPr>
    </w:p>
    <w:p w14:paraId="42F1B727">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56806A31">
      <w:pPr>
        <w:spacing w:line="540" w:lineRule="exact"/>
        <w:jc w:val="center"/>
        <w:rPr>
          <w:rFonts w:ascii="华文中宋" w:hAnsi="华文中宋" w:eastAsia="华文中宋" w:cs="宋体"/>
          <w:b/>
          <w:kern w:val="0"/>
          <w:sz w:val="52"/>
          <w:szCs w:val="52"/>
        </w:rPr>
      </w:pPr>
    </w:p>
    <w:p w14:paraId="36BDBE28">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6A494A44">
      <w:pPr>
        <w:spacing w:line="540" w:lineRule="exact"/>
        <w:jc w:val="center"/>
        <w:rPr>
          <w:rFonts w:hAnsi="宋体" w:eastAsia="仿宋_GB2312" w:cs="宋体"/>
          <w:kern w:val="0"/>
          <w:sz w:val="30"/>
          <w:szCs w:val="30"/>
        </w:rPr>
      </w:pPr>
    </w:p>
    <w:p w14:paraId="5B29F073">
      <w:pPr>
        <w:spacing w:line="540" w:lineRule="exact"/>
        <w:jc w:val="center"/>
        <w:rPr>
          <w:rFonts w:hAnsi="宋体" w:eastAsia="仿宋_GB2312" w:cs="宋体"/>
          <w:kern w:val="0"/>
          <w:sz w:val="30"/>
          <w:szCs w:val="30"/>
        </w:rPr>
      </w:pPr>
    </w:p>
    <w:p w14:paraId="1108DF49">
      <w:pPr>
        <w:spacing w:line="540" w:lineRule="exact"/>
        <w:jc w:val="center"/>
        <w:rPr>
          <w:rFonts w:hAnsi="宋体" w:eastAsia="仿宋_GB2312" w:cs="宋体"/>
          <w:kern w:val="0"/>
          <w:sz w:val="30"/>
          <w:szCs w:val="30"/>
        </w:rPr>
      </w:pPr>
    </w:p>
    <w:p w14:paraId="74BF0556">
      <w:pPr>
        <w:spacing w:line="540" w:lineRule="exact"/>
        <w:jc w:val="center"/>
        <w:rPr>
          <w:rFonts w:hAnsi="宋体" w:eastAsia="仿宋_GB2312" w:cs="宋体"/>
          <w:kern w:val="0"/>
          <w:sz w:val="30"/>
          <w:szCs w:val="30"/>
        </w:rPr>
      </w:pPr>
    </w:p>
    <w:p w14:paraId="4415B07B">
      <w:pPr>
        <w:spacing w:line="540" w:lineRule="exact"/>
        <w:jc w:val="center"/>
        <w:rPr>
          <w:rFonts w:hAnsi="宋体" w:eastAsia="仿宋_GB2312" w:cs="宋体"/>
          <w:kern w:val="0"/>
          <w:sz w:val="30"/>
          <w:szCs w:val="30"/>
        </w:rPr>
      </w:pPr>
    </w:p>
    <w:p w14:paraId="3976EBDB">
      <w:pPr>
        <w:spacing w:line="540" w:lineRule="exact"/>
        <w:jc w:val="center"/>
        <w:rPr>
          <w:rFonts w:hAnsi="宋体" w:eastAsia="仿宋_GB2312" w:cs="宋体"/>
          <w:kern w:val="0"/>
          <w:sz w:val="30"/>
          <w:szCs w:val="30"/>
        </w:rPr>
      </w:pPr>
    </w:p>
    <w:p w14:paraId="569AE488">
      <w:pPr>
        <w:spacing w:line="540" w:lineRule="exact"/>
        <w:rPr>
          <w:rFonts w:hAnsi="宋体" w:eastAsia="仿宋_GB2312" w:cs="宋体"/>
          <w:kern w:val="0"/>
          <w:sz w:val="30"/>
          <w:szCs w:val="30"/>
        </w:rPr>
      </w:pPr>
    </w:p>
    <w:p w14:paraId="43797D78">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2A372500">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2024年辅警运转经费（非定额）</w:t>
      </w:r>
    </w:p>
    <w:p w14:paraId="4B294F17">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呼图壁县公安局</w:t>
      </w:r>
    </w:p>
    <w:p w14:paraId="3DE52F9D">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呼图壁县公安局</w:t>
      </w:r>
    </w:p>
    <w:p w14:paraId="6BA24E37">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黄东</w:t>
      </w:r>
    </w:p>
    <w:p w14:paraId="35B00D0E">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2025年05月12日</w:t>
      </w:r>
    </w:p>
    <w:p w14:paraId="3CB76DBB">
      <w:pPr>
        <w:spacing w:line="700" w:lineRule="exact"/>
        <w:ind w:firstLine="708" w:firstLineChars="236"/>
        <w:jc w:val="left"/>
        <w:rPr>
          <w:rFonts w:hAnsi="宋体" w:eastAsia="仿宋_GB2312" w:cs="宋体"/>
          <w:kern w:val="0"/>
          <w:sz w:val="30"/>
          <w:szCs w:val="30"/>
        </w:rPr>
      </w:pPr>
    </w:p>
    <w:p w14:paraId="5707CEBD">
      <w:pPr>
        <w:spacing w:line="540" w:lineRule="exact"/>
        <w:rPr>
          <w:rStyle w:val="18"/>
          <w:rFonts w:ascii="黑体" w:hAnsi="黑体" w:eastAsia="黑体"/>
          <w:b w:val="0"/>
          <w:spacing w:val="-4"/>
          <w:sz w:val="32"/>
          <w:szCs w:val="32"/>
        </w:rPr>
      </w:pPr>
    </w:p>
    <w:p w14:paraId="0FE9CD46">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050AEAA2">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56FD54AB">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（一）项目概况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贯彻落实《关于加强新时代公安辅警队伍建设的意见》文件精神，针对当前基层警力不足、辅警队伍服务基层警务力量辅助任务的现实需求，实施辅警经费项目具有紧迫必要性。随着社会治安防控压力持续加大，辅警在巡逻防控、矛盾调处等工作中任务量逐年递增，但经费保障不足导致装备更新滞后、实战化培训覆盖率偏低，制约了队伍专业化效能释放。通过专项经费投入，可系统性改善辅警装备配备率与智能化水平，强化分层分类培训体系，实现执法规范化达标率、突发事件协同处置效率双提升，推动辅警队伍从“数量补充”向“质量赋能”转型，助力群众安全感满意度提升至90%以上，为构建现代化警务协作机制提供坚实支撑。</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（1）项目名称：2024年辅警运转经费（非定额）项目（以下简称“该项目”或“项目”）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（2）项目主要内容：维护社会治安秩序，提高城市管理水平，加强社会巡逻，交通管理，突发事件处置，提高治安防控体系建设，保障公安业务工作正常运行。</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实施主体：呼图壁县公安局。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实施时间：本项目实施周期为2024年1月-2024年12月。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前期准备阶段，公安部门联合财政单位开展需求论证与预算编制，形成覆盖装备采购、培训体系及信息化建设的实施方案；实施过程中建立专班督导机制，按节点核查装备交付、系统部署及培训课程落地情况，同步协调解决跨部门协作难题。项目验收阶段组织第三方机构对照合同条款逐项核验装备性能指标与资金使用合规性，并开展多轮次模拟演练检验实战适用性。投入使用后，通过动态巡检与辅警满意度调查持续跟踪装备运维效能及培训成果转化率，形成“采购-交付-应用-优化”闭环管理，全面实现装备智能化覆盖率提升、辅警队伍应急处置能力强化及经费使用效益最大化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（1）主要职能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我局属财政全额拨款行政单位。主要职责为：贯彻执行国家有关公安工作的方针、政策和法律、法规；组织、指导、监督、检查全县公安工作。掌握影响稳定、危害国内安全和社会治安的情况，分析形势、制定对策；防范处置邪教、非法宗教组织的违法犯罪活动。预防、制止、侦查县内违法犯罪案件，处置重大法案事故。负责全县公安装备和经费等警备保障工作。组织实施公安科学技术工作；规划全县公安信息技术、刑事技术和行动技术、指挥系统等建设。负责全县公安队伍建设。制定全县公安队伍监督管理工作规章制度。承办县委、县政府和上级公安机关交办的其他工作。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（2）机构设置情况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编制人数为289人，其中：行政人员编制209人、工勤2人、事业编制72人。实有在职人数281人，其中：行政在职209人、工勤2人、事业在职72人。离退休人员70人，其中：行政退休人员70人、事业退休0人。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本项目预算安排总额为851.22万元，资金来源为本级财政拨款，其中：财政资金851.22万元，其他资金0万元，2024年实际收到预算资金851.22万元，预算资金到位率为100%。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2024年12月31日，本项目实际支付资金771.67万元，预算执行率90.65%，结余79.55万元。本项目资金主要用于支付食堂伙食费用238.78万元、公车运行维护和修理费用36.40万元、办公费184.84万元、培训费、差旅费、维修（护）、设备购置等支付311.65万元。</w:t>
      </w:r>
    </w:p>
    <w:p w14:paraId="2940E177">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0B8C9FE7">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的总体目标是通过科学规划辅警人员配备数量、定期开展专业技能培训场次、合理配置装备采购数量等基础保障措施，结合提升培训考核合格率、装备使用达标率、公共安全任务完成率等核心质量要求，着力优化警务资源配置效率，强化辅警队伍专业化建设水平，确保经费投入精准服务于实战需求，全面提升辅警队伍在治安巡逻、应急处突、群众服务等领域的规范化作业能力，有效增强基层警务工作效能，为维护社会治安秩序稳定和保障人民群众生命财产安全提供有力支撑。</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“配备人员数量”指标，预期指标值为“&lt;=1500人”；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“安全隐患检查次数”指标，预期指标值为“&gt;=12次”；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“警务装备、器械验收合格率”指标，预期指标值为“&gt;=95%”；</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“出警到场及时率”指标，预期指标值为“&lt;=95%”；</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（2）项目成本指标指标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“便民警务站辅助人员经费年度标准”指标，预期指标值为“=7500元”；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③生态环境成本指标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“辅助完成公安业务工作，提升公安机关整体实力”指标，预期指标值为“良好”；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“群众对社会治安满意度”指标，预期指标值为“&gt;=90%”。</w:t>
      </w:r>
    </w:p>
    <w:p w14:paraId="2C1B322C">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76DA758E">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4685BE93">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此次我单位根据《财政支出绩效评价管理暂行办法》（财预〔2020〕10号）文件要求实施评价工作，本次评价对象为2024年辅警运转经费（非定额）项目，评价核心为项目资金、项目产出、项目效益。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4.绩效评价依据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(1)《中华人民共和国预算法》；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(2)《中共中央国务院关于全面实施预算绩效管理的意见》（中发〔2018〕34号）；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(3)《项目支出绩效评价管理办法》（财预〔2020〕10号）；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(4)《自治区财政支出绩效评价管理暂行办法》（新财预〔2018〕189号）；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（5）呼图壁县公安局关于推进落实《昌吉州公安机关警务辅助人员薪酬管理实施细则》情况的报告。</w:t>
      </w:r>
    </w:p>
    <w:p w14:paraId="1532B344">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72D77844">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 中央国务院关于全面实施预算绩效管理的意见》（中发〔2018〕34号）、《项目支出绩效评价管理办法》（财预〔2020〕10号）等要求，本次绩效评价秉承科学规范、公正公开、分级分类、绩效相关等原则，按照从投入、过程到产出效果和影响的绩效逻辑路径，通过绩效评价反思项目实施和管理中的问题，总结经验和教训，为提升财政资金使用效益，提供可行性参考建议。绩效评价应遵循如下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全面反映项目决策、项目和资金管理、产出和效益，优先选取最具代表性、最能直接反映产出和效益的核心指标，精简实用，绩效评价小组结合项目的实际情况，综合考虑相关性、重要性、可衡量性、可操作性和可实现性，按照逻辑分析法设计本次绩效评价指标体系，绩效评价指标的权重设计突出结果导向，设置指标体系结构如下：设置一级指标共5个，包括：决策指标（21.0%）、过程指标（19.0%）、产出指标（20.0%）、成本指标（10.0%）、效益指标（30.0%）五类指标；二级和三级指标根据各项指标在评价体系中的重要程度确定，考虑项目实施和管理对项目绩效的影响等因素赋予相应的权重分值。绩效评价小组围绕项目总体绩效目标，将梳理后的年度绩效目标细化分解为个性化产出和效益指标，与共性指标共同构成该项目绩效评价指标体系详见“附件1：项目支出绩效评价绩效评价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正确的评价方法是评价工作顺利开展的保障，在结合实际经验的情况下，绩效评价小组根据该项目资金的性质和特点，选用比较法、公众评判法对项目进行评价，旨在通过综合分析影响绩效目标实现、实施效果的内外部因素，从而评价本项目绩效。三级指标分析环节：总体采用比较法，同时辅以公众评判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45E9FBAF">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6FB26EA1">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于2025年3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王学斌（呼图壁县公安局副局长）：主要负责项目策划和监督，全面负责项目绩效评价办稿的最终质量，对评估人员出具的最终报告质量进行复核，确保评估结果的客观性；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黄东（呼图壁县公安局警务保障室主任）：主要负责资料的收集，取证、数据统计分析；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王春英（呼图壁县公安局会计）、张承喆（呼图壁县公安局警务保障室项目管理工作人员）：主要负责主要负责项目报告的制定，指标的研判，数据分析及报告撰写。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2025年3月1日-3月15日，评价工作进入实施阶段。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数据采集方面，评价小组项目负责人、财务人员进行访谈沟通，全面了解项目实施的目的、预算安排、实施内容、组织管理、实施结果等方面的内容；全面收集项目决策过程、资金使用管理、制度建设与执行情况、质量管理、项目建设及验收等相关资料，完成绩效评价内容所需的印证资料整理，所有数据经核查后统计汇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经调研了解，该项目主要受益群体包括在职所有民辅警。我们根据绩效评价目标和绩效指标体系，设计满意度调查问卷进行问卷调查，其中民辅警受益对象共选取样本30人，共发放问卷30份，最终收回30份；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2025年3月16日-3月20日，评价小组按照绩效评价的原则和规范，对取得的资料进行审查核实，对采集的数据进行分析，按照绩效评价指标评分表逐项进行打分、分析、汇总各方评价结果。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2025年3月21日-3月25日，评价小组撰写绩效评价报告，按照新疆维吾尔自治区财政绩效管理信息系统绩效评价模块中统一格式和文本框架撰写绩效评价报告并提交审核。</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5.问题整改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6.档案整理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23A9BD1B">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21F94E64">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在2024年按计划完成食堂伙食费、车辆维修费及差旅费、办公费、维修费等关键支出，全面保障辅警队伍日常运转与业务执行效能。实施过程中，通过前期预算细化与资金精准拨付，确保伙食供应质量达标、执勤车辆故障率显著下降，同时差旅报销流程优化与办公设备及时维护有效提升了一线辅警响应效率。项目严格执行财务审批流程，采用集中采购与定点服务模式控制成本，并通过多部门联合验收确保费用支出与合同服务内容完全匹配。工作成果方面，食堂餐饮标准化管理覆盖全体辅警，车辆出勤率提高至稳定状态，差旅与办公资源调配效率优化，为基层警务协同作战与快速处突提供扎实后勤支撑，整体实现经费使用规范性与警务保障实效性的双向提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评价，本项目达成年初设立的绩效目标，在实施过程中取得了良好的成效，具体表现在：通过项目的实施，完成了辅警运转经费产出目标，发挥了警务辅助人员在协助公安机关维护社会治安、打击违法犯罪、开展行政管理和服务人民群众等方面的作用。但在实施过程中也存在一些不足：1、辅警经费未纳入常态化预算体系，导致经费拨付不稳定，尤其在经济欠发达工区更为突出。2、待遇水平偏低，薪资、社保等标准较低。3、装备更新滞后，执法记录仪、防护装备等采购周期长，老旧设备故障率较高，直接影响执勤安全与执法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此次绩效评价通过绩效评价小组论证的评价指标体系及评分标准，采用因素分析法和比较法对本项目绩效进行客观评价，本项目共设置三级指标数量18个，实现三级指标数量18个，总体完成率为</w:t>
      </w:r>
      <w:r>
        <w:rPr>
          <w:rStyle w:val="18"/>
          <w:rFonts w:hint="eastAsia" w:ascii="楷体" w:hAnsi="楷体" w:eastAsia="楷体"/>
          <w:b w:val="0"/>
          <w:bCs w:val="0"/>
          <w:spacing w:val="-4"/>
          <w:sz w:val="32"/>
          <w:szCs w:val="32"/>
          <w:lang w:val="en-US" w:eastAsia="zh-CN"/>
        </w:rPr>
        <w:t>90.65</w:t>
      </w:r>
      <w:r>
        <w:rPr>
          <w:rStyle w:val="18"/>
          <w:rFonts w:hint="eastAsia" w:ascii="楷体" w:hAnsi="楷体" w:eastAsia="楷体"/>
          <w:b w:val="0"/>
          <w:bCs w:val="0"/>
          <w:spacing w:val="-4"/>
          <w:sz w:val="32"/>
          <w:szCs w:val="32"/>
        </w:rPr>
        <w:t>%。最终评分结果：总分为99.</w:t>
      </w:r>
      <w:r>
        <w:rPr>
          <w:rStyle w:val="18"/>
          <w:rFonts w:hint="eastAsia" w:ascii="楷体" w:hAnsi="楷体" w:eastAsia="楷体"/>
          <w:b w:val="0"/>
          <w:bCs w:val="0"/>
          <w:spacing w:val="-4"/>
          <w:sz w:val="32"/>
          <w:szCs w:val="32"/>
          <w:lang w:val="en-US" w:eastAsia="zh-CN"/>
        </w:rPr>
        <w:t>07</w:t>
      </w:r>
      <w:r>
        <w:rPr>
          <w:rStyle w:val="18"/>
          <w:rFonts w:hint="eastAsia" w:ascii="楷体" w:hAnsi="楷体" w:eastAsia="楷体"/>
          <w:b w:val="0"/>
          <w:bCs w:val="0"/>
          <w:spacing w:val="-4"/>
          <w:sz w:val="32"/>
          <w:szCs w:val="32"/>
        </w:rPr>
        <w:t>分，绩效评级为“优秀”。综合评价结论如下：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项目决策类指标共设置6个，满分指标6个，得分率100%；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过程管理类指标共设置5个，满分指标5个，得分率100%；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项目产出类指标共设置4个，满分指标4个，得分率100%；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项目成本类指标共设置1个，满分指标1个，得分率100%；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项目效益类指标共设置2个，满分指标2个，得分率100%。</w:t>
      </w:r>
    </w:p>
    <w:p w14:paraId="12CC9EB7">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583F1070">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7D7A3D47">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项目决策类指标由3个二级指标和6个三级指标构成，权重分21.00分，实际得分21.00分。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立项符合新疆维吾尔自治区颁发的《自治区人民政府办公厅关于印发《新疆维吾尔自治区公安机关警务辅助人员用人额度管理办法》等自治区辅警条例七项配套制度的通知（新政办发〔2023〕26号）、《新疆维吾尔自治区警务辅助人员管理条例》中：“县级以上人民政府应当加强对辅警工作的组织领导，将辅警队伍建设纳入本地国民经济和社会发展规划，科学配置辅警规模，强化监督检查，落实保障措施”，符合国家法律法规、国民经济发展规划和相关政策；本项目立项符合辅警管理条例中：“警务辅助人员薪酬管理实施细则”内容，符合行业发展规划和政策要求；本项目立项符合《呼图壁县公安局配置内设机构和人员编制规定》中职责范围中的“负责全县公安装备和经费等警备保障工作。”，属于我单位履职所需；根据《财政资金直接支付申请书》，本项目资金性质为“公共财政预算”功能分类为“行政运行”经济分类为“其他商品服务支出”属于公共财政支持范围，符合中央、地方事权支出责任划分原则；经检查我单位财政应用平台指标，本项目不存在重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1、科学配置标准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本项目为非基础建设类项目，不涉及发改立项批复流程，由我单位自行编制项目实施方案和项目预算申请计划，经过与党委会研究确定最终预算方案。经查看，该项目申请设立过程产生的相关文件，符合相关要求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综上所述，本指标满分为3.00分，根据评分标准得3.00分，本项目立项程序规范。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本项目已设置年度绩效目标，具体内容为“保障公安机关在运行过程中经费支出”；本项目实际工作内容为：完成食堂伙食费、车辆维修费及差旅费、办公费、维修费等关键支出，绩效目标与实际工作内容一致，两者具有相关性;本项目预算申请资金851.22万元，预算确定资金量与实际工作任务相匹配。本项目按照绩效目标完成了数量指标、质量指标、时效指标、成本指标，有效保障了全面保障辅警队伍日常运转与业务执行效能，发挥了警务辅助人员在协助公安机关维护社会治安、打击违法犯罪、开展行政管理和服务人民群众等方面的作用，年度绩效目标完成，预期产出效益和效果符合正常的业绩水平。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4个，二级指标6个，三级指标7个，定量指标6个，定性指标1个，指标量化率为85.71%，量化率达70.00%以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（1）预算编制科学性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编制按照特巡警运转经费标准7500元/人共计559人，共计419.25万元，机关辅警运转经费标准1930元/人，共计385人，共计74.31万元，派出所辅警运转经费标准5000元/人，共计550人，共计275.00万元得出，82.66万元的设备购置费计算得出，即预算编制较科学且经过论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申请内容为辅警运转经费，项目实际内容为完成了辅警日常活动中产生的伙食费、办公费的支付，采购了辅警工作开展的必要设备，预算申请与《辅警运转经费项目实施方案》中涉及的项目内容匹配；本项目严格执行《县级项目支出绩效单位自评操作规程》，对办公费、装备采购等支出采用定额标准管理。通过制定警务保障计划，实现被装、训练经费等支出科目标准化配置，我单位在预算公开中细化到"三公"经费人均定额，强化编制约束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申请资金851.22万元，我单位在预算申请中严格按照分项成本进行核算，其中：伙食费用238.78万元、公车运行维护和修理费用36.40万元、办公费184.84万元、培训费、差旅费、维修（护）、设备购置等支付311.65万元。本项目预算额度测算依据充分，严格按照标准编制，预算确定资金量与实际工作任务相匹配；截至2024年12月31日，本项目实际支付资金771.67万元，预算执行率90.65%，结余79.55万元。本项目资金主要用于支付食堂伙食费用238.78万元、公车运行维护和修理费用36.40万元、办公费184.84万元、培训费、差旅费、维修（护）、设备购置等支付311.65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综上所述，本指标满分为4.00分，根据评分标准4.00分，本项目预算编制科学。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分配资金以《关于申请辅警运转项目资金的请示》和《辅警运转经费项目实施方案》为依据进行资金分配，预算资金分配依据充分。根据《关于申请辅警运转项目资金的请示》文件显示，本项目实际到位资金851.22万元，实际分配资金与我单位提交申请的资金额度一致，资金分配额度合理，与我单位实际需求相适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综上所述，本指标满分为2.00分，根据评分标准得2.00分，本项目资金分配合理。</w:t>
      </w:r>
      <w:r>
        <w:rPr>
          <w:rStyle w:val="18"/>
          <w:rFonts w:hint="eastAsia" w:ascii="楷体" w:hAnsi="楷体" w:eastAsia="楷体"/>
          <w:b w:val="0"/>
          <w:bCs w:val="0"/>
          <w:spacing w:val="-4"/>
          <w:sz w:val="32"/>
          <w:szCs w:val="32"/>
        </w:rPr>
        <w:tab/>
      </w:r>
    </w:p>
    <w:p w14:paraId="7DA37573">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21B932F4">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项目过程管理类指标由2个二级指标和5个三级指标构成，权重分19.0分，实际得分19.0分。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851.22万元，其中：本级财政安排资金851.22万元，其他资金0万元，实际到位资金851.22万元，资金到位率=（实际到位资金/预算资金）×100.00%=（851.22/851.22）*100.00%=100%。得分=资金到位率*分值=100%*4=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本项目实际支出资金771.67万元，预算执行率=（实际支出资金/实际到位资金）×100.00%=（771.67/851.22）*100.00%=90.65%。得分=预算执行率*分值=90.65%*5=4.53分。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综上所述，本指标满分为5.00分，根据评分标准得4.53分，本项目资金分配合理。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我单位根据专项资金的使用范围和要求，严格按照《呼图壁县公安资金安全管理制度》合理安排资金计划，按时完成专项资金项目绩效目标及执行情况的跟踪评价，严格遵循国家法规和财务管理制度合法合规使用专项资金，保证资金拨付有完整的审批程序和手续，符合项目预算批复或合同规定的用途，不存在截留、挤占、挪用、虚列支出等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综上所述，本指标满分为4.00分，根据评分标准得4.0分，资金支出符合我单位财务管理制度规定。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辅警经费资金管理办法》《辅警经费资金收支业务管理制度》《公安局政府采购业务管理制度》《合同管理制度》，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综上所述，本指标满分为2.00分，根据评分标准得2.0分，项目制度建设健全。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对比分析本项目实际执行过程资料和已建立的项目管理制度和财务管理制度，得出本项目严格按照本单位已建立制度执行。项目实施过程中产生的文件资料齐全并及时进行了归档。项目资金支出严格按照自治区、地区、市以及本单位资金管理办法执行，项目启动实施后，为了加快本项目的实施，成立了辅警经费项目工作领导小组，由副局长记王学斌任组长，负责项目的组织工作；黄东任副组长，负责项目的实施工作；组员包括：王春英和张承喆，主要负责项目监督管理、验收以及资金核拨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综上所述，本指标满分为4.00分，根据评分标准得4.00分，本项目所建立制度执行有效。</w:t>
      </w:r>
    </w:p>
    <w:p w14:paraId="1119906B">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17DEE381">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（三）项目产出情况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项目产出类指标由4个二级指标和4个三级指标构成，权重分20分，实际得分20分。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“配备人员数量”指标：预期指标值为“&lt;=1500人”，实际完成指标值为“=1500人”，指标完成率为100.0%。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“安全隐患检查次数”指标：预期指标值为“&gt;=12次”，实际完成指标值为“=12次”，指标完成率为100.0%。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综上所述，本指标满分为10.0分，根据评分标准得10.0分。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“警务装备、器械验收合格率”指标：预期指标值为“&gt;=95%”，实际完成指标值为“=95%”，指标完成率为100%。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综上所述，本指标满分为5.0分，根据评分标准得5.0分。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“出警到场及时率”指标：预期指标值为“&lt;=95%”，实际完成指标值为“=95%”，指标完成率为100%。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综上所述，本指标满分为5.0分，根据评分标准得5.0分。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（四）项目成本情况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项目成本情况指标由1个二级指标和1个三级指标构成，权重分10.0分，实际得分10.0分。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“便民警务站辅助人员经费年度标准”指标：预期指标值为“=7500元”，实际完成指标值为“=7500元”，指标完成率为100%。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综上所述，本指标满分为10.0分，根据评分标准得10.0分。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3.生态环境成本指标完成情况分析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65397087">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665E7AF0">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项目效益类指标由2个二级指标和2个三级指标构成，权重分30分，实际得分30分。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“辅助完成公安业务工作，提升公安机关整体实力”指标：预期指标值为“良好”，实际完成指标值为“达到预期指标”，指标完成率为100.0%。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综上所述，本指标满分为20分，根据评分标准得20分。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无该类指标</w:t>
      </w:r>
    </w:p>
    <w:p w14:paraId="41293708">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4.满意度完成情况分析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“群众对社会治安满意度”指标：预期指标值为“&gt;=90%”，实际完成指标值为“=100%”，指标完成率为100%。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综上所述，本指标满分为10分，根据评分标准得10分。</w:t>
      </w:r>
    </w:p>
    <w:p w14:paraId="36F7FCB6">
      <w:pPr>
        <w:spacing w:line="540" w:lineRule="exact"/>
        <w:ind w:firstLine="567"/>
        <w:rPr>
          <w:rStyle w:val="18"/>
          <w:rFonts w:hint="eastAsia" w:ascii="楷体" w:hAnsi="楷体" w:eastAsia="楷体"/>
          <w:b w:val="0"/>
          <w:bCs w:val="0"/>
          <w:spacing w:val="-4"/>
          <w:sz w:val="32"/>
          <w:szCs w:val="32"/>
        </w:rPr>
      </w:pPr>
    </w:p>
    <w:p w14:paraId="120C51A0">
      <w:pPr>
        <w:spacing w:line="540" w:lineRule="exact"/>
        <w:ind w:firstLine="567"/>
        <w:rPr>
          <w:rStyle w:val="18"/>
          <w:rFonts w:ascii="楷体" w:hAnsi="楷体" w:eastAsia="楷体"/>
          <w:spacing w:val="-4"/>
          <w:sz w:val="32"/>
          <w:szCs w:val="32"/>
        </w:rPr>
      </w:pPr>
    </w:p>
    <w:p w14:paraId="6D9A0620">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6ECCBB51">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项目组织方面，注重构建高效协同的管理架构，成立由公安部门牵头、多层级联动的专项工作领导小组，明确职责分工与任务节点，通过定期调度会议和动态沟通机制，统筹协调人力、物资及政策资源，确保项目推进方向与公安工作战略目标一致。同时，建立跨部门协作机制，强化业务指导与技术支持，形成自上而下的责任传导体系，为项目顺利实施提供组织保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项目管理方面，坚持以规范化流程驱动执行效能，细化任务分解清单，建立全周期跟踪督导机制，通过标准化作业流程与动态化风险预警，严控关键环节质量目标。创新运用信息化手段实现资源调配与进度监控的精准对接，完善绩效考核与反馈改进闭环，重点强化对辅警培训、装备使用及任务执行的过程监督，推动项目成果与警务实战需求深度融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资金管理方面，突出预算刚性约束与灵活调配相结合，科学制定资金分配方案，严格执行专款专用制度，依托内控机制防范资金使用风险。通过事前绩效评估、事中动态核验与事后效益评价，确保资金流向与项目目标高度匹配。此外，探索建立资金使用效益与资源配置优化的联动机制，优先保障能力提升类、技术升级类支出，最大限度发挥经费投入对辅警队伍专业化、规范化建设的支撑作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一、问题：资金使用效率有待提升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原因分析：经费分配机制与基层实际需求衔接不够紧密，存在资源配置重复或结构性缺口，部分领域投入未能精准匹配实战任务变化，导致资金使用效益未能最大化。</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二、问题：资源配置存在区域性不均衡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项目执行过程中缺乏全域统筹规划，部分地区因人口密度、治安复杂度差异未形成差异化资源配置方案，导致辅警人力、装备供给与区域实际警务负荷不匹配。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三、问题：培训体系与实战能力转化不足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现有培训内容标准化程度较高但缺乏针对性，未能充分结合一线执法场景设计课程，且培训效果评估偏重理论考核，导致辅警应急处置、群众沟通等实战技能提升有限。</w:t>
      </w:r>
    </w:p>
    <w:p w14:paraId="6E192DD5">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六</w:t>
      </w:r>
      <w:r>
        <w:rPr>
          <w:rStyle w:val="18"/>
          <w:rFonts w:hint="eastAsia" w:ascii="黑体" w:hAnsi="黑体" w:eastAsia="黑体"/>
          <w:b w:val="0"/>
          <w:spacing w:val="-4"/>
          <w:sz w:val="32"/>
          <w:szCs w:val="32"/>
        </w:rPr>
        <w:t>、有关建议</w:t>
      </w:r>
    </w:p>
    <w:p w14:paraId="064CA2C9">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1.建立动态化经费分配调整机制，通过基层需求调研与任务优先级评估，优化资金流向规划，重点强化装备更新、技能培训等关键领域投入，配套建立资金使用效益跟踪评估体系，确保经费投入与警务实战需求动态适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2.构建全域资源配置动态评估模型，结合辖区治安态势、人口流动特征等维度制定差异化配置标准，完善跨区域资源协调调度机制，通过信息化平台实现人力与装备的精准调配，缩小区域服务能力差距。</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3.推行“需求导向+分层分类”培训模式，联合实战单位开发情景模拟、案例教学等定制化课程，建立培训后技能应用追踪机制，将实战任务完成质量纳入培训成效评价体系，促进能力转化闭环管理。</w:t>
      </w:r>
    </w:p>
    <w:p w14:paraId="173D3727">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、其他需要说明的问题</w:t>
      </w:r>
    </w:p>
    <w:p w14:paraId="310E7D16">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（三）评价结果分别编入政府决算和部门预算，报送本级人民代表大会常务委员会，并依法予以公开。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（四）我单位对上述项目支出绩效评价报告内反映内容的真实性、完整性负责，接受上级部门及社会公众监督。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附件1：项目支出绩效评价体系</w:t>
      </w:r>
    </w:p>
    <w:p w14:paraId="51988E8E">
      <w:pPr>
        <w:spacing w:line="540" w:lineRule="exact"/>
        <w:ind w:firstLine="567"/>
        <w:rPr>
          <w:rStyle w:val="18"/>
          <w:rFonts w:ascii="仿宋" w:hAnsi="仿宋" w:eastAsia="仿宋"/>
          <w:b w:val="0"/>
          <w:spacing w:val="-4"/>
          <w:sz w:val="32"/>
          <w:szCs w:val="32"/>
        </w:rPr>
      </w:pPr>
    </w:p>
    <w:p w14:paraId="56A4B624">
      <w:pPr>
        <w:spacing w:line="540" w:lineRule="exact"/>
        <w:ind w:firstLine="567"/>
        <w:rPr>
          <w:rStyle w:val="18"/>
          <w:rFonts w:ascii="仿宋" w:hAnsi="仿宋" w:eastAsia="仿宋"/>
          <w:b w:val="0"/>
          <w:spacing w:val="-4"/>
          <w:sz w:val="32"/>
          <w:szCs w:val="32"/>
        </w:rPr>
      </w:pPr>
    </w:p>
    <w:p w14:paraId="1A9E6BE6">
      <w:pPr>
        <w:spacing w:line="540" w:lineRule="exact"/>
        <w:ind w:firstLine="567"/>
        <w:rPr>
          <w:rStyle w:val="18"/>
          <w:rFonts w:ascii="仿宋" w:hAnsi="仿宋" w:eastAsia="仿宋"/>
          <w:b w:val="0"/>
          <w:spacing w:val="-4"/>
          <w:sz w:val="32"/>
          <w:szCs w:val="32"/>
        </w:rPr>
      </w:pPr>
    </w:p>
    <w:p w14:paraId="488F9219">
      <w:pPr>
        <w:spacing w:line="540" w:lineRule="exact"/>
        <w:rPr>
          <w:rStyle w:val="18"/>
          <w:rFonts w:ascii="仿宋" w:hAnsi="仿宋" w:eastAsia="仿宋"/>
          <w:b w:val="0"/>
          <w:spacing w:val="-4"/>
          <w:sz w:val="32"/>
          <w:szCs w:val="32"/>
        </w:rPr>
      </w:pPr>
      <w:bookmarkStart w:id="0" w:name="_GoBack"/>
      <w:bookmarkEnd w:id="0"/>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19391E79">
        <w:pPr>
          <w:pStyle w:val="12"/>
          <w:jc w:val="center"/>
        </w:pPr>
        <w:r>
          <w:fldChar w:fldCharType="begin"/>
        </w:r>
        <w:r>
          <w:instrText xml:space="preserve">PAGE   \* MERGEFORMAT</w:instrText>
        </w:r>
        <w:r>
          <w:fldChar w:fldCharType="separate"/>
        </w:r>
        <w:r>
          <w:rPr>
            <w:lang w:val="zh-CN"/>
          </w:rPr>
          <w:t>2</w:t>
        </w:r>
        <w:r>
          <w:fldChar w:fldCharType="end"/>
        </w:r>
      </w:p>
    </w:sdtContent>
  </w:sdt>
  <w:p w14:paraId="160C237E">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FE139B"/>
    <w:rsid w:val="1F13208A"/>
    <w:rsid w:val="3029612C"/>
    <w:rsid w:val="32A221C5"/>
    <w:rsid w:val="33F20F2A"/>
    <w:rsid w:val="34C44675"/>
    <w:rsid w:val="3B5B5607"/>
    <w:rsid w:val="3CE21B3C"/>
    <w:rsid w:val="46AD611F"/>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29</Pages>
  <Words>10900</Words>
  <Characters>11596</Characters>
  <Lines>4</Lines>
  <Paragraphs>1</Paragraphs>
  <TotalTime>13</TotalTime>
  <ScaleCrop>false</ScaleCrop>
  <LinksUpToDate>false</LinksUpToDate>
  <CharactersWithSpaces>11743</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WPS_1591167138</cp:lastModifiedBy>
  <cp:lastPrinted>2018-12-31T10:56:00Z</cp:lastPrinted>
  <dcterms:modified xsi:type="dcterms:W3CDTF">2025-08-12T05:44:29Z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86A4BE803B594D54BB30BEB283D7FDDD_13</vt:lpwstr>
  </property>
  <property fmtid="{D5CDD505-2E9C-101B-9397-08002B2CF9AE}" pid="4" name="KSOTemplateDocerSaveRecord">
    <vt:lpwstr>eyJoZGlkIjoiYjAwZDY0MzljNDE2MjBkZjY5ZjY0ODNhMGVjMWM0N2EiLCJ1c2VySWQiOiIxMDA1MzM3ODU4In0=</vt:lpwstr>
  </property>
</Properties>
</file>