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5804E6">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B948F36">
      <w:pPr>
        <w:spacing w:line="540" w:lineRule="exact"/>
        <w:jc w:val="center"/>
        <w:rPr>
          <w:rFonts w:ascii="华文中宋" w:hAnsi="华文中宋" w:eastAsia="华文中宋" w:cs="宋体"/>
          <w:b/>
          <w:kern w:val="0"/>
          <w:sz w:val="52"/>
          <w:szCs w:val="52"/>
        </w:rPr>
      </w:pPr>
    </w:p>
    <w:p w14:paraId="33A3D6B4">
      <w:pPr>
        <w:spacing w:line="540" w:lineRule="exact"/>
        <w:jc w:val="center"/>
        <w:rPr>
          <w:rFonts w:ascii="华文中宋" w:hAnsi="华文中宋" w:eastAsia="华文中宋" w:cs="宋体"/>
          <w:b/>
          <w:kern w:val="0"/>
          <w:sz w:val="52"/>
          <w:szCs w:val="52"/>
        </w:rPr>
      </w:pPr>
    </w:p>
    <w:p w14:paraId="49FBB9AA">
      <w:pPr>
        <w:spacing w:line="540" w:lineRule="exact"/>
        <w:jc w:val="center"/>
        <w:rPr>
          <w:rFonts w:ascii="华文中宋" w:hAnsi="华文中宋" w:eastAsia="华文中宋" w:cs="宋体"/>
          <w:b/>
          <w:kern w:val="0"/>
          <w:sz w:val="52"/>
          <w:szCs w:val="52"/>
        </w:rPr>
      </w:pPr>
    </w:p>
    <w:p w14:paraId="7D16229A">
      <w:pPr>
        <w:spacing w:line="540" w:lineRule="exact"/>
        <w:jc w:val="center"/>
        <w:rPr>
          <w:rFonts w:ascii="华文中宋" w:hAnsi="华文中宋" w:eastAsia="华文中宋" w:cs="宋体"/>
          <w:b/>
          <w:kern w:val="0"/>
          <w:sz w:val="52"/>
          <w:szCs w:val="52"/>
        </w:rPr>
      </w:pPr>
    </w:p>
    <w:p w14:paraId="462178DC">
      <w:pPr>
        <w:spacing w:line="540" w:lineRule="exact"/>
        <w:jc w:val="center"/>
        <w:rPr>
          <w:rFonts w:ascii="华文中宋" w:hAnsi="华文中宋" w:eastAsia="华文中宋" w:cs="宋体"/>
          <w:b/>
          <w:kern w:val="0"/>
          <w:sz w:val="52"/>
          <w:szCs w:val="52"/>
        </w:rPr>
      </w:pPr>
    </w:p>
    <w:p w14:paraId="0D6D1C1D">
      <w:pPr>
        <w:spacing w:line="540" w:lineRule="exact"/>
        <w:jc w:val="center"/>
        <w:rPr>
          <w:rFonts w:ascii="华文中宋" w:hAnsi="华文中宋" w:eastAsia="华文中宋" w:cs="宋体"/>
          <w:b/>
          <w:kern w:val="0"/>
          <w:sz w:val="52"/>
          <w:szCs w:val="52"/>
        </w:rPr>
      </w:pPr>
    </w:p>
    <w:p w14:paraId="466BEFE2">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B5354C8">
      <w:pPr>
        <w:spacing w:line="540" w:lineRule="exact"/>
        <w:jc w:val="center"/>
        <w:rPr>
          <w:rFonts w:ascii="华文中宋" w:hAnsi="华文中宋" w:eastAsia="华文中宋" w:cs="宋体"/>
          <w:b/>
          <w:kern w:val="0"/>
          <w:sz w:val="52"/>
          <w:szCs w:val="52"/>
        </w:rPr>
      </w:pPr>
    </w:p>
    <w:p w14:paraId="3D409498">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55F5D875">
      <w:pPr>
        <w:spacing w:line="540" w:lineRule="exact"/>
        <w:jc w:val="center"/>
        <w:rPr>
          <w:rFonts w:hAnsi="宋体" w:eastAsia="仿宋_GB2312" w:cs="宋体"/>
          <w:kern w:val="0"/>
          <w:sz w:val="30"/>
          <w:szCs w:val="30"/>
        </w:rPr>
      </w:pPr>
    </w:p>
    <w:p w14:paraId="7626E855">
      <w:pPr>
        <w:spacing w:line="540" w:lineRule="exact"/>
        <w:jc w:val="center"/>
        <w:rPr>
          <w:rFonts w:hAnsi="宋体" w:eastAsia="仿宋_GB2312" w:cs="宋体"/>
          <w:kern w:val="0"/>
          <w:sz w:val="30"/>
          <w:szCs w:val="30"/>
        </w:rPr>
      </w:pPr>
    </w:p>
    <w:p w14:paraId="6C8AA593">
      <w:pPr>
        <w:spacing w:line="540" w:lineRule="exact"/>
        <w:jc w:val="center"/>
        <w:rPr>
          <w:rFonts w:hAnsi="宋体" w:eastAsia="仿宋_GB2312" w:cs="宋体"/>
          <w:kern w:val="0"/>
          <w:sz w:val="30"/>
          <w:szCs w:val="30"/>
        </w:rPr>
      </w:pPr>
    </w:p>
    <w:p w14:paraId="5E8AB978">
      <w:pPr>
        <w:spacing w:line="540" w:lineRule="exact"/>
        <w:jc w:val="center"/>
        <w:rPr>
          <w:rFonts w:hAnsi="宋体" w:eastAsia="仿宋_GB2312" w:cs="宋体"/>
          <w:kern w:val="0"/>
          <w:sz w:val="30"/>
          <w:szCs w:val="30"/>
        </w:rPr>
      </w:pPr>
    </w:p>
    <w:p w14:paraId="43564C81">
      <w:pPr>
        <w:spacing w:line="540" w:lineRule="exact"/>
        <w:jc w:val="center"/>
        <w:rPr>
          <w:rFonts w:hAnsi="宋体" w:eastAsia="仿宋_GB2312" w:cs="宋体"/>
          <w:kern w:val="0"/>
          <w:sz w:val="30"/>
          <w:szCs w:val="30"/>
        </w:rPr>
      </w:pPr>
    </w:p>
    <w:p w14:paraId="3C9B02BF">
      <w:pPr>
        <w:spacing w:line="540" w:lineRule="exact"/>
        <w:jc w:val="center"/>
        <w:rPr>
          <w:rFonts w:hAnsi="宋体" w:eastAsia="仿宋_GB2312" w:cs="宋体"/>
          <w:kern w:val="0"/>
          <w:sz w:val="30"/>
          <w:szCs w:val="30"/>
        </w:rPr>
      </w:pPr>
    </w:p>
    <w:p w14:paraId="2D1B75A5">
      <w:pPr>
        <w:spacing w:line="540" w:lineRule="exact"/>
        <w:rPr>
          <w:rFonts w:hAnsi="宋体" w:eastAsia="仿宋_GB2312" w:cs="宋体"/>
          <w:kern w:val="0"/>
          <w:sz w:val="30"/>
          <w:szCs w:val="30"/>
        </w:rPr>
      </w:pPr>
    </w:p>
    <w:p w14:paraId="1AFA6299">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94F9371">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耕地地力保护补贴</w:t>
      </w:r>
    </w:p>
    <w:p w14:paraId="28366D92">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呼图壁县农业农村局</w:t>
      </w:r>
    </w:p>
    <w:p w14:paraId="5DD56FA7">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呼图壁县农业农村局</w:t>
      </w:r>
    </w:p>
    <w:p w14:paraId="0B053434">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王忠海</w:t>
      </w:r>
    </w:p>
    <w:p w14:paraId="75C82685">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2025年06月05日</w:t>
      </w:r>
    </w:p>
    <w:p w14:paraId="1ADF17F5">
      <w:pPr>
        <w:spacing w:line="700" w:lineRule="exact"/>
        <w:ind w:firstLine="708" w:firstLineChars="236"/>
        <w:jc w:val="left"/>
        <w:rPr>
          <w:rFonts w:hAnsi="宋体" w:eastAsia="仿宋_GB2312" w:cs="宋体"/>
          <w:kern w:val="0"/>
          <w:sz w:val="30"/>
          <w:szCs w:val="30"/>
        </w:rPr>
      </w:pPr>
      <w:bookmarkStart w:id="0" w:name="_GoBack"/>
      <w:bookmarkEnd w:id="0"/>
    </w:p>
    <w:p w14:paraId="6D92C41C">
      <w:pPr>
        <w:spacing w:line="540" w:lineRule="exact"/>
        <w:rPr>
          <w:rStyle w:val="18"/>
          <w:rFonts w:ascii="黑体" w:hAnsi="黑体" w:eastAsia="黑体"/>
          <w:b w:val="0"/>
          <w:spacing w:val="-4"/>
          <w:sz w:val="32"/>
          <w:szCs w:val="32"/>
        </w:rPr>
      </w:pPr>
    </w:p>
    <w:p w14:paraId="422ABD7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30094793">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22D4860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小麦种植补贴项目的出台，是我国应对农业现代化转型和粮食安全挑战的重要举措。随着城镇化进程加快，农村劳动力流失导致耕地撂荒和“非粮化”现象加剧。在此背景下，政府自2004年起逐步构建农业补贴体系，初期以良种补贴、种粮直补和农资综合补贴“三项补贴”为主，但存在资金分散、导向性不足等问题。2015年国务院整合政策推出耕地地力保护补贴，并于2016年全面推行，2016年7月，新疆财政厅、农业厅印发《新疆维吾尔自治区农业三项补贴改革实施方案》（新财农〔2016〕147号），正式将粮食直补、良种补贴和农资综合补贴整合为耕地地力保护补贴，重点支持耕地质量提升和生态保护，标志着补贴重心从单纯增产转向耕地质量保护与粮食安全并重。近年来中央财政进一步明确耕地地力保护补贴对象为承包地农民，并通过“一卡通”直接发放，同时对抛荒或改变耕地用途的行为实施补贴资格取消，强化耕地保护刚性约束。2024年，根据自治区《2024年自治区州耕地地力保护补贴政策实施方案》和昌吉州实施方案等文件精神，农业农村局制定《呼图壁县2024年耕地地力保护补贴实施方案》，确保补贴资金安全并充分发挥效益，根据依法依规明确享有耕地承包权，耕地实际用于种植小麦、玉米、青储饲料、苜蓿等特定作物的所有合法的实际农业种植者（含农场职工）进行补贴，种植小麦的耕地，每亩补贴230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（1）项目名称：2024年耕地地力保护补贴项目（以下简称“该项目”或“项目”）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结合新疆粮食生产实际，为确保小麦种植户种植收益不降低，2024年统筹历年耕地地力保护补贴结转资金和粮食生产相关补贴资金，继续对种植小麦的耕地给予230元/亩补贴，根据2024年中央财政和自治区财政安排农业生产支持补贴资金情况，各单位自行申报2024年度冬春小麦补贴面积，核定各单位补贴资金，要求于7月30日前做好补贴资金的兑付工作，并将补贴发放到村到户明细台账报县农业农村局。我县严格按照自治州统一规定的补贴对象和条件、补贴方法和程序，组织各乡镇、农业生产经营单位认真按照程序组织农户进行了补贴作物面积的登记申报、核实、公示、汇总、上报工作。2024年4月我局组织对申报的面积进行抽查复核；开展了补贴公示，内容主要包括补贴面积、补贴金额等，公示时间不得少于5个工作日；公布了耕地地力保护补贴工作监督举报电话，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实施主体：呼图壁县农业农村局。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根据自治区、自治州耕地地力保护补贴实施方案的要求，4月2日至25日，县农业农村局组织3个核查小组，分别对全县种植小麦的乡镇及农业生产经营单位所上报的小麦面积进行了抽查核查，根据县、乡镇抽查核查结果，2024年全县符合补贴条件的小麦种植面积为11.51736万亩，其中冬小麦种植面积为11.26986万亩，春小麦种植面积为2475亩，第一批下达资金2530.43万元，于2024年6月全部发放完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概述项目实施主体的主要职能和机构设置情况。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呼图壁县农业农村局是政府下属职能部门，属于执行行政单位会计制度的一级预算单位。主要职能：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研究拟定全县农业各产业及农村经济发展中长期规划、农业产业政策、年度工作计划，并组织实施；组织指导县种植业、畜牧业等农业产业基地及示范园建设工作；指导监督农业综合执法；参与涉农的财税、价格、收储、金融保险等政策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统筹推动发展县农村社会事业、农村公共服务、农村基础设施和乡村治理；牵头组织改善农村人居环境，统筹指导村庄整治、村容村貌提升，推进美丽乡村建设；指导农村精神文明和优秀农耕文化建设；指导农业行业安全生产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贯彻落实深化农村经济体制改革和稳定完善农村基本经营制度的政策；负责农村土地承包及承包合同管理，支持有关调解组织和农村土地承包仲裁委员会依法开展工作；指导、监督减轻农民负担和农村土地承包经营权流转及合同管理工作；负责对农村集体经济组织管理集体资产、农村集体经济审计工作进行指导、协调、监督和管理；指导农民合作经济组织、农业社会化服务体系、新型农业经营主体建设与发展；参与农村综合改革和有关农村社会事务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指导乡村特色产业、农产品加工业、休闲农业和乡镇企业发展工作。负责农产品供求信息、价格信息的收集和分析；提出促进大宗农产品流通的建议，培育、保护农业品牌；组织龙头企业和农产品加工企业开展招商引资和对外经济技术合作工作；组织对国家、自治区、自治州、县农业产业化龙头企业的初审报批和监测工作；监测分析农业农村经济运行，发布农业农村经济信息；承担农业统计和农业农村信息化有关工作，建立农业信息搜集、整理和发布制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负责种植业、畜牧业、渔业、地方国有农场、农业机械化等农业各产业的监督管理；指导粮食、棉花等农畜产品生产；组织构建现代农业产业体系、生产体系、经营体系，指导农业标准化生产；组织落实促进粮食等主要农产品生产发展的相关政策措施；引导农业产业结构合理调整、农业资源合理配置和农产品品质改善；提出有关农产品及农业生产资料价格、农村信贷、税收及农业财政补贴的政策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六、负责农产品质量安全监督管理。组织开展农产品质量安全监测、追溯、风险评估；参与制定农产品质量安全地方标准并会同有关部门组织实施；指导农产品质量安全监管、检验检测体系建设；推进农产品基地建设，指导协调农产品“三品一标”认证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七、组织县农业资源区划可持续发展工作。指导农用地、渔业水域以及农业生物物种的保护与管理，负责耕地及永久基本农田质量保护工作；指导农产品产地环境管理和农业清洁生产；指导设施农业、生态循环农业、节水农业发展以及农村可再生能源综合开发利用，指导农作物秸秆、畜禽粪便、农产品加工副产品等农业生物质产业发展；负责农业生物物种资源的保护、利用；承担外来物种相关管理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八、负责县有关农业生产资料和农业投入品的监督管理。组织农业生产资料市场体系建设，监督实施有关农业生产资料地方标准；依法开展农作物种子（种苗）、种畜禽、农药、化肥等农业投入品的许可及监督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九、负责畜牧兽医工作。指导全县畜牧业生产、养殖基地建设、畜禽产业化发展工作；监督管理兽医医政和兽药药政工作；负责官方兽医和执业兽医管理以及兽医实验室生物安全管理；负责兽药、饲料及饲料添加剂、生鲜乳生产、收购、运输环节、畜禽屠宰环节质量安全监督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负责全县农业防灾减灾、农作物重大病虫害防治工作，监测农业灾情；制定重大动物疫病控制和扑灭计划；指导动植物防疫检疫体系建设，组织监督动植物防疫、检疫及疫情扑灭工作；组织协调实施农业抗灾、防灾减灾和农业保险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一、负责农业投资管理。提出县农业投融资体制机制改革建议。研究拟订县农业重点建设项目及投资计划并监督实施；管理利用外资项目，负责农牧业投资项目、农业综合开发项目、农田整治项目、农田水利建设等农业投资项目资金安排和监督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二、承担县农业科技体制改革和农业科技创新体系建设。指导农业产业技术体系和农技推广体系建设，组织开展农业领域的高新技术和应用技术研究、科技成果转化和技术推广；组织协调和实施农业科技推广项目的遴选工作；负责农业转基因生物安全监督管理和农业植物新品种保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十三、指导农业农村人才工作。拟定县农业农村人才队伍建设规划并组织实施；指导农业教育和农业职业技能开发，指导新型职业农民培育、农业科技人才培养和农村实用人才培训工作。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十四、牵头开展农业对外合作工作。承办县农业涉外事务，参与县农业贸易促进和农业对外交流合作，提出促进县外向型农业发展的政策建议，协助有关部门组织实施有关农业援外项目。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十五、完成县党委、县人民政府交办的其他事项。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县农业农村局无下属预算单位，下设6个处室，分别是：综合科（计划财务科）、科教法规科（行政审批科）、产业发展科（县畜禽屠宰管理办公室）、市场与信息化科、农业科、畜牧兽医科（县重大动物疫病防控指挥部办公室）；下设2个副科级事业单位，分别是：农业综合执法大队、畜牧业发展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呼图壁县农业农村局单位编制数59，实有人数119人，其中：在职57人，增加3人；退休62人，增加2人；离休0人，增加0人。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本项目预算安排总额为2530.43万元，资金来源为中央资金2375万元、自治区资金155.43万元，其中：财政资金2530.43万元，其他资金0元，2024年实际收到预算资金2530.43万元，预算资金到位率为100%。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截至2024年12月31日，本项目实际支付资金2530.43万元，预算执行率100%。本项目资金主要用于支付耕地地力保护补贴（小麦），补贴标准为230元/亩，涉及面积11万亩，发放金额2530.43万元。</w:t>
      </w:r>
    </w:p>
    <w:p w14:paraId="005FA5E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377CBA3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以2024年全县10个乡镇和农业生产经营单位种植的小麦为实施对象，补贴标准230元/亩，计划投入补贴资金2530.43万元，旨在通过精准化、规范化的财政支持，全面稳定小麦种植面积，保障粮食生产安全。该项目着重提升农户种植积极性，确保农民基本收益，降低因农资价格上涨、自然灾害等带来的经营风险；同时推动良种推广、高效节水技术应用及绿色生产方式普及，促进小麦产业提质增效。通过资金直达农户账户、全流程公开监管等措施，强化政策执行透明度与公平性，助力构建可持续的粮食生产体系，为县域农业高质量发展和乡村振兴提供坚实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“小麦补贴面积”指标，预期指标值为“&gt;=11万亩”；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“补贴资金兑付率”指标，预期指标值为“&gt;=95%”；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“完成农民补贴资金兑付时限”指标，预期指标值为“2024年7月30日前”；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“补贴标准”指标，预期指标值为“=230元/亩”；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“粮食综合生产能力明显提升”指标，预期指标值为“明显提升”；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“资金使用重大违规违纪问题”指标，预期指标值为“=0”；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“耕地地力保护补贴政策群众满意度”指标，预期指标值为“&gt;=95%”。</w:t>
      </w:r>
    </w:p>
    <w:p w14:paraId="31ED552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0C7888F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4024DD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我局总结经验、发现问题、改进工作，旨在提升财政资金使用效能、保障惠农政策精准落地、推动农业产业高质量发展，切实维护种粮农民合法权益，助力乡村振兴战略实施和粮食安全体系建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此次我单位根据《财政支出绩效评价管理暂行办法》（财预〔2020〕10号）文件要求实施评价工作，本次评价对象为2024年耕地地力保护补贴项目，评价核心为项目资金、项目产出、项目效益。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(5)《耕地建设与利用资金管理办法&gt;的通知》（财农〔2023〕12号）;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(6)《新疆维吾尔自治区耕地建设与利用资金管理实施细则》</w:t>
      </w:r>
    </w:p>
    <w:p w14:paraId="681DFD8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69F813F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定量分析法、定性分析法以及成本效益分析法对项目进行评价，旨在通过综合分析影响绩效目标实现、实施效果的内外部因素，从而评价本项目绩效。三级指标分析环节：总体采用定量分析法，同时辅以定性分析法以及成本效益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定量分析法：通过量化指标（如参保率、保费补贴资金到位率、赔付率等）进行数据统计与趋势分析，衡量政策执行效率和资金使用效果。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定性分析法：通过访谈、问卷调查、实地调研等方式，收集农户、保险公司及政府部门的主观反馈，评估政策满意度、实施障碍及社会影响。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成本效益分析法：通过比较项目投入（如财政补贴资金）与产出（如风险保障金额、减少的灾后损失），评估资金使用效益。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2952ED2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6BAD3A9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局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王忠海：主要负责项目策划和监督，全面负责项目绩效评价稿的最终质量，对评估人员出具的最终报告质量进行复核，确保评估结果的客观性；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郭建芸：主要负责资料的收集，取证、数据统计分析；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张曦、张小虎：主要负责主要负责项目报告的制定，指标的研判，数据分析及报告撰写。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2025年3月02日-3月10日，评价工作进入实施阶段。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种植小麦的农户。我们根据绩效评价目标和绩效指标体系，设计满意度调查问卷进行问卷调查，其中种植面积10（不含10亩）-50亩（含50亩）受益对象共选取样本18人，共发放问卷18份，最终收回18份；种植面积50（不含50亩）-100亩（含100亩）受益对象共选取样本3人，共发放问卷3份，最终收回3份；种植面积100亩以上受益对象共选取样本9人，共发放问卷9份，最终收回9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2025年3月11日-3月20日，评价小组按照绩效评价的原则和规范，对取得的资料进行审查核实，对采集的数据进行分析，按照绩效评价指标评分表逐项进行打分、分析、汇总各方评价结果。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8ADB35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72D89B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了年初设立的绩效目标，在实施过程中取得了良好的成效，具体表现在：通过项目的实施，完成了11万亩小麦耕地地力保护补贴资金的发放，提高了农户种粮积极性，有效保障农民利益，对保障国家粮食安全、促进乡村振兴和农业高质量发展奠定了基础。但在实施过程中也存在一些不足：如部分农民对政策理解存在偏差、补贴标准有待进一步完善、监测与评估体系需强化、促进农业产业化发力不够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项目产出类指标共设置3个，满分指标3个，得分率100%；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项目效益类指标共设置3个，满分指标3个，得分率100%。</w:t>
      </w:r>
    </w:p>
    <w:p w14:paraId="4FBDDBA4">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AC0341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01F8370">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财政部农业农村部下发的《耕地建设与利用资金管理办法&gt;的通知》（财农〔2023〕12号）》中：“资金需用于耕地地力保护、高标准农田建设等重点任务，并要求实施全过程绩效管理”，符合国家法律法规、国民经济发展规划和相关政策；本项目立项符合自治区财政厅和农业农村厅下发的《新疆维吾尔自治区耕地建设与利用资金管理实施细则》中：“资金分配需结合粮食产量、绩效评价结果等因素，并明确耕地地力保护补贴的支出方向”内容，符合行业发展规划和政策要求；本项目立项符合《呼图壁县农业农村局三定方案》中职责范围中的“惠农政策补贴发放”，属于我单位履职所需；根据《财政资金直接支付申请书》，本项目资金性质为“公共财政预算”功能分类为“耕地建设与利用”经济分类为“个人农业生产补贴”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昌吉州农业农村局下发的《关于印发2024年昌吉州耕地地力保护补贴等4个项目实施方案的通知》（昌州农函〔2024〕41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以2024年全县10个乡镇和农业生产经营单位种植的小麦为实施对象，每亩补贴230元，投入补贴资金2530.43万元，旨在全面稳定小麦种植面积，保障粮食生产安全，提升农户种植积极性，确保农民基本收益，降低种植风险”；本项目实际工作内容为：完成了全县11万亩小麦的补贴发放，补贴标准230元/亩，发放资金2530.43万元；绩效目标与实际工作内容一致，两者具有相关性;本项目预算申请资金2530.43万元，预算确定资金量与实际工作任务相匹配。本项目按照绩效目标完成了数量指标、质量指标、时效指标、成本指标，有效保障了粮食生产安全，提升了农户种植积极性，确保农民基本收益，，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3个，三级指标7个，定量指标5个，定性指标2个，指标量化率为71.4%，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本项目预算编制通过自治区资金预算文件得出，即预算编制较科学且经过论证；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预算申请内容为耕地地力保护补贴，项目实际内容为耕地地力保护补贴，预算申请与《呼图壁县2024年耕地地力保护补贴项目实施方案》中涉及的项目内容匹配；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2530.43万元，我单位在预算申请中严格按照单位标准和数量进行核算，其中：补贴标准为230元/亩，小麦种植面积11万亩。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提前下达2024年中央耕地建设与利用资金预算的通知》（昌州财农〔2023〕50号）和《关于提前下达2024年自治区农业生产发展资金预算（耕地地力保护补贴）的通知》（昌州财农〔2023〕72号）等文件为依据进行资金分配，预算资金分配依据充分。根据上述文件显示，本项目实际到位资金2530.43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5C258843">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4B83D1E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本项目预算资金为2530.43万元，其中中央资金2375万元，自治区资金155.43万元，实际到位资金2530.43万元，资金到位率=（实际到位资金/预算资金）×100.00%=（2530.43/2530.43）*100.00%=100%。得分=资金到位率*分值=100%*4=4分。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本项目实际支出资金2530.43万元，预算执行率=（实际支出资金/实际到位资金）×100.00%=（2530.43/2530.43）*100.00%=100%。得分=预算执行率*分值=100%*5=5分。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农业农村局项目管理办法》《农业生产发展资金管理办法》（财农〔2023〕4号），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我单位已制定《农业农村局财务管理办法》《农业农村局项目管理办法》，上述已建立的制度均符合行政事业单位内控管理要求，财务和业务管理制度合法、合规、完整，本项目执行符合上述制度规定。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资金支付凭证、种植清册等资料齐全并及时进行了归档。项目资金支出严格按照自治区、地区、市以及本单位资金管理办法执行，项目启动实施后，为了加快本项目的实施，成立了耕地地力保护补贴项目工作领导小组，由党组副书记、局长王忠海任组长，负责项目的组织工作；郭建芸任副组长，负责项目的实施工作；组员包括：张曦、张小虎，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442B159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83139A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“小麦补贴面积”指标，预期指标值为“=11万亩”；实际完成指标值为“=11万亩”，指标完成率为100.0%；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“补贴资金兑付率”指标，预期指标值为“&gt;=95%”；实际完成指标值为=95%，指标完成率为100.0%。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“完成农民补贴资金兑付时限”指标，预期指标值为“2024年7月30日前”，实际完成指标值为达到预期指标，指标完成率为100.0%。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“种植冬小麦耕地地力保护补贴标准”指标：预期指标值为“=230元/亩”，实际完成指标值为“=230元/亩”，指标完成率为100%。综上所述，本指标满分为10.0分，根据评分标准得10.0分。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12A01D9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734921A5">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项目效益类指标由2个二级指标和3个三级指标构成，权重分30.0分，实际得分30分。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“粮食综合生产能力良好提升”指标，预期指标值为“明显提升”，实际完成指标为“达到预期指标”，指标完成率100%。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“资金使用重大违规违纪问题”指标，预期指标值为“=0”，实际完成指标为“=0”，指标完成率100。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544D9CA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“耕地地力保护补贴政策群众满意度”指标：预期指标值为“&gt;=95%”，实际完成指标值为“=95%”，指标完成率为100%。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255BF61C">
      <w:pPr>
        <w:spacing w:line="540" w:lineRule="exact"/>
        <w:ind w:firstLine="567"/>
        <w:rPr>
          <w:rStyle w:val="18"/>
          <w:rFonts w:hint="eastAsia" w:ascii="楷体" w:hAnsi="楷体" w:eastAsia="楷体"/>
          <w:b w:val="0"/>
          <w:bCs w:val="0"/>
          <w:spacing w:val="-4"/>
          <w:sz w:val="32"/>
          <w:szCs w:val="32"/>
        </w:rPr>
      </w:pPr>
    </w:p>
    <w:p w14:paraId="77FB68D2">
      <w:pPr>
        <w:spacing w:line="540" w:lineRule="exact"/>
        <w:ind w:firstLine="567"/>
        <w:rPr>
          <w:rStyle w:val="18"/>
          <w:rFonts w:ascii="楷体" w:hAnsi="楷体" w:eastAsia="楷体"/>
          <w:spacing w:val="-4"/>
          <w:sz w:val="32"/>
          <w:szCs w:val="32"/>
        </w:rPr>
      </w:pPr>
    </w:p>
    <w:p w14:paraId="7DB46615">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155AFAD">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组织层面，构建多部门协同机制，整合农业、财政、乡镇政府等力量，明确职责分工，形成政策落实合力。通过分级培训、政策宣讲等方式，强化基层干部对补贴标准的理解，确保政策执行不走样。同时，依托村委会、合作社等基层网络，广泛动员农户参与申报，提升政策覆盖面和知晓率，形成“自上而下推动、自下而上响应”的良性互动。政策宣传到位，农民参与积极性高。通过多种渠道广泛宣传补贴政策，使农民充分了解政策内容和申报流程，提高了参与积极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补贴资金及时发放，有效保障农民利益。结合花生、大豆种植特点和市场需求，制定了补贴方案。严格按照规定程序及时发放补贴资金，确保资金直达农民手中，有效保障了农民利益，提高了农民种植大豆花生的积极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3.加强技术指导，提高种植效益。组织农业技术人员深入田间地头，开展技术培训和指导，帮助农民解决种植过程中遇到的技术难题，提高种植效益。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多部门协作与全流程监管：建立农业农村局、财政局、纪委监委联合工作组，通过“村级申报-乡镇初审-县级复核-公示发放”四步流程，确保补贴精准到户。确保补贴与种植面积、农户信息精准匹配。通过定期督导检查、随机抽查等方式动态跟踪项目进展，确保政策执行与目标一致，及时纠偏堵漏，保障项目公平性和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根源在于技术支撑不足、政策精准性欠缺、监管体系不完善、农户主体作用未充分发挥。未来需通过优化核查技术、简化发放流程、强化动态调整机制、引入多元监督等方式系统性改进，推动补贴政策从“粗放普适”向“精准高效”转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一、申报数据准确性不足：种植面积核实存在偏差，部分农户虚报面积，或基层核查不严导致“虚假面积”冒领补贴。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原因分析：技术手段局限：过度依赖人工核查，卫星遥感、大数据等信息化技术覆盖不足，难以精准匹配实际种植情况；未建立种植周期内的动态核查机制，导致申报数据与实际情况脱节。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二、资金发放效率与公平性待提升：补贴资金发放不及时。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流程繁琐，多部门审批环节冗长，资金拨付流程复杂，影响时效性；信息不对称，农户对补贴政策理解不足，申报材料不完整或错过申报期限；区域差异，部分地区财政配套能力弱，导致补贴标准执行不统一，加剧区域不公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三、政策执行存在“一刀切”现象：补贴标准与种植成本、市场波动脱节，未能精准匹配不同农户需求。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政策设计僵化：补贴标准长期固定，未建立与农资价格、粮食市场价联动的动态调整机制；分类施策不足：未区分小农户与规模经营主体、普通小麦与优质专用小麦的差异化补贴需求；基层灵活性缺失：地方缺乏根据实际调整补贴细则的权限，导致政策适应性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四、监管与问责机制不健全：违规操作难以及时发现，追责力度不足，影响政策公信力。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监管力量薄弱：基层监管人员数量不足，专业能力有限，难以覆盖全部核查对象；透明度不足：公示范围局限，农户监督渠道不畅，违规行为隐蔽性高；问责力度偏软：对虚报、截留等行为多以追回资金为主，缺乏行政处罚或法律震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五、农户参与与获得感不足：部分农户对补贴政策知晓率低，或认为补贴金额对种植积极性拉动有限。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宣传方式单一：依赖传统渠道（如村广播、公告栏），未有效利用新媒体或入户讲解；补贴力度偏低：补贴金额未与种植成本同步增长，难以抵消农资价格上涨压力；间接效益未显化：补贴未与技术服务、市场对接等配套措施结合，农户获得感停留在“输血”层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六、长效机制与可持续性不足：过度依赖财政补贴，未形成农户自主增收的内生动力。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政策目标短期化：侧重完成当年种植任务，忽视对技术推广、品牌培育等长期投入；产业联动不足：补贴未与小麦深加工、销售渠道拓展等产业链环节有效衔接；生态成本未纳入：补贴发放未与耕地保护、绿色种植等生态效益挂钩，可持续性受限。</w:t>
      </w:r>
    </w:p>
    <w:p w14:paraId="0DFFBDA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5AABE0AC">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一、提升申报数据精准性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推广卫星遥感、无人机航拍与物联网技术，构建“天空地”一体化监测体系，实现种植面积自动化核查与动态更新。打通农业、自然资源等部门数据壁垒，建立农户种植信息共享平台，避免重复申报。在种植周期内开展多轮次交叉核验（如播种期、生长期、收获期），减少数据滞后性。对疑似虚报区域进行实地抽查，结合农户举证验证真实性。对故意虚报面积者纳入信用黑名单，取消未来3年补贴资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二、优化资金发放效率与公平性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简化审批流程，面积核实完成后，压缩审批时间至15个工作日内。统一标准与区域平衡，制定全国统一的补贴基准线，允许地方根据财政能力上浮补贴比例，但禁止下调。增强政策透明度，通过短信、APP推送等方式向农户实时反馈审核进度，公示期内设置异议申诉窗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三、推动补贴政策精准化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建立动态调整机制，补贴标准与农资价格指数、小麦市场价挂钩，每年调整一次，确保覆盖种植成本。对优质专用小麦、节水品种等给予额外补贴，引导种植结构优化。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四、构建全链条监管与问责体系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引入多元监督力量，委托第三方机构（如审计公司、高校团队）独立核查资金流向与政策效果。设立举报奖励制度，鼓励村民、合作社监督虚报、截留等行为。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五、增强农户参与感与获得感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创新宣传与服务模式，组织“政策宣讲团”进村入户，采用方言短视频、直播答疑等新媒体扩大覆盖。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六、建立可持续发展长效机制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推动“补贴驱动”向“产业驱动”转型，统筹补贴资金与产业链建设，支持小麦深加工、区域品牌打造，提升附加值。鼓励合作社、龙头企业与农户签订“保底收购+分红”协议，减少市场波动风险。嵌入生态补偿机制，将耕地地力保护、秸秆还田等生态行为纳入补贴考核，发放“绿色种植积分”兑换额外奖励。</w:t>
      </w:r>
    </w:p>
    <w:p w14:paraId="6EA4913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22B4778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附件1：项目支出绩效评价体系</w:t>
      </w:r>
    </w:p>
    <w:p w14:paraId="1A9879A4">
      <w:pPr>
        <w:spacing w:line="540" w:lineRule="exact"/>
        <w:ind w:firstLine="567"/>
        <w:rPr>
          <w:rStyle w:val="18"/>
          <w:rFonts w:ascii="仿宋" w:hAnsi="仿宋" w:eastAsia="仿宋"/>
          <w:b w:val="0"/>
          <w:spacing w:val="-4"/>
          <w:sz w:val="32"/>
          <w:szCs w:val="32"/>
        </w:rPr>
      </w:pPr>
    </w:p>
    <w:p w14:paraId="5413EE35">
      <w:pPr>
        <w:spacing w:line="540" w:lineRule="exact"/>
        <w:ind w:firstLine="567"/>
        <w:rPr>
          <w:rStyle w:val="18"/>
          <w:rFonts w:ascii="仿宋" w:hAnsi="仿宋" w:eastAsia="仿宋"/>
          <w:b w:val="0"/>
          <w:spacing w:val="-4"/>
          <w:sz w:val="32"/>
          <w:szCs w:val="32"/>
        </w:rPr>
      </w:pPr>
    </w:p>
    <w:p w14:paraId="19304C5B">
      <w:pPr>
        <w:spacing w:line="540" w:lineRule="exact"/>
        <w:ind w:firstLine="567"/>
        <w:rPr>
          <w:rStyle w:val="18"/>
          <w:rFonts w:ascii="仿宋" w:hAnsi="仿宋" w:eastAsia="仿宋"/>
          <w:b w:val="0"/>
          <w:spacing w:val="-4"/>
          <w:sz w:val="32"/>
          <w:szCs w:val="32"/>
        </w:rPr>
      </w:pPr>
    </w:p>
    <w:p w14:paraId="481F6559">
      <w:pPr>
        <w:spacing w:line="540" w:lineRule="exact"/>
        <w:ind w:firstLine="567"/>
        <w:rPr>
          <w:rStyle w:val="18"/>
          <w:rFonts w:ascii="仿宋" w:hAnsi="仿宋" w:eastAsia="仿宋"/>
          <w:b w:val="0"/>
          <w:spacing w:val="-4"/>
          <w:sz w:val="32"/>
          <w:szCs w:val="32"/>
        </w:rPr>
      </w:pPr>
    </w:p>
    <w:p w14:paraId="03366424">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A872FAD">
        <w:pPr>
          <w:pStyle w:val="12"/>
          <w:jc w:val="center"/>
        </w:pPr>
        <w:r>
          <w:fldChar w:fldCharType="begin"/>
        </w:r>
        <w:r>
          <w:instrText xml:space="preserve">PAGE   \* MERGEFORMAT</w:instrText>
        </w:r>
        <w:r>
          <w:fldChar w:fldCharType="separate"/>
        </w:r>
        <w:r>
          <w:rPr>
            <w:lang w:val="zh-CN"/>
          </w:rPr>
          <w:t>2</w:t>
        </w:r>
        <w:r>
          <w:fldChar w:fldCharType="end"/>
        </w:r>
      </w:p>
    </w:sdtContent>
  </w:sdt>
  <w:p w14:paraId="2C3513B4">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2752DCE"/>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 w:val="7E783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13679</Words>
  <Characters>14394</Characters>
  <Lines>4</Lines>
  <Paragraphs>1</Paragraphs>
  <TotalTime>10</TotalTime>
  <ScaleCrop>false</ScaleCrop>
  <LinksUpToDate>false</LinksUpToDate>
  <CharactersWithSpaces>14408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2025-09-22T08:04:27Z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