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D7BB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492EA37">
      <w:pPr>
        <w:spacing w:line="540" w:lineRule="exact"/>
        <w:jc w:val="center"/>
        <w:rPr>
          <w:rFonts w:ascii="华文中宋" w:hAnsi="华文中宋" w:eastAsia="华文中宋" w:cs="宋体"/>
          <w:b/>
          <w:kern w:val="0"/>
          <w:sz w:val="52"/>
          <w:szCs w:val="52"/>
        </w:rPr>
      </w:pPr>
    </w:p>
    <w:p w14:paraId="74A6AE69">
      <w:pPr>
        <w:spacing w:line="540" w:lineRule="exact"/>
        <w:jc w:val="center"/>
        <w:rPr>
          <w:rFonts w:ascii="华文中宋" w:hAnsi="华文中宋" w:eastAsia="华文中宋" w:cs="宋体"/>
          <w:b/>
          <w:kern w:val="0"/>
          <w:sz w:val="52"/>
          <w:szCs w:val="52"/>
        </w:rPr>
      </w:pPr>
    </w:p>
    <w:p w14:paraId="33C3AD0D">
      <w:pPr>
        <w:spacing w:line="540" w:lineRule="exact"/>
        <w:jc w:val="center"/>
        <w:rPr>
          <w:rFonts w:ascii="华文中宋" w:hAnsi="华文中宋" w:eastAsia="华文中宋" w:cs="宋体"/>
          <w:b/>
          <w:kern w:val="0"/>
          <w:sz w:val="52"/>
          <w:szCs w:val="52"/>
        </w:rPr>
      </w:pPr>
    </w:p>
    <w:p w14:paraId="3AF7ED19">
      <w:pPr>
        <w:spacing w:line="540" w:lineRule="exact"/>
        <w:jc w:val="center"/>
        <w:rPr>
          <w:rFonts w:ascii="华文中宋" w:hAnsi="华文中宋" w:eastAsia="华文中宋" w:cs="宋体"/>
          <w:b/>
          <w:kern w:val="0"/>
          <w:sz w:val="52"/>
          <w:szCs w:val="52"/>
        </w:rPr>
      </w:pPr>
    </w:p>
    <w:p w14:paraId="48A1A3AB">
      <w:pPr>
        <w:spacing w:line="540" w:lineRule="exact"/>
        <w:jc w:val="center"/>
        <w:rPr>
          <w:rFonts w:ascii="华文中宋" w:hAnsi="华文中宋" w:eastAsia="华文中宋" w:cs="宋体"/>
          <w:b/>
          <w:kern w:val="0"/>
          <w:sz w:val="52"/>
          <w:szCs w:val="52"/>
        </w:rPr>
      </w:pPr>
    </w:p>
    <w:p w14:paraId="070CAAEE">
      <w:pPr>
        <w:spacing w:line="540" w:lineRule="exact"/>
        <w:jc w:val="center"/>
        <w:rPr>
          <w:rFonts w:ascii="华文中宋" w:hAnsi="华文中宋" w:eastAsia="华文中宋" w:cs="宋体"/>
          <w:b/>
          <w:kern w:val="0"/>
          <w:sz w:val="52"/>
          <w:szCs w:val="52"/>
        </w:rPr>
      </w:pPr>
    </w:p>
    <w:p w14:paraId="745657B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F044205">
      <w:pPr>
        <w:spacing w:line="540" w:lineRule="exact"/>
        <w:jc w:val="center"/>
        <w:rPr>
          <w:rFonts w:ascii="华文中宋" w:hAnsi="华文中宋" w:eastAsia="华文中宋" w:cs="宋体"/>
          <w:b/>
          <w:kern w:val="0"/>
          <w:sz w:val="52"/>
          <w:szCs w:val="52"/>
        </w:rPr>
      </w:pPr>
    </w:p>
    <w:p w14:paraId="046B844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3A2C6A4">
      <w:pPr>
        <w:spacing w:line="540" w:lineRule="exact"/>
        <w:jc w:val="center"/>
        <w:rPr>
          <w:rFonts w:hAnsi="宋体" w:eastAsia="仿宋_GB2312" w:cs="宋体"/>
          <w:kern w:val="0"/>
          <w:sz w:val="30"/>
          <w:szCs w:val="30"/>
        </w:rPr>
      </w:pPr>
    </w:p>
    <w:p w14:paraId="7C6192AE">
      <w:pPr>
        <w:spacing w:line="540" w:lineRule="exact"/>
        <w:jc w:val="center"/>
        <w:rPr>
          <w:rFonts w:hAnsi="宋体" w:eastAsia="仿宋_GB2312" w:cs="宋体"/>
          <w:kern w:val="0"/>
          <w:sz w:val="30"/>
          <w:szCs w:val="30"/>
        </w:rPr>
      </w:pPr>
    </w:p>
    <w:p w14:paraId="4A395534">
      <w:pPr>
        <w:spacing w:line="540" w:lineRule="exact"/>
        <w:jc w:val="center"/>
        <w:rPr>
          <w:rFonts w:hAnsi="宋体" w:eastAsia="仿宋_GB2312" w:cs="宋体"/>
          <w:kern w:val="0"/>
          <w:sz w:val="30"/>
          <w:szCs w:val="30"/>
        </w:rPr>
      </w:pPr>
    </w:p>
    <w:p w14:paraId="3CECE018">
      <w:pPr>
        <w:spacing w:line="540" w:lineRule="exact"/>
        <w:jc w:val="center"/>
        <w:rPr>
          <w:rFonts w:hAnsi="宋体" w:eastAsia="仿宋_GB2312" w:cs="宋体"/>
          <w:kern w:val="0"/>
          <w:sz w:val="30"/>
          <w:szCs w:val="30"/>
        </w:rPr>
      </w:pPr>
    </w:p>
    <w:p w14:paraId="0C874C37">
      <w:pPr>
        <w:spacing w:line="540" w:lineRule="exact"/>
        <w:jc w:val="center"/>
        <w:rPr>
          <w:rFonts w:hAnsi="宋体" w:eastAsia="仿宋_GB2312" w:cs="宋体"/>
          <w:kern w:val="0"/>
          <w:sz w:val="30"/>
          <w:szCs w:val="30"/>
        </w:rPr>
      </w:pPr>
    </w:p>
    <w:p w14:paraId="024EA6CF">
      <w:pPr>
        <w:spacing w:line="540" w:lineRule="exact"/>
        <w:jc w:val="center"/>
        <w:rPr>
          <w:rFonts w:hAnsi="宋体" w:eastAsia="仿宋_GB2312" w:cs="宋体"/>
          <w:kern w:val="0"/>
          <w:sz w:val="30"/>
          <w:szCs w:val="30"/>
        </w:rPr>
      </w:pPr>
    </w:p>
    <w:p w14:paraId="0C0A4A5D">
      <w:pPr>
        <w:spacing w:line="540" w:lineRule="exact"/>
        <w:rPr>
          <w:rFonts w:hAnsi="宋体" w:eastAsia="仿宋_GB2312" w:cs="宋体"/>
          <w:kern w:val="0"/>
          <w:sz w:val="30"/>
          <w:szCs w:val="30"/>
        </w:rPr>
      </w:pPr>
    </w:p>
    <w:p w14:paraId="37B3474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98B153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2024年农场管理相关工作经费</w:t>
      </w:r>
    </w:p>
    <w:p w14:paraId="4063845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呼图壁县农场管理中心</w:t>
      </w:r>
    </w:p>
    <w:p w14:paraId="057F4E1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呼图壁县农场管理中心</w:t>
      </w:r>
    </w:p>
    <w:p w14:paraId="6A1950B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富生忠</w:t>
      </w:r>
    </w:p>
    <w:p w14:paraId="19F160F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0F50192E">
      <w:pPr>
        <w:spacing w:line="700" w:lineRule="exact"/>
        <w:ind w:firstLine="708" w:firstLineChars="236"/>
        <w:jc w:val="left"/>
        <w:rPr>
          <w:rFonts w:hAnsi="宋体" w:eastAsia="仿宋_GB2312" w:cs="宋体"/>
          <w:kern w:val="0"/>
          <w:sz w:val="30"/>
          <w:szCs w:val="30"/>
        </w:rPr>
      </w:pPr>
    </w:p>
    <w:p w14:paraId="20DA1C64">
      <w:pPr>
        <w:spacing w:line="540" w:lineRule="exact"/>
        <w:rPr>
          <w:rStyle w:val="18"/>
          <w:rFonts w:ascii="黑体" w:hAnsi="黑体" w:eastAsia="黑体"/>
          <w:b w:val="0"/>
          <w:spacing w:val="-4"/>
          <w:sz w:val="32"/>
          <w:szCs w:val="32"/>
        </w:rPr>
      </w:pPr>
    </w:p>
    <w:p w14:paraId="733095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D42F9A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B647A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十四五”全国农业农村现代化规划》关于“提升农业综合生产能力，强化基层服务体系建设”的政策要求，当前我国农场管理面临生产效率较行业先进水平低20%、资源综合利用率不足60%、安全隐患排查覆盖率参差不齐等突出问题。为破解发展瓶颈，2024年农场管理相关工作经费项目立足政策导向，聚焦农场实地服务效能提升、安全生产保障及基础设施维护需求，通过系统性整合资源、优化管理流程，着力解决基层服务能力薄弱与安全风险防控滞后问题，为推进农业现代化、保障粮食安全生产链稳定运行提供基础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（1）项目名称：2024年农场管理相关工作经费（以下简称“该项目”或“项目”）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农管中心加大对农场的规范化管理，各项工作有序推进。1.对244家农场进行实地走访。2.对每家农场信访隐患排查2次。3.对2辆车辆日常维修、维护。4.缓解人力资源压力、聘请劳务派遣人员的经费。5.办公用品、电脑耗材。6.工作人员差旅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实施主体：呼图壁县农场管理中心。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农场管理相关工作经费2024年4月开始实施，相关经费主要用于车辆运行、工作人员差旅费、办公用品等相关费用支出。2024年12月完成了资金支出完成及时率100%，2024年12月完成了对244家农场包联到组开展政策宣传，巡查等工作，并采取日研判的工作机制，对发现的问题，明确工作方向，提出具体的解决办法。通过微信推送、电话提醒、巡查等方式，积极开展宣传教育，针对大风天气火灾隐患、用电隐患，水塘设施、机井管道维护等存在的隐患，向农场经营户推送防灾减灾、典型事故案例等相关知识67条。对存在的苗头隐患人员进行梳理，建立不放心人员台账、逐人逐案分析症结、提出方案、落实领导包联、明确处理责任，做好矛盾纠纷化解、人员稳控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呼图壁县农场管理中心是呼图壁县人民政府直属正科级事业单位，为公益一类。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单位主要职责是：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（一）贯彻执行《中华人民共和国土地管理法》等法律法规和方针政策，坚持国有土地资源的保护和利用原则，保护为主，依法用地，科学利用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（二）受县人民政府委托，对全县农场实行登记制管理，履行行政管理、经济管理和社会事务管理职责。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（三）配合自然资源部门健全完善农场国有土地用途、分类、评估的管理办法，编制农场土地利用总体规划、综合开发规划、中长期经济发展规划和年度计划。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（四）负责农场国有土地有偿使用工作。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（五）负责农场国有土地信息的收集、整理、利用和公开的日常管理工作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（六）负责农场基础设施立项申报及实施、农场统计、指导对外经济合作、科技交流、项目引进等工作。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（七）负责农场的农牧业高新技术的引进、推广等工作。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农场国有土地开发利用的可行性论证，配合有关部门组织对国有土地耕地数量、质量、生态保护实施计划的审定、土地的发包、承包合同的签订；承担对农场的土地租赁、抵押等工作进行审查和监督管理等行政辅助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（九）指导农场农业产业结构调整升级。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（十）承办县委、县人民政府交办的其他任务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呼图壁县农场管理中心无下属预算单位，按照优化协同高效原则，县农场管理中心不设内设机构。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2024年度农场管理中心人员总数20名，其中：在职11名，空编1人，退休8名，离休0名。实有人员19人。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本项目预算安排总额为30万元，资金来源为年中追加预算，其中：财政资金30万元，其他资金0万元，2024年实际收到预算资金30万元，预算资金到位率为100%。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截至2024年12月31日，本项目实际支付资金29.98万元，预算执行率99.93%。本项目资金主要用于支付办公费用4.97万元、差旅费用1.6万元、劳务费11.79万元、委托业务费1.39万元、其他交通费用10.23万元。</w:t>
      </w:r>
    </w:p>
    <w:p w14:paraId="45377A6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0A820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农管中心加大对农场的规范化管理，各项工作有序推进。1.对244家农场进行实地走访。2.对每家农场信访隐患排查2次。3.对2辆车辆日常维修、维护。4.缓解人力资源压力、聘请劳务派遣人员。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“农场实地走访数量”指标，预期指标值为“=244家”；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“保障农场信访隐患排查”指标，预期指标值为“&gt;=2次/家”；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“维修车辆数”指标，预期指标值为“&gt;=2辆”；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“保障农场信访隐患排查率”指标，预期指标值为“&gt;=90%”；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“支出完成及时率”指标，预期指标值为“=100%”；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“有效减少农场的安全隐患”指标，预期指标值为“减少”；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2B702B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B4CD68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D048E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量化分析、检验经费使用的规范性、目标达成度及综合效益。安全隐患总量下降，加强了基层治理能力、农业生产安全管理能力提高，资金流向合规性，识别管理薄弱环节、预算精准分配及长效机制建设提供数据支撑，最终实现花钱必问效、无效必问责的闭环管理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此次我单位根据《财政支出绩效评价管理暂行办法》（财预〔2020〕10号）文件要求实施评价工作，本次评价对象为2024年农场管理相关工作经费项目，评价核心为项目资金、项目产出、项目效益。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6892661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01319D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014819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7A525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赵远军（评价小组组长）：主要负责项目策划和监督，全面负责项目绩效评价办稿的最终质量，对评估人员出具的最终报告质量进行复核，确保评估结果的客观性；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苏广智（评价小组组员）：主要负责资料的收集，取证、数据统计分析；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王世清（评价小组组员）：主要负责主要负责项目报告的制定，指标的研判，数据分析及报告撰写。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包括行政事业单位及社会公众。我们根据绩效评价目标和绩效指标体系，设计满意度调查问卷进行问卷调查，其中行政事业单位受益对象共选取样本10人，共发放问卷10份，最终收回10份；社会公众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3B7F6D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79E225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有效保障了县域内家庭农场隐患排查治理，重点围绕农场的人员安全、农机安全、交通安全、消防安全、电力安全等方面，做好问题隐患整改工作，提高了县域内家庭农场有效经营，维护了家庭农场利益，使家庭农场经营运行得到有效改善，使家庭农场安全生产得到有效改善。但在实施过程中也存在一些不足1、经费过少，对强化单位队伍专业能力支撑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w:t>
      </w:r>
      <w:r>
        <w:rPr>
          <w:rStyle w:val="18"/>
          <w:rFonts w:hint="eastAsia" w:ascii="楷体" w:hAnsi="楷体" w:eastAsia="楷体"/>
          <w:b w:val="0"/>
          <w:bCs w:val="0"/>
          <w:spacing w:val="-4"/>
          <w:sz w:val="32"/>
          <w:szCs w:val="32"/>
          <w:lang w:val="en-US" w:eastAsia="zh-CN"/>
        </w:rPr>
        <w:t>99.93</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99.99</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021D6CC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47BB82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3383CD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务院颁发《中华人民共和国水法》中：“县级以上人民政府有关部门按照责任分工，负责本行政区域内水资源开发、利用、节约和保护的有关工作”，符合国家法律法规、国民经济发展规划和相关政策；中共中央、国务院颁发《信访工作条例》中“地方各级信访工作联席会议在本级党委政府领导下，负责本地区信访工作的统筹协调、整体推进、督促落实，协调处理发生在本地区的重要信访问题”，属于我单位履职所需；昌吉州十六届人民代表大会常务委员会</w:t>
      </w:r>
      <w:bookmarkStart w:id="0" w:name="_GoBack"/>
      <w:bookmarkEnd w:id="0"/>
      <w:r>
        <w:rPr>
          <w:rStyle w:val="18"/>
          <w:rFonts w:hint="eastAsia" w:ascii="楷体" w:hAnsi="楷体" w:eastAsia="楷体"/>
          <w:b w:val="0"/>
          <w:bCs w:val="0"/>
          <w:spacing w:val="-4"/>
          <w:sz w:val="32"/>
          <w:szCs w:val="32"/>
        </w:rPr>
        <w:t>第六次会议通过，新疆维吾尔自治区第十四届人民代表大会常务委员会第四次会议批准的《昌吉回族自治州地下水保护管理条例》中：“地下水保护和管理应当坚持以水定城、以水定地、以水定人、以水定产，遵循统筹规划、节水优先、高效利用、系统治理的原则”内容，符合行业发展规划和政策要求；根据《财政资金直接支付申请书》，本项目资金性质为“公共财政预算”功能分类为“一般行政管理事务”经济分类为“办公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对农场的规范化管理，各项工作有序推进，对辖区内244家农户进行实地走访，进行安全隐患排除每家2次，成本控制率达到100%，有效减少农场的安全隐患”；本项目实际工作内容为：农管中心加大对农场的规范化管理，各项工作有序推进。对244家农场进行了实地走访，对每家农场信访隐患排查2次，对2辆车辆日常维修、维护，聘请了劳务派遣人员用于缓解人力资源压力，采购了办公用品、电脑耗材；绩效目标与实际工作内容一致，两者具有相关性;本项目预算申请资金30万元，预算确定资金量与实际工作任务相匹配。本项目按照绩效目标完成了数量指标、质量指标、时效指标、成本指标，有效减少了农场的安全隐患，促进了家庭农场健康发展。各2024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本项目本项目预算编制通过历年工作情况与今年需采购设备的市场询价得出，即预算编制较科学且经过论证；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拟投入30万元用保障农场的规范化管理，各项工作业务工作正常开展，项目实际内容为车辆运行、聘请劳务派遣人员、工作人员差旅费等，保障了工作的正常开展，预算申请与《2024年农场管理相关工作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30万元，我单位在预算申请中严格按照分项成本进行核算，其中：办公经费5万元、差旅费1.6万元、劳务费11.79万元、委托业务费1.39万元、其他交通费用10.22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农场管理相关工作经费项目资金的请示》和《2024年农场管理相关工作经费项目实施方案》为依据进行资金分配，预算资金分配依据充分。根据《关于申请追加拨付农场管理相关工作经费的请示的批复》文件显示，本项目实际到位资金30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B94F3C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02D0EA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本项目预算资金为30万元，其中：本级财政安排资金30万元，其他资金0万元，实际到位资金30万元，资金到位率=（实际到位资金/预算资金）×100.00%=（30/30）*100.00%=100%。得分=资金到位率*分值=100%*4=4分。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本项目实际支出资金30万元，预算执行率=（实际到位资金</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实际支出资金）×100.00%=（30</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29.98）*100.00%=99.93%。得分=预算执行率*分值=99.93%*5=5分。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农场管理中心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农场管理中心资金管理办法》《呼图壁县农场管理中心收支业务管理制度》《呼图壁县农场管理中心政府采购业务管理制度》《呼图壁县农场管理中心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单、采购清单等资料齐全并及时进行了归档。项目资金支出严格按照自治区、地区、市以及本单位资金管理办法执行，项目启动实施后，为了加快本项目的实施，成立了2024年农场管理相关工作经费项目工作领导小组，由中心主任富生忠任组长，负责项目的组织工作；副主任赵远军任副组长，负责项目的实施工作；组员包括：苏广智和管红霞，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240B426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62E2C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“农场实地走访数量”指标，预期指标值为“=244家”；实际完成指标值为“=244家”，指标完成率为100.0%。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“保障农场信访隐患排查”指标，预期指标值为“&gt;=2次/家”；实际完成指标值为“=2次/家”，指标完成率为100.0%。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“维修车辆数”指标，预期指标值为“&gt;=2辆”；实际完成指标值为“=2辆”，指标完成率为100.0%。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“保障农场信访隐患排查率”指标，预期指标值为“&gt;=90%”实际完成指标值为“=90%”指标完成率为100.0%。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综上所述，本指标满分为6.0分，根据评分标准得6.0分。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“支出完成及时率”指标，预期指标值为“=100%”实际完成指标值为“=100%”指标完成率为100.0%。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“成本控制率”指标，预期指标值为“&lt;=100%”；实际完成指标值为“=100%万元”，指标完成率为100%。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09EA15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CEE2E2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“有效减少农场的安全隐患”指标，预期指标值为“减少”；实际完成指标值为“达到预期指标”，指标完成率为100%。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78946D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DC72358">
      <w:pPr>
        <w:spacing w:line="540" w:lineRule="exact"/>
        <w:ind w:firstLine="567"/>
        <w:rPr>
          <w:rStyle w:val="18"/>
          <w:rFonts w:hint="eastAsia" w:ascii="楷体" w:hAnsi="楷体" w:eastAsia="楷体"/>
          <w:b w:val="0"/>
          <w:bCs w:val="0"/>
          <w:spacing w:val="-4"/>
          <w:sz w:val="32"/>
          <w:szCs w:val="32"/>
        </w:rPr>
      </w:pPr>
    </w:p>
    <w:p w14:paraId="01F088C4">
      <w:pPr>
        <w:spacing w:line="540" w:lineRule="exact"/>
        <w:ind w:firstLine="567"/>
        <w:rPr>
          <w:rStyle w:val="18"/>
          <w:rFonts w:ascii="楷体" w:hAnsi="楷体" w:eastAsia="楷体"/>
          <w:spacing w:val="-4"/>
          <w:sz w:val="32"/>
          <w:szCs w:val="32"/>
        </w:rPr>
      </w:pPr>
    </w:p>
    <w:p w14:paraId="538A1D7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D109C1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领导重视是做好项目工作的关键。中心领导高度重视本次项目拨款，亲自部署、亲自协调，把钱花在刀刃上，为规范农场管理及标准化建设工作顺利开展提供了坚强保障。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干部队伍是做好规范农场管理工作的基础。我中心尽精心选聘了责任心强，业务素质高的干部，并开展了扎实的业务培训，为农场管理、以水定地工作顺利开展奠定了坚实基础。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我中心始终把农用地市场化经营模式，完善合同到期国有农用地的租赁程序，提高政府履职效能放在首位，建立健全了资金管理体系，确保了资金利用最大效益。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单位内部管理工作力量薄弱，多数以财务人员牵头开展工作，工作推动机制不全，业务人员业务能力和素质还有待进一步提升。</w:t>
      </w:r>
    </w:p>
    <w:p w14:paraId="0DA7832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50E35B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加强培训，提高相关人员工作水平。采取多种培训形式对单位财务人员、业务科室人员进行集中培训，提高本单位工作人员的管理能力和工作水平。</w:t>
      </w:r>
    </w:p>
    <w:p w14:paraId="4A4ECB4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4A69A69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67DEADE">
      <w:pPr>
        <w:spacing w:line="540" w:lineRule="exact"/>
        <w:ind w:firstLine="567"/>
        <w:rPr>
          <w:rStyle w:val="18"/>
          <w:rFonts w:ascii="仿宋" w:hAnsi="仿宋" w:eastAsia="仿宋"/>
          <w:b w:val="0"/>
          <w:spacing w:val="-4"/>
          <w:sz w:val="32"/>
          <w:szCs w:val="32"/>
        </w:rPr>
      </w:pPr>
    </w:p>
    <w:p w14:paraId="6D9FF2C7">
      <w:pPr>
        <w:spacing w:line="540" w:lineRule="exact"/>
        <w:ind w:firstLine="567"/>
        <w:rPr>
          <w:rStyle w:val="18"/>
          <w:rFonts w:ascii="仿宋" w:hAnsi="仿宋" w:eastAsia="仿宋"/>
          <w:b w:val="0"/>
          <w:spacing w:val="-4"/>
          <w:sz w:val="32"/>
          <w:szCs w:val="32"/>
        </w:rPr>
      </w:pPr>
    </w:p>
    <w:p w14:paraId="733C17CF">
      <w:pPr>
        <w:spacing w:line="540" w:lineRule="exact"/>
        <w:ind w:firstLine="567"/>
        <w:rPr>
          <w:rStyle w:val="18"/>
          <w:rFonts w:ascii="仿宋" w:hAnsi="仿宋" w:eastAsia="仿宋"/>
          <w:b w:val="0"/>
          <w:spacing w:val="-4"/>
          <w:sz w:val="32"/>
          <w:szCs w:val="32"/>
        </w:rPr>
      </w:pPr>
    </w:p>
    <w:p w14:paraId="6F39FB72">
      <w:pPr>
        <w:spacing w:line="540" w:lineRule="exact"/>
        <w:ind w:firstLine="567"/>
        <w:rPr>
          <w:rStyle w:val="18"/>
          <w:rFonts w:ascii="仿宋" w:hAnsi="仿宋" w:eastAsia="仿宋"/>
          <w:b w:val="0"/>
          <w:spacing w:val="-4"/>
          <w:sz w:val="32"/>
          <w:szCs w:val="32"/>
        </w:rPr>
      </w:pPr>
    </w:p>
    <w:p w14:paraId="76554C1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1F1A637">
        <w:pPr>
          <w:pStyle w:val="12"/>
          <w:jc w:val="center"/>
        </w:pPr>
        <w:r>
          <w:fldChar w:fldCharType="begin"/>
        </w:r>
        <w:r>
          <w:instrText xml:space="preserve">PAGE   \* MERGEFORMAT</w:instrText>
        </w:r>
        <w:r>
          <w:fldChar w:fldCharType="separate"/>
        </w:r>
        <w:r>
          <w:rPr>
            <w:lang w:val="zh-CN"/>
          </w:rPr>
          <w:t>2</w:t>
        </w:r>
        <w:r>
          <w:fldChar w:fldCharType="end"/>
        </w:r>
      </w:p>
    </w:sdtContent>
  </w:sdt>
  <w:p w14:paraId="5D4D1FF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0FF324B5"/>
    <w:rsid w:val="11BD75F7"/>
    <w:rsid w:val="13BE561A"/>
    <w:rsid w:val="15392994"/>
    <w:rsid w:val="18FE139B"/>
    <w:rsid w:val="3029612C"/>
    <w:rsid w:val="32A221C5"/>
    <w:rsid w:val="33F20F2A"/>
    <w:rsid w:val="34C44675"/>
    <w:rsid w:val="3B1E68B3"/>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9887</Words>
  <Characters>10489</Characters>
  <Lines>4</Lines>
  <Paragraphs>1</Paragraphs>
  <TotalTime>3</TotalTime>
  <ScaleCrop>false</ScaleCrop>
  <LinksUpToDate>false</LinksUpToDate>
  <CharactersWithSpaces>10506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2025-09-22T08:32:55Z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