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78E479">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B3ECC8F">
      <w:pPr>
        <w:spacing w:line="540" w:lineRule="exact"/>
        <w:jc w:val="center"/>
        <w:rPr>
          <w:rFonts w:ascii="华文中宋" w:hAnsi="华文中宋" w:eastAsia="华文中宋" w:cs="宋体"/>
          <w:b/>
          <w:kern w:val="0"/>
          <w:sz w:val="52"/>
          <w:szCs w:val="52"/>
        </w:rPr>
      </w:pPr>
      <w:bookmarkStart w:id="0" w:name="_GoBack"/>
      <w:bookmarkEnd w:id="0"/>
    </w:p>
    <w:p w14:paraId="486C01FF">
      <w:pPr>
        <w:spacing w:line="540" w:lineRule="exact"/>
        <w:jc w:val="center"/>
        <w:rPr>
          <w:rFonts w:ascii="华文中宋" w:hAnsi="华文中宋" w:eastAsia="华文中宋" w:cs="宋体"/>
          <w:b/>
          <w:kern w:val="0"/>
          <w:sz w:val="52"/>
          <w:szCs w:val="52"/>
        </w:rPr>
      </w:pPr>
    </w:p>
    <w:p w14:paraId="0B977DDC">
      <w:pPr>
        <w:spacing w:line="540" w:lineRule="exact"/>
        <w:jc w:val="center"/>
        <w:rPr>
          <w:rFonts w:ascii="华文中宋" w:hAnsi="华文中宋" w:eastAsia="华文中宋" w:cs="宋体"/>
          <w:b/>
          <w:kern w:val="0"/>
          <w:sz w:val="52"/>
          <w:szCs w:val="52"/>
        </w:rPr>
      </w:pPr>
    </w:p>
    <w:p w14:paraId="138CCF67">
      <w:pPr>
        <w:spacing w:line="540" w:lineRule="exact"/>
        <w:jc w:val="center"/>
        <w:rPr>
          <w:rFonts w:ascii="华文中宋" w:hAnsi="华文中宋" w:eastAsia="华文中宋" w:cs="宋体"/>
          <w:b/>
          <w:kern w:val="0"/>
          <w:sz w:val="52"/>
          <w:szCs w:val="52"/>
        </w:rPr>
      </w:pPr>
    </w:p>
    <w:p w14:paraId="4131AF4F">
      <w:pPr>
        <w:spacing w:line="540" w:lineRule="exact"/>
        <w:jc w:val="center"/>
        <w:rPr>
          <w:rFonts w:ascii="华文中宋" w:hAnsi="华文中宋" w:eastAsia="华文中宋" w:cs="宋体"/>
          <w:b/>
          <w:kern w:val="0"/>
          <w:sz w:val="52"/>
          <w:szCs w:val="52"/>
        </w:rPr>
      </w:pPr>
    </w:p>
    <w:p w14:paraId="4D877C1A">
      <w:pPr>
        <w:spacing w:line="540" w:lineRule="exact"/>
        <w:jc w:val="center"/>
        <w:rPr>
          <w:rFonts w:ascii="华文中宋" w:hAnsi="华文中宋" w:eastAsia="华文中宋" w:cs="宋体"/>
          <w:b/>
          <w:kern w:val="0"/>
          <w:sz w:val="52"/>
          <w:szCs w:val="52"/>
        </w:rPr>
      </w:pPr>
    </w:p>
    <w:p w14:paraId="0F398B7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1F79F0AF">
      <w:pPr>
        <w:spacing w:line="540" w:lineRule="exact"/>
        <w:jc w:val="center"/>
        <w:rPr>
          <w:rFonts w:ascii="华文中宋" w:hAnsi="华文中宋" w:eastAsia="华文中宋" w:cs="宋体"/>
          <w:b/>
          <w:kern w:val="0"/>
          <w:sz w:val="52"/>
          <w:szCs w:val="52"/>
        </w:rPr>
      </w:pPr>
    </w:p>
    <w:p w14:paraId="13A27155">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10F30A9B">
      <w:pPr>
        <w:spacing w:line="540" w:lineRule="exact"/>
        <w:jc w:val="center"/>
        <w:rPr>
          <w:rFonts w:hAnsi="宋体" w:eastAsia="仿宋_GB2312" w:cs="宋体"/>
          <w:kern w:val="0"/>
          <w:sz w:val="30"/>
          <w:szCs w:val="30"/>
        </w:rPr>
      </w:pPr>
    </w:p>
    <w:p w14:paraId="76D6E4E2">
      <w:pPr>
        <w:spacing w:line="540" w:lineRule="exact"/>
        <w:jc w:val="center"/>
        <w:rPr>
          <w:rFonts w:hAnsi="宋体" w:eastAsia="仿宋_GB2312" w:cs="宋体"/>
          <w:kern w:val="0"/>
          <w:sz w:val="30"/>
          <w:szCs w:val="30"/>
        </w:rPr>
      </w:pPr>
    </w:p>
    <w:p w14:paraId="0BAF3EB5">
      <w:pPr>
        <w:spacing w:line="540" w:lineRule="exact"/>
        <w:jc w:val="center"/>
        <w:rPr>
          <w:rFonts w:hAnsi="宋体" w:eastAsia="仿宋_GB2312" w:cs="宋体"/>
          <w:kern w:val="0"/>
          <w:sz w:val="30"/>
          <w:szCs w:val="30"/>
        </w:rPr>
      </w:pPr>
    </w:p>
    <w:p w14:paraId="55A67057">
      <w:pPr>
        <w:spacing w:line="540" w:lineRule="exact"/>
        <w:jc w:val="center"/>
        <w:rPr>
          <w:rFonts w:hAnsi="宋体" w:eastAsia="仿宋_GB2312" w:cs="宋体"/>
          <w:kern w:val="0"/>
          <w:sz w:val="30"/>
          <w:szCs w:val="30"/>
        </w:rPr>
      </w:pPr>
    </w:p>
    <w:p w14:paraId="4C95D709">
      <w:pPr>
        <w:spacing w:line="540" w:lineRule="exact"/>
        <w:jc w:val="center"/>
        <w:rPr>
          <w:rFonts w:hAnsi="宋体" w:eastAsia="仿宋_GB2312" w:cs="宋体"/>
          <w:kern w:val="0"/>
          <w:sz w:val="30"/>
          <w:szCs w:val="30"/>
        </w:rPr>
      </w:pPr>
    </w:p>
    <w:p w14:paraId="4A6C27E5">
      <w:pPr>
        <w:spacing w:line="540" w:lineRule="exact"/>
        <w:jc w:val="center"/>
        <w:rPr>
          <w:rFonts w:hAnsi="宋体" w:eastAsia="仿宋_GB2312" w:cs="宋体"/>
          <w:kern w:val="0"/>
          <w:sz w:val="30"/>
          <w:szCs w:val="30"/>
        </w:rPr>
      </w:pPr>
    </w:p>
    <w:p w14:paraId="791E7C2C">
      <w:pPr>
        <w:spacing w:line="540" w:lineRule="exact"/>
        <w:rPr>
          <w:rFonts w:hAnsi="宋体" w:eastAsia="仿宋_GB2312" w:cs="宋体"/>
          <w:kern w:val="0"/>
          <w:sz w:val="30"/>
          <w:szCs w:val="30"/>
        </w:rPr>
      </w:pPr>
    </w:p>
    <w:p w14:paraId="442A4A74">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C002BFA">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自治区医务人员临时性工作补助（第一批，第二批）</w:t>
      </w:r>
    </w:p>
    <w:p w14:paraId="649333BC">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呼图壁县卫生健康委员会</w:t>
      </w:r>
    </w:p>
    <w:p w14:paraId="3F5E96AF">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呼图壁县卫生健康委员会</w:t>
      </w:r>
    </w:p>
    <w:p w14:paraId="1C97EF44">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周婧</w:t>
      </w:r>
    </w:p>
    <w:p w14:paraId="34E0F913">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2025年06月19日</w:t>
      </w:r>
    </w:p>
    <w:p w14:paraId="6C4FE59B">
      <w:pPr>
        <w:spacing w:line="700" w:lineRule="exact"/>
        <w:ind w:firstLine="708" w:firstLineChars="236"/>
        <w:jc w:val="left"/>
        <w:rPr>
          <w:rFonts w:hAnsi="宋体" w:eastAsia="仿宋_GB2312" w:cs="宋体"/>
          <w:kern w:val="0"/>
          <w:sz w:val="30"/>
          <w:szCs w:val="30"/>
        </w:rPr>
      </w:pPr>
    </w:p>
    <w:p w14:paraId="096B116C">
      <w:pPr>
        <w:spacing w:line="540" w:lineRule="exact"/>
        <w:rPr>
          <w:rStyle w:val="18"/>
          <w:rFonts w:ascii="黑体" w:hAnsi="黑体" w:eastAsia="黑体"/>
          <w:b w:val="0"/>
          <w:spacing w:val="-4"/>
          <w:sz w:val="32"/>
          <w:szCs w:val="32"/>
        </w:rPr>
      </w:pPr>
    </w:p>
    <w:p w14:paraId="68F9EEA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7D381515">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15DDF1A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呼图壁县卫生健康委员会实施的医护人员临时性补助项目，其政策背景主要依据《人力资源社会保障部财政部关于建立传染病疫情防治人员临时性工作补助的通知》（人社部规〔2016〕4号）及《财政部 国家卫生健康委关于新型冠状病毒感染肺炎疫情防控有关经费保障政策的通知》（财社〔2020〕2号）等文件，旨在对直接参与疫情防控的一线医务人员提供经济补偿，补助标准分为一档（每人每天300元）和二档（每人每天200元），并明确补助发放不受编制、身份限制，以实际工作参与为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该项目的实施必要性在于，疫情期间医护人员承担极高感染风险及超负荷工作强度，统计显示全国超3000名医务人员感染新冠病毒，而仅约30%的医生认为自身收入与工作量匹配，凸显待遇与付出严重失衡的问题。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通过该项目，预期达成三方面目标：一是直接提升一线人员收入水平，确保其临时补助占月均收入比重达20%-30%，增强职业获得感；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二是通过免税政策（如财政部2020年第10号公告）保障补助全额发放，进一步优化激励效果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三是构建“平战结合”的补助机制，为未来突发公共卫生事件中医疗队伍稳定提供制度保障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（1）项目名称：自治区医务人员临时性工作补助（第一批，第二批）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自治区医务人员临时性工作补助项目（第一批、第二批）主要面向发热门诊、急诊、呼吸科病房、感染科病房及重症病房内直接参与疫情防控救治的一线医护人员，以及120急救人员和血站一线采血人员，补助标准依据岗位风险和工作强度分为每人每天300元（重症病房按实际工作天数的1.5倍计算）和200元两档，覆盖范围不受编制、身份限制，以实际参与工作为准。项目前期由自治区财政厅会同卫生健康委、人社部门联合制定资金分配方案，明确审核流程，各医疗机构按月申报，经三部门联审后，由地方财政先行垫付，中央财政后续据实结算。实施过程中，补助资金纳入直达资金管理，标识为“中央直达资金”，确保专款专用，严禁挤占挪用，并通过一体化系统进行动态监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验收阶段，由各级卫生健康部门牵头，联合财政、人社部门对申报材料进行复核，重点核查工作时长、岗位性质及资金发放准确性，最终补助金额经省级汇总报国家审定后完成拨付。投入使用后，补助资金有效缓解了一线医务人员的经济压力，并通过向高风险、高强度岗位倾斜的分配机制，进一步激励了医务人员的工作积极性，为疫情防控政策过渡期的医疗救治工作提供了坚实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实施主体：医护人员临时性补助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卫生健康委员会在实施自治区医务人员临时性工作补助（第一批、第二批）项目过程中，严格遵循项目管理流程，确保政策落地见效。前期准备阶段，根据自治区财政厅、人社厅及卫健委联合下发的文件精神，明确补助对象为直接参与疫情防控的一线医务人员，并制定申报审核机制，确保补助发放的公平性和精准性。在招投标环节，虽未涉及物资采购，但通过严格的资金审批流程，确保专项资金专款专用，并接受财政、审计部门的监督。项目实施过程中，采取按月申报、多部门联审的方式，核定符合补助条件的医务人员名单及金额，并通过公示确保透明度，避免虚报冒领。项目验收阶段，由上级财政部门对资金使用情况进行绩效评价，确保补助资金及时足额发放，并达到激励一线医务人员、提升抗疫积极性的效果。最终，该项目顺利投入使用，补助资金精准发放至符合条件的医务人员手中，有效体现了政府对一线抗疫人员的关怀，同时通过绩效考核进一步优化了后续补助政策的执行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卫生健康委员会在2024年12月完成了自治区医务人员临时性工作补助（第一批、第二批）项目的发放工作，该项目依据国家和自治区相关政策，重点向参与疫情防控的一线医务人员及防疫工作者提供补助，确保补助范围不受编制、身份限制，仅以实际参与工作情况为准。项目实施过程中，县卫健委会同人社、财政部门按月审核补助名单，经省级汇总后上报国家卫健委审定，最终由地方财政先行垫付，中央财政据实结算，确保资金精准发放。补助标准严格执行自治区规定，一线人员每人每天300元，其他人员每人每天200元，有效激励了医务人员的工作积极性。该项目的顺利完成不仅保障了医务人员的合法权益，也进一步提升了基层医疗卫生机构的应急服务能力，为呼图壁县公共卫生体系的强化提供了有力支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概述项目实施主体的主要职能和机构设置情况。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1.以贯彻执行国家卫生和计划生育，中医药事业发展的法律法规。政策规划和标准规范。推进医药卫生体制改革，研究，拟订全县卫生改革发展的目标规划和政策措施。依法对全县，各级各类医疗卫生机构实施监督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2.统筹规划全县卫生和计划生育服务资源配置，指导全县卫生和计划生育规划的编制和实施。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3.负责疾病预防控制工作，贯彻实施疾病预防控制规划与策略，组织实施免疫规划及政策措施，制定并实施实施严重，危险，危害人民群众，危害人民健康的公共卫生问题的干预措施，协调有关部门对重大疾病实施，防控与干预。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负责卫生应急工作，贯彻执行卫生应急政策措施，制定卫生应急和紧急医学救援预案，负责突发公共卫生事件监测和风险评估。组织和指导突发事，突发公共卫生事件预防控制，和各类突发公共事件的医疗卫生救援，负责上报突发公共卫生事件应急处置信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指导规范卫生行政执法工作，按照职责分工，负责职业卫生放射卫生，环境卫生和学校卫生的监督管理，负责公共场所卫生和饮用水卫生的安全监督管理，负责传染病防治监督，组织实施食品安全风险监测，评估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负责组织拟订并实施基层卫生和计划生育服务，妇幼卫生发展规划和政策措施，负责新型农村合作医疗的综合管理，负责全县妇幼保健综合管理和监督，直到全县基层卫生和计划生育，妇幼卫生服务体系建设，推进基本公共卫生和计划生育服务均等化，完善基层运行新机制和乡村医生管理制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负责医疗机构医疗服务，医疗技术，医疗质量，医疗安全以及采，供血机构的行业监督管理。组织实施医疗卫生职业道德规范，会同有关部门，贯彻执行国家卫生专业技术人员准入，资格标准，组织实施，卫生专业技术人员，执业规则和服务规范，建立医疗服务评价和监督管理体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制定和管理全县卫生和计划生育，医学科技发展规划，组织市卫生和计划生育相关科项项目，贯彻中西医并重的方针，协调有关部门共同发展全县的现代医药和传统医药，中医药民族医药，事业，组织实施继续医学教育。</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9.负责组织推进公立医院改革，建立以公益性为导向的绩效考核和评价运行机制。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10.贯彻执行国家基本药物制度和国家药物政策，组织实施药品法典，国家基本药物目录和基本药物采购，配送和使用的政策措施。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11.组织制定全县卫生和计划生育中医药人才发展规划，直到卫生和计划生育人才队伍建设，加强全科医生等急需紧缺专业人才培养，贯彻落实国家住院医师和专科医师规范化培训制度。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组织实施促进出生人口讯别平衡的政策措施，组织监测计划生育发展动态，提出发布计划生育安全预警预报信息建议，制定计划生育技术服务管理制度并监督实施，制定优生优育和提高出生人口素质的政策措施，并组织实施，推动实施计划生育生殖健康促进计划，降低出生缺陷人口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组织建立计划生育利益导向计划生育特殊困难家庭扶助和促进计划生育家庭发展等机制，负责协调推进有关部门和群众团体，履行计划生育工作相关职责，建立与经济社会发展感情，政策的。衔接机制，提出稳定低生育水平政策措施的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14.负责卫生和计划生育信息化建设，依法组织实施统计调查，参与全县人口基础信息库建设。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15.组织落实流动人口计划生育服务管理制度，推动建立流动人口卫生和计划生育信息共享和公共服务工作机制。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16.指导全县卫生和计划生育工作，完善综合监督执法体系，规范执法行为监督检查，法律法规和政策措施的落实，监督落实计划生育一票否决制度。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17.承担呼图壁县级，医院管理委员会办公室。简称医管办日常工作。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18.承担县政府交办的其他事项。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二、机构设置及人员情况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呼图壁县卫生健康委员会无下属预算单位，下设4个处室，分别是：办公室（组织人事科）、妇幼与计生健康科、疾病预防控制科、医政药政科教科（行政审批科）。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呼图壁县卫生健康委员会行政编制14人，统筹编制3人，事业编制数3人,实有32人，其中：在职16人，退休16人，增加 1人，减少0人；离休 0人，增加0人，减少0人。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本项目预算安排总额为58.17万元，资金来源为</w:t>
      </w:r>
      <w:r>
        <w:rPr>
          <w:rStyle w:val="18"/>
          <w:rFonts w:hint="eastAsia" w:ascii="楷体" w:hAnsi="楷体" w:eastAsia="楷体"/>
          <w:b w:val="0"/>
          <w:bCs w:val="0"/>
          <w:spacing w:val="-4"/>
          <w:sz w:val="32"/>
          <w:szCs w:val="32"/>
          <w:lang w:val="en-US" w:eastAsia="zh-CN"/>
        </w:rPr>
        <w:t>财政拨款</w:t>
      </w:r>
      <w:r>
        <w:rPr>
          <w:rStyle w:val="18"/>
          <w:rFonts w:hint="eastAsia" w:ascii="楷体" w:hAnsi="楷体" w:eastAsia="楷体"/>
          <w:b w:val="0"/>
          <w:bCs w:val="0"/>
          <w:spacing w:val="-4"/>
          <w:sz w:val="32"/>
          <w:szCs w:val="32"/>
        </w:rPr>
        <w:t>，其中：财政资金58.17万元，其他资金0万元，2024年实际收到预算资金58.17万元，预算资金到位率为100%。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58.17万元，预算执行率100%。一线医护人员，以及120急救人员和血站一线采血人员，补助标准依据岗位风险和工作强度分为每人每天300元（重症病房按实际工作天数的1.5倍计算）和200元两档，数量按照实际参与救助的人员进行统计。</w:t>
      </w:r>
    </w:p>
    <w:p w14:paraId="0960836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D11E41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旨在通过科学合理的补助发放机制，全面保障呼图壁县卫生健康委员会单位及自治区一线医务人员在疫情防控期间的权益，确保补助资金精准、高效、公平地落实到符合条件的医务人员。在数量指标上，重点统计直接参与确诊病例或疑似病例诊疗、护理、检测等高风险工作的一线医务人员人数，以及重症病区、隔离观察点等特殊岗位的工作天数核算；在质量指标上，严格审核补助发放的准确性，确保符合一档和二档补助标准的人员分类无误，并加强资金监管，杜绝虚报冒领或违规发放现象。通过该项目，进一步激励医务人员投身疫情防控工作，同时强化对一线人员的关怀保障，提升整体防控效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“临时补助累计发放人数”指标，预期指标值为“&lt;=53人”；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“补助资金发放准确率”指标，预期指标值为“&gt;=100%”；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“临时补助发放周期”指标，预期指标值为“=12月”；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“临时补助发放金额”指标，预期指标值为“&lt;=58.17万元”；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①“提高医务人员稳定性”指标，预期指标值为“逐步提高”；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②“提高医务人员工作积极性”指标，预期指标值为“逐步提高”；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“发放对象满意度”指标，预期指标值为“&gt;=95%”。</w:t>
      </w:r>
    </w:p>
    <w:p w14:paraId="530BA58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301E1C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7416E9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发放表。</w:t>
      </w:r>
    </w:p>
    <w:p w14:paraId="0A115E3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301BCB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比较分析法、目标评估法、问卷调查法对项目进行评价，旨在通过综合分析影响绩效目标实现、实施效果的内外部因素，从而评价本项目绩效。三级指标分析环节：成本效益分析法，比较分析法、目标评估法、问卷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成本效益分析法：通过量化项目的资金投入与产出效益，评估资金使用效率，衡量单位成本是否产生预期培训效果或社会价值。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比较分析法：将培训前后的代表履职能力数据（如议案质量、调研成果数量）进行对比，分析能力提升幅度与项目目标的契合度。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目标评估法：以预设的绩效目标（如参训率、满意度、议案达标率）为基准，逐项核查实际完成情况，判断项目目标实现程度。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问卷调查法：通过设计满意度、知识掌握度等量表，收集参训代表对课程内容、教学方式的主观反馈，评估培训体验与知识转化效果。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30445EA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E000B9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魏晓娟（评价小组组长）：主要负责项目策划和监督，全面负责项目绩效评价办稿的最终质量，对评估人员出具的最终报告质量进行复核，确保评估结果的客观性；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马云（评价小组组员）：主要负责资料的收集，取证、数据统计分析；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马英（评价小组组员）：主要负责主要负责项目报告的制定，指标的研判，数据分析及报告撰写。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医护人员。我们根据绩效评价目标和绩效指标体系，设计满意度调查问卷进行问卷调查，其中自治区医务人员临时性工作补助（第一批，第二批）受益对象共选取样本33人，共发放问卷33份，最终收回33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2025年3月20-3月25 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9A9FC6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A1D6EF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评价，本项目达成年初设立的绩效目标，在实施过程中取得了良好的成效，具体表现在：自治区医务人员临时性工作补助项目以300元/人、200元/人两档标准实施，全年累计发放补助资金58.17万元。项目通过精准分类、动态管理，重点向疫情防控、应急救治、基层一线等高风险、高强度岗位倾斜，覆盖一线医务人员，提高了职工的工作积极性和满意度，增强了疫情防控工作的效率和质量。但在实施过程中也存在一些不足：在项目实施过程中，部门之间的沟通协调不够顺畅，导致工作效率低下；部分工作人员对项目政策和业务流程不熟悉，影响了项目的顺利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9</w:t>
      </w:r>
      <w:r>
        <w:rPr>
          <w:rStyle w:val="18"/>
          <w:rFonts w:hint="eastAsia" w:ascii="楷体" w:hAnsi="楷体" w:eastAsia="楷体"/>
          <w:b w:val="0"/>
          <w:bCs w:val="0"/>
          <w:spacing w:val="-4"/>
          <w:sz w:val="32"/>
          <w:szCs w:val="32"/>
          <w:lang w:val="en-US" w:eastAsia="zh-CN"/>
        </w:rPr>
        <w:t>8</w:t>
      </w:r>
      <w:r>
        <w:rPr>
          <w:rStyle w:val="18"/>
          <w:rFonts w:hint="eastAsia" w:ascii="楷体" w:hAnsi="楷体" w:eastAsia="楷体"/>
          <w:b w:val="0"/>
          <w:bCs w:val="0"/>
          <w:spacing w:val="-4"/>
          <w:sz w:val="32"/>
          <w:szCs w:val="32"/>
        </w:rPr>
        <w:t>.5</w:t>
      </w:r>
      <w:r>
        <w:rPr>
          <w:rStyle w:val="18"/>
          <w:rFonts w:hint="eastAsia" w:ascii="楷体" w:hAnsi="楷体" w:eastAsia="楷体"/>
          <w:b w:val="0"/>
          <w:bCs w:val="0"/>
          <w:spacing w:val="-4"/>
          <w:sz w:val="32"/>
          <w:szCs w:val="32"/>
          <w:lang w:val="en-US" w:eastAsia="zh-CN"/>
        </w:rPr>
        <w:t>9</w:t>
      </w:r>
      <w:r>
        <w:rPr>
          <w:rStyle w:val="18"/>
          <w:rFonts w:hint="eastAsia" w:ascii="楷体" w:hAnsi="楷体" w:eastAsia="楷体"/>
          <w:b w:val="0"/>
          <w:bCs w:val="0"/>
          <w:spacing w:val="-4"/>
          <w:sz w:val="32"/>
          <w:szCs w:val="32"/>
        </w:rPr>
        <w:t>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项目产出类指标共设置3个，满分指标3个，得分率100.0%；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项目效益类指标共设置3个，满分指标3个，得分率100.0%。</w:t>
      </w:r>
    </w:p>
    <w:p w14:paraId="275BCAE3">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27B98E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21B36E1">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本项目立项符合人社部颁发的《人力资源社会保障部 财政部关于建立传染病疫情防治人员临时性工作补助的通知》（人社部规〔2016〕4号）中：“明确临时性工作补助标准：直接接触病例的每人每天300元，其他参与疫情防控的医务人员每人每天200元”，符合国家法律法规、国民经济发展规划和相关政策；本项目立项符合《新疆维吾尔自治区卫生健康“十四五”规划》中：“加强基层卫生人才待遇保障”内容，符合行业发展规划和政策要求；本项目立项符合《卫生健康委员会单位配置内设机构和人员编制规定》中职责范围中的“负责组织推进公立医院改革，建立以公益性为导向的绩效考核和评价运行机制。”，属于我单位履职所需；根据《财政资金直接支付申请书》，本项目资金性质为“公共财政预算”功能分类为“突发公共卫生应急处置”经济分类为“其他对个人和家庭的补助”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完善自治区医护人员临时性补助有关政策的通知》(昌州财社〔2023〕9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医务人员临时性补助”；本项目实际工作内容为53名医务人员发放了临时性补助；绩效目标与实际工作内容一致，两者具有相关性;本项目预算申请资金58.17万元，预算确定资金量与实际工作任务相匹配。本项目按照绩效目标完成了数量指标、质量指标、时效指标、成本指标，有效保障了补助按时发放，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7个，定量指标5个，定性指标2个，指标量化率为71.43%，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本项目预算编制通过直接接触病例的每人每天300元，其他参与疫情防控的医务人员每人每天200元计算得出，即预算编制较科学且经过论证；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预算申请内容为为参与救助的医护人员发放补助，项目实际内容为为53名医护人员，按照每人每天300元的表发放了补助，预算申请与《医护人员临时性补助项目实施方案》中涉及的项目内容匹配；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58.17万元，我单位在预算申请中严格按照单位标准和数量进行核算，其中：单位标准为一类普通病区一天300元，工作天数为1000天总费用为30万元二类普通病区200元一天，共1408.5天费用为28.17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拨付2023年医务人员临时性工作补助请示》和《临时性补助分配项目实施方案》为依据进行资金分配，预算资金分配依据充分。根据《关于拨付2023年医务人员临时性工作补助请示资金下达文件》文件显示，本项目实际到位资金58.17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1EAB5AFD">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4DD00FA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本项目预算资金为58.17万元，其中：本级财政安排资金58.17万元，其他资金0万元，实际到位资金58.17万元，资金到位率=（实际到位资金/预算资金）×100.00%=（58.17/58.17）*100.00%=100%。得分=资金到位率*分值=100%*4=4分。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本项目实际支出资金58.17万元，预算执行率=（实际支出资金/实际到位资金）×100.00%=（58.17/58.17）*100.00%=100%。得分=预算执行率*分值=100%*5=5分。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卫生健康委员会单位资金管理办法》《卫生健康委员会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卫生健康委员会资金管理办法》《卫生健康委员会收支业务管理制度》《卫生健康委员会政府采购业务管理制度》《卫生健康委员会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发放表等资料齐全并及时进行了归档。项目资金支出严格按照自治区、地区、市以及本单位资金管理办法执行，项目启动实施后，为了加快本项目的实施，成立了自治区医务人员临时性工作补助（第一批，第二批）项目工作领导小组，由党组书记刘瑞任组长，负责项目的组织工作；魏晓娟任副组长，负责项目的实施工作；组员包括：马云和马英，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4AD51B5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24DF007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项目产出类指标由1个二级指标和1个三级指标构成，权重分20.0分，实际得分20分。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“临时补助累计发放人数”指标：预期指标值为“&lt;=53人”，实际完成指标值为“=51人”，指标完成率为96.23%。偏差原因：两名医生因其他事情未参与临时救助。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综上所述，本指标满分为5分，根据评分标准得4.53分。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“补助资金发放准确率”指标：预期指标值为“&gt;=100%”，实际完成指标值为“=100%”，指标完成率为100.0%。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“临时补助发放周期”指标：预期指标值为“=12月”，实际完成指标值为“=12月”，指标完成率为100%。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“临时补助发放金额”指标：预期指标值为“&lt;=58.17万元”，实际完成指标值为“=58.17万元”，指标完成率为100%。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A0E1A7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36FF4E86">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“提高医务人员稳定性”指标：预期指标值为“逐步提高”，实际完成指标值为“达到预期指标”，指标完成率为100.0%。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“提高医务人员工作积极性”指标：预期指标值为“逐步提高”，实际完成指标值为“达到预期指标”，指标完成率为100.0%。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为无该类指标</w:t>
      </w:r>
    </w:p>
    <w:p w14:paraId="7CC0827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“发放对象满意度”指标：预期指标值为“&gt;=95%”，实际完成指标值为“=95%”，指标完成率为100%。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1F6D15B8">
      <w:pPr>
        <w:spacing w:line="540" w:lineRule="exact"/>
        <w:ind w:firstLine="567"/>
        <w:rPr>
          <w:rStyle w:val="18"/>
          <w:rFonts w:hint="eastAsia" w:ascii="楷体" w:hAnsi="楷体" w:eastAsia="楷体"/>
          <w:b w:val="0"/>
          <w:bCs w:val="0"/>
          <w:spacing w:val="-4"/>
          <w:sz w:val="32"/>
          <w:szCs w:val="32"/>
        </w:rPr>
      </w:pPr>
    </w:p>
    <w:p w14:paraId="1F27E978">
      <w:pPr>
        <w:spacing w:line="540" w:lineRule="exact"/>
        <w:ind w:firstLine="567"/>
        <w:rPr>
          <w:rStyle w:val="18"/>
          <w:rFonts w:ascii="楷体" w:hAnsi="楷体" w:eastAsia="楷体"/>
          <w:spacing w:val="-4"/>
          <w:sz w:val="32"/>
          <w:szCs w:val="32"/>
        </w:rPr>
      </w:pPr>
    </w:p>
    <w:p w14:paraId="0912BB87">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128AF02D">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一、项目组织方面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实施过程中，呼图壁县卫生健康委员会高度重视组织协调工作，建立了高效的多部门联动机制。通过成立专项工作小组，明确职责分工，确保补助发放工作有序推进。同时，积极与上级部门沟通对接，及时掌握政策要求，确保补助标准与发放范围符合自治区统一部署。此外，注重基层医疗机构的参与，通过召开培训会和政策宣讲会，提升一线医务人员对补助政策的知晓度，保障了政策执行的精准性和覆盖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二、项目管理方面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过程中，呼图壁县卫生健康委员会强化了全过程监督与动态调整机制。通过制定详细的工作方案和时间节点，确保补助申报、审核、公示和发放各环节紧密衔接。采用信息化手段优化申报流程，减少人为误差，提高审核效率。同时，建立问题反馈渠道，及时解决基层单位在申报过程中遇到的困难，确保补助发放的公平性和及时性。定期开展阶段性总结，提炼经验并优化后续批次的工作流程，提升了整体项目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三、资金管理方面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资金管理上，呼图壁县卫生健康委员会严格执行专项资金使用规定，确保资金安全、规范、高效运行。通过专账核算、专款专用，杜绝资金挪用或滞留现象。强化内部审计和第三方监督，对资金发放情况进行多轮核查，确保补助金额准确无误。同时，注重资金使用的透明度，通过公示制度接受社会监督，增强了公信力。此外，加强与财政部门的协作，保障资金及时拨付到位，为补助政策的顺利实施提供了有力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六、存在的问题及原因分析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问题1：审批流程不规范，存在滞后性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原因分析：审批环节过多或流程不明确，导致补助发放延迟，影响医务人员积极性。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问题2：资金分配不均衡，部分群体覆盖不足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原因分析：补助对象界定模糊，可能导致部分一线医务人员或临时聘用人员未被纳入补助范围。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问题3：缺乏有效的监督与公示机制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原因分析：补助发放过程未完全公开，易引发质疑，且缺乏第三方监督，可能存在疏漏或违规风险。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问题4：申报材料不规范，影响审核效率原因分析：医务人员提交的证明材料不统一，部分材料缺失或不符合要求，导致审核延误。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问题5：补助政策宣传不到位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原因分析：部分医务人员对补助政策不了解，导致符合条件的人员未及时申报。</w:t>
      </w:r>
    </w:p>
    <w:p w14:paraId="47C8741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26099CD2">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优化审批流程，采用信息化手段加快审核进度，明确各环节责任人和时限，提高发放效率。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细化补助对象分类，确保所有符合条件的一线医务人员（包括临时工、志愿者等）都能公平享受补助。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建立公示制度，定期公开补助名单及金额，并引入纪检或审计部门监督，确保资金使用合规。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制定详细的申报材料清单及模板，加强培训指导，确保材料完整、规范，减少审核返工。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通过多种渠道（如会议、通知、培训等）加强政策宣传，确保全员知晓申报流程和条件。</w:t>
      </w:r>
    </w:p>
    <w:p w14:paraId="3B41C97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232BFCD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附件1：项目支出绩效评价体系</w:t>
      </w:r>
    </w:p>
    <w:p w14:paraId="25B08DF3">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3466DC5">
        <w:pPr>
          <w:pStyle w:val="12"/>
          <w:jc w:val="center"/>
        </w:pPr>
        <w:r>
          <w:fldChar w:fldCharType="begin"/>
        </w:r>
        <w:r>
          <w:instrText xml:space="preserve">PAGE   \* MERGEFORMAT</w:instrText>
        </w:r>
        <w:r>
          <w:fldChar w:fldCharType="separate"/>
        </w:r>
        <w:r>
          <w:rPr>
            <w:lang w:val="zh-CN"/>
          </w:rPr>
          <w:t>2</w:t>
        </w:r>
        <w:r>
          <w:fldChar w:fldCharType="end"/>
        </w:r>
      </w:p>
    </w:sdtContent>
  </w:sdt>
  <w:p w14:paraId="28AD89AA">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5463EEA"/>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12581</Words>
  <Characters>13229</Characters>
  <Lines>4</Lines>
  <Paragraphs>1</Paragraphs>
  <TotalTime>1</TotalTime>
  <ScaleCrop>false</ScaleCrop>
  <LinksUpToDate>false</LinksUpToDate>
  <CharactersWithSpaces>13262</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2025-08-12T10:07:14Z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