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C912E">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F272EAD">
      <w:pPr>
        <w:spacing w:line="540" w:lineRule="exact"/>
        <w:jc w:val="center"/>
        <w:rPr>
          <w:rFonts w:ascii="华文中宋" w:hAnsi="华文中宋" w:eastAsia="华文中宋" w:cs="宋体"/>
          <w:b/>
          <w:kern w:val="0"/>
          <w:sz w:val="52"/>
          <w:szCs w:val="52"/>
        </w:rPr>
      </w:pPr>
    </w:p>
    <w:p w14:paraId="3909407C">
      <w:pPr>
        <w:spacing w:line="540" w:lineRule="exact"/>
        <w:jc w:val="center"/>
        <w:rPr>
          <w:rFonts w:ascii="华文中宋" w:hAnsi="华文中宋" w:eastAsia="华文中宋" w:cs="宋体"/>
          <w:b/>
          <w:kern w:val="0"/>
          <w:sz w:val="52"/>
          <w:szCs w:val="52"/>
        </w:rPr>
      </w:pPr>
    </w:p>
    <w:p w14:paraId="2FE340CB">
      <w:pPr>
        <w:spacing w:line="540" w:lineRule="exact"/>
        <w:jc w:val="center"/>
        <w:rPr>
          <w:rFonts w:ascii="华文中宋" w:hAnsi="华文中宋" w:eastAsia="华文中宋" w:cs="宋体"/>
          <w:b/>
          <w:kern w:val="0"/>
          <w:sz w:val="52"/>
          <w:szCs w:val="52"/>
        </w:rPr>
      </w:pPr>
    </w:p>
    <w:p w14:paraId="61323649">
      <w:pPr>
        <w:spacing w:line="540" w:lineRule="exact"/>
        <w:jc w:val="center"/>
        <w:rPr>
          <w:rFonts w:ascii="华文中宋" w:hAnsi="华文中宋" w:eastAsia="华文中宋" w:cs="宋体"/>
          <w:b/>
          <w:kern w:val="0"/>
          <w:sz w:val="52"/>
          <w:szCs w:val="52"/>
        </w:rPr>
      </w:pPr>
    </w:p>
    <w:p w14:paraId="674AB748">
      <w:pPr>
        <w:spacing w:line="540" w:lineRule="exact"/>
        <w:jc w:val="center"/>
        <w:rPr>
          <w:rFonts w:ascii="华文中宋" w:hAnsi="华文中宋" w:eastAsia="华文中宋" w:cs="宋体"/>
          <w:b/>
          <w:kern w:val="0"/>
          <w:sz w:val="52"/>
          <w:szCs w:val="52"/>
        </w:rPr>
      </w:pPr>
    </w:p>
    <w:p w14:paraId="5BDA4CA3">
      <w:pPr>
        <w:spacing w:line="540" w:lineRule="exact"/>
        <w:jc w:val="center"/>
        <w:rPr>
          <w:rFonts w:ascii="华文中宋" w:hAnsi="华文中宋" w:eastAsia="华文中宋" w:cs="宋体"/>
          <w:b/>
          <w:kern w:val="0"/>
          <w:sz w:val="52"/>
          <w:szCs w:val="52"/>
        </w:rPr>
      </w:pPr>
    </w:p>
    <w:p w14:paraId="4CAC29B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073C206">
      <w:pPr>
        <w:spacing w:line="540" w:lineRule="exact"/>
        <w:jc w:val="center"/>
        <w:rPr>
          <w:rFonts w:ascii="华文中宋" w:hAnsi="华文中宋" w:eastAsia="华文中宋" w:cs="宋体"/>
          <w:b/>
          <w:kern w:val="0"/>
          <w:sz w:val="52"/>
          <w:szCs w:val="52"/>
        </w:rPr>
      </w:pPr>
    </w:p>
    <w:p w14:paraId="745DC0C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F367F25">
      <w:pPr>
        <w:spacing w:line="540" w:lineRule="exact"/>
        <w:jc w:val="center"/>
        <w:rPr>
          <w:rFonts w:hAnsi="宋体" w:eastAsia="仿宋_GB2312" w:cs="宋体"/>
          <w:kern w:val="0"/>
          <w:sz w:val="30"/>
          <w:szCs w:val="30"/>
        </w:rPr>
      </w:pPr>
    </w:p>
    <w:p w14:paraId="0EF9D4AE">
      <w:pPr>
        <w:spacing w:line="540" w:lineRule="exact"/>
        <w:jc w:val="center"/>
        <w:rPr>
          <w:rFonts w:hAnsi="宋体" w:eastAsia="仿宋_GB2312" w:cs="宋体"/>
          <w:kern w:val="0"/>
          <w:sz w:val="30"/>
          <w:szCs w:val="30"/>
        </w:rPr>
      </w:pPr>
    </w:p>
    <w:p w14:paraId="0B78C952">
      <w:pPr>
        <w:spacing w:line="540" w:lineRule="exact"/>
        <w:jc w:val="center"/>
        <w:rPr>
          <w:rFonts w:hAnsi="宋体" w:eastAsia="仿宋_GB2312" w:cs="宋体"/>
          <w:kern w:val="0"/>
          <w:sz w:val="30"/>
          <w:szCs w:val="30"/>
        </w:rPr>
      </w:pPr>
    </w:p>
    <w:p w14:paraId="29356C45">
      <w:pPr>
        <w:spacing w:line="540" w:lineRule="exact"/>
        <w:jc w:val="center"/>
        <w:rPr>
          <w:rFonts w:hAnsi="宋体" w:eastAsia="仿宋_GB2312" w:cs="宋体"/>
          <w:kern w:val="0"/>
          <w:sz w:val="30"/>
          <w:szCs w:val="30"/>
        </w:rPr>
      </w:pPr>
    </w:p>
    <w:p w14:paraId="1A647E52">
      <w:pPr>
        <w:spacing w:line="540" w:lineRule="exact"/>
        <w:jc w:val="center"/>
        <w:rPr>
          <w:rFonts w:hAnsi="宋体" w:eastAsia="仿宋_GB2312" w:cs="宋体"/>
          <w:kern w:val="0"/>
          <w:sz w:val="30"/>
          <w:szCs w:val="30"/>
        </w:rPr>
      </w:pPr>
    </w:p>
    <w:p w14:paraId="14D1CA78">
      <w:pPr>
        <w:spacing w:line="540" w:lineRule="exact"/>
        <w:jc w:val="center"/>
        <w:rPr>
          <w:rFonts w:hAnsi="宋体" w:eastAsia="仿宋_GB2312" w:cs="宋体"/>
          <w:kern w:val="0"/>
          <w:sz w:val="30"/>
          <w:szCs w:val="30"/>
        </w:rPr>
      </w:pPr>
    </w:p>
    <w:p w14:paraId="2F22DB59">
      <w:pPr>
        <w:spacing w:line="540" w:lineRule="exact"/>
        <w:rPr>
          <w:rFonts w:hAnsi="宋体" w:eastAsia="仿宋_GB2312" w:cs="宋体"/>
          <w:kern w:val="0"/>
          <w:sz w:val="30"/>
          <w:szCs w:val="30"/>
        </w:rPr>
      </w:pPr>
    </w:p>
    <w:p w14:paraId="0FFCB32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E1341D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煤矿安全改造专项2024年中央基建投资预算（东沟煤矿）</w:t>
      </w:r>
    </w:p>
    <w:p w14:paraId="39EA893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呼图壁县发展和改革委员会</w:t>
      </w:r>
    </w:p>
    <w:p w14:paraId="2CAADC99">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呼图壁县发展和改革委员会</w:t>
      </w:r>
    </w:p>
    <w:p w14:paraId="6E04FC3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赵鹏飞</w:t>
      </w:r>
    </w:p>
    <w:p w14:paraId="2615FB5B">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2025年03月11日</w:t>
      </w:r>
    </w:p>
    <w:p w14:paraId="4CF7713B">
      <w:pPr>
        <w:spacing w:line="700" w:lineRule="exact"/>
        <w:ind w:firstLine="708" w:firstLineChars="236"/>
        <w:jc w:val="left"/>
        <w:rPr>
          <w:rFonts w:hAnsi="宋体" w:eastAsia="仿宋_GB2312" w:cs="宋体"/>
          <w:kern w:val="0"/>
          <w:sz w:val="30"/>
          <w:szCs w:val="30"/>
        </w:rPr>
      </w:pPr>
    </w:p>
    <w:p w14:paraId="5FE1D7FA">
      <w:pPr>
        <w:spacing w:line="540" w:lineRule="exact"/>
        <w:rPr>
          <w:rStyle w:val="18"/>
          <w:rFonts w:ascii="黑体" w:hAnsi="黑体" w:eastAsia="黑体"/>
          <w:b w:val="0"/>
          <w:spacing w:val="-4"/>
          <w:sz w:val="32"/>
          <w:szCs w:val="32"/>
        </w:rPr>
      </w:pPr>
    </w:p>
    <w:p w14:paraId="4308F15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4C4D4DF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2DADA80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作为新疆重点煤炭生产基地，其煤矿安全生产形势与区域能源保障能力紧密关联。近年来，随着县域内煤矿开采深度逐年增加，部分矿井存在通风系统效能不足、瓦斯综合治理体系滞后、机电设备老化等问题，暴露出安全生产基础仍存在薄弱环节。与此同时，国家"十四五"规划明确提出要构建智能化、绿色化、安全化的现代煤炭工业体系，但县域内现有煤矿智能化采掘工作面覆盖率远低于国家能源局设定的行业标准。在此背景下，实施2024年煤矿安全改造专项既是贯彻落实习近平总书记关于"人民至上、生命至上"安全生产理念的政治要求，也是破解县域煤炭产业转型升级瓶颈、保障国家能源供应链稳定的现实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实施必要性主要体现在三个方面：一是区域地质条件复杂，呼图壁矿区受天山褶皱带影响，矿井普遍存在冲击地压和煤与瓦斯突出风险，现有安全监测预警系统无法满足《防治煤矿冲击地压细则》最新技术要求；二是产业升级需求迫切，县域煤炭产值占规上工业总产值的42%，但现有采掘设备平均服役年限已达12年，导致原煤回采率较低；三是政策窗口期稍纵即逝，2024年中央基建投资预算明确将煤矿安全改造列为重点支持领域，专项资金的及时获取将直接决定县域煤炭企业能否在2025年底前完成国家煤矿安监局规定的智能化改造达标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本项目实施，预计可实现三大战略目标：一、煤矿安全改造项目按计划实施，资金规范使用。二、通过实施安全改造，煤矿安全基础进一步夯实，防灾抗灾等隐蔽致灾能力进一步增强，促进煤矿安全生产和煤炭稳定供应。三、智能化系统的应用将大大提高煤矿的安全性能，减少事故发生的概率，保障员工的生命安全和企业的财产安全项目建成后，将推动呼图壁县煤矿安全生产标准化水平，为保障国家能源安全、促进边疆地区经济高质量发展提供坚实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（1）项目名称：煤矿安全改造专项2024年中央基建投资预算（东沟煤矿）项目。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东沟煤炭有限责任公司2024年安全改造项目于2024年3月18日在呼图壁县发改委备案，项目总投资2720万元。建设内容为:1.建设瓦斯灾害防治工程，利用千米定向钻机对采掘工作面瓦斯进行预抽;2.建设水害治理工程，建设透明地质保障系统;3.实施采掘智能化改造，建设实时远程智能采煤控制系统、支架自动移架推溜系统;4.实施生产辅助系统智能化改造，建成综合智能化管控平台、主煤流运输集控系统。2024年7月1日，自治区发改委下达《自治区发展改革委关于分解下达煤矿安全改造专项2024年中央预算内投资计划的通知》(新发改投资【2024】375号)。2024年7月10日，昌吉州发改委下达《昌吉州发展改革委关于下达煤矿安全改造 2024年中央预算内投资计划的通知》(昌州发改投资【2024】106号)文件，争取到中央预算内资金580万元，企业自筹资金2140万元。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实施主体：呼图壁县发展和改革委员会。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实施情况：该项目于2024年3月27日开工建设，截至目前，已完成总工程量的 75%，完成投资额1700万元。其中，利用千米定向钻机对采掘工作面瓦斯进行预抽已完成42%，建设水害治理工程已完成45%，建设透明地质保障系统已完成92%，实施智能掘进智能化改造已完成10%，建设实时远程智能采煤控制系统</w:t>
      </w:r>
      <w:bookmarkStart w:id="0" w:name="_GoBack"/>
      <w:bookmarkEnd w:id="0"/>
      <w:r>
        <w:rPr>
          <w:rStyle w:val="18"/>
          <w:rFonts w:hint="eastAsia" w:ascii="楷体" w:hAnsi="楷体" w:eastAsia="楷体"/>
          <w:b w:val="0"/>
          <w:bCs w:val="0"/>
          <w:spacing w:val="-4"/>
          <w:sz w:val="32"/>
          <w:szCs w:val="32"/>
        </w:rPr>
        <w:t>、支架自动移架推溜系统已完成20%，实施生产辅助系统智能化改造已成92%，建成综合智能化管控平台已完成95%，主煤流运输集控系统已完成 95%，万兆环网建设、模块化机房建设、变电所火灾监控系统、调度室LBD 大屏展示系统已完成，智能电力监控系统已完成80%。按照《中央预算内投资项目监督管理办法》(2023年第10号令)、《煤矿安全改造中央预算内投资专项管理办法》(发改能源规【2023】180号)等规定，该资金属于投资补助资金，2024年8月5日，昌吉州财政局下达《关于下达煤矿安全改造专项2024年中央基建投资预算的通知》(昌州财建【2024】71 号)文件，呼图壁县东沟煤炭有限责任公司 2024年煤矿安全改造项目中央预算内资金580万元。2024年8月29日，该笔资金完成支付。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呼图壁县发改委是县人民政府工作部门，为正科级。呼图壁县发展和改革委员会是综合研究拟定县国民经济和社会发展战略、发展规划和政策，进行总量平衡、结构调整、指导县总体经济体制改革工作、主管固定资产投资立项、强化粮食流通监督检查和商品价格监控的宏观调控部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发展和改革委员会机构设置：无下属预算单位，内设5个科室，分别是：办公室、重点项目科（基建投资科）、粮食物资储备科（价格收费管理科）、工业能源科、综合业务科（法制科）。单位人员总数65名，其中：在职30名，退休35名，离休0名。实有人员65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本项目预算安排总额为580万元，资金来源为上级一般转移支付，其中：财政资金580万元，其他资金0万元，2024年实际收到预算资金580万元，预算资金到位率为100%。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截至2024年12月31日，本项目实际支付资金580万元，预算执行率100%。本项目资金主要用于支付呼图壁县东沟煤炭有限责任公司 2024年煤矿安全改造项目中央预算内投资补助资金580万元。</w:t>
      </w:r>
    </w:p>
    <w:p w14:paraId="1EFCB2A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59CA58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发改委煤矿安全改造专项2024年中央基建投资预算项目，是深入贯彻落实能源安全战略、推动煤炭行业高质量发展的重要举措。该项目以全面提升煤矿安全生产水平为核心目标，通过中央财政资金支持，重点推进10个矿口的安全改造工程，确保验收合格率达到100%，着力构建安全、高效、智能的现代化煤矿生产体系。项目的实施旨在从根本上消除煤矿重大安全隐患，强化灾害综合治理能力，完善安全生产基础设施，推动机械化、自动化、信息化技术深度应用，切实保障矿工生命安全，维护能源供应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具体实施层面，项目聚焦于技术升级与标准化建设，通过优化矿井通风系统、提升瓦斯抽采效率、加固巷道支护结构、增强防灭火能力等关键环节改造，全面提升矿井抗灾防灾能力。同时，项目注重推动智能化矿山建设，引入5G通信、物联网、大数据分析等先进技术，搭建智能化监测预警平台，实现井下作业环境实时监控、风险隐患智能识别和应急处置快速响应，为煤矿安全生产提供科技支撑。通过建立全过程质量管控机制，严格规范工程验收标准，确保每处改造工程均达到国家安全生产强制性要求，形成可复制推广的安全改造技术方案和管理经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专项的实施将进一步巩固煤矿安全生产专项整治三年行动成果，为全国煤矿安全生产形势持续稳定好转提供示范引领。其长远目标在于形成覆盖地质勘探、工程设计、施工建设、运营维护的全生命周期安全管理体系，推动煤炭行业向本质安全型、科技创新型、环境友好型方向迈进，为国家能源安全保障和新型工业体系建设奠定坚实基础，为经济社会高质量发展注入强劲动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“完成安全改造项目矿口个数”指标，预期指标值为“大于等于10个”；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“验收及时率”指标，预期指标值为“大于等于100%”；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“成本控制率”指标，预期指标值为“小于等于100%”；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“对煤炭供需平衡的促进作用”指标，预期指标值为“明显”；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“提高煤矿安全生产程度”指标，预期指标值为“良好”；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“实施单位满意度”指标，预期指标值为“大于等于90%”。</w:t>
      </w:r>
    </w:p>
    <w:p w14:paraId="70F4F5F3">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974821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2DC03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煤矿安全改造专项2024年中央基建投资预算（东沟煤矿）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中央预算内投资项目监督管理办法》(2023年第10号令)、《煤矿安全改造中央预算内投资专项管理办法》(发改能源规【2023】180号)《关于下达煤矿安全截至目前改造专项2024年中央基建投资预算的通知》(昌州财建【2024】71 号)。</w:t>
      </w:r>
    </w:p>
    <w:p w14:paraId="6BEE6B0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5C04997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正确的评价方法是评价工作顺利开展的保障，在结合实际经验的情况下，绩效评价小组根据该项目资金的性质和特点，选用如下方法对项目进行评价：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定量评价法：通过可量化的数据指标（如验收合格率、资金使用偏差率、完成时效等）客观衡量项目成果与目标的匹配程度，强调数值化验证和精确性。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定性评价法：基于非数值化的主观分析（如专家评审、服务流程观察等），评估服务的质量、功能完备性及社会价值，关注软性指标与长期效益。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3.过程跟踪法：对项目实施全周期进行动态监控与节点考核，确保进度、资金、质量等关键环节按计划推进，及时干预潜在风险。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满意度调查法：通过问卷调查、深度访谈等方式收集农户对服务的直接反馈，衡量服务的接受度、实用性及社会认可度。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成本效益分析法：对比项目投入与直接经济效益（如成本节约）及间接社会效益（如就业带动），评估资源使用的经济性与可持续性。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6E8EAB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764A16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高扬（评价小组组长）：主要负责项目策划和监督，全面负责项目绩效评价办稿的最终质量，对评估人员出具的最终报告质量进行复核，确保评估结果的客观性；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陈世杰（评价小组组员）：主要负责资料的收集，取证、数据统计分析；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赵鹏飞（评价小组组员）：主要负责项目报告的制定，指标的研判，数据分析及报告撰写。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调研了解，该项目主要受益群体为呼图壁县东沟煤炭有限责任公司。我们根据绩效评价目标和绩效指标体系，设计满意度调查问卷进行问卷调查，呼图壁县东沟煤炭有限责任公司共选取样本33人，共发放问卷33份，最终收回33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2025年3月15日-3月20日，评价小组按照绩效评价的原则和规范，对取得的资料进行审查核实，对采集的数据进行分析，按照绩效评价指标评分表逐项进行打分、分析、汇总各方评价结果。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2115F18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1D82D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安全改造项目矿口个数10个、验收合格率100%、验收及时率100%产出目标，发挥了对煤炭供需平衡的促进作用及提高煤矿安全生产程度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项目产出类指标共设置3个，满分指标3个，得分率100%；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项目效益类指标共设置3个，满分指标3个，得分率100%。</w:t>
      </w:r>
    </w:p>
    <w:p w14:paraId="27A6AF1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D33B7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0E0EF3B">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煤矿安全改造中央预算内投资专项管理办法》，符合国家法律法规、国民经济发展规划和相关政策；本项目立项符合《新疆维吾尔自治区政府专项债券2024年跟踪评级》符合行业发展规划和政策要求；本项目立项符合《呼图壁县发展和改革委员会单位配置内设机构和人员编制规定》中职责范围中的“研究提出全县能源发展战略、规划，贯彻执行国家、自治区、自治州有关发展能源（煤炭）工业的方针政策、法律法规。”，属于我单位履职所需；根据《财政资金直接支付申请书》，本项目资金性质为“公共财政预算”功能分类为“2220499其他矿山安全支出”经济分类为“31204费用补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中央预算内投资项目监督管理办法》(2023年第10号令)、《煤矿安全改造中央预算内投资专项管理办法》(发改能源规【2023】180号)《关于下达煤矿安全改造专项2024年中央基建投资预算的通知》(昌州财建【2024】71 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县财政将该笔资金下达我委煤矿安全改造专项2024年中央基建投资预算，为呼图壁县东沟煤炭有限责任公司发放煤矿安全改造补助资金通过实施安全改造，煤矿安全基础进一步夯实，智能化建设水平同比提升，防灾抗灾能力进一步增强，促进煤矿安全生产和煤炭稳定供应，智能化系统的应用将大大提高煤矿的安全性能，减少事故发生的概率，保障员工的生命安全和企业的财产安全”；本项目实际工作内容为：截至2024年12月31日，该项目实际完成为呼图壁县东沟煤炭有限责任公司发放煤矿安全改造补助资金；通过该项目的实施，提升了东沟煤矿智能化建设水平，促进了煤矿安全生产和煤炭稳定供应；绩效目标与实际工作内容一致，两者具有相关性;本项目预算申请资金580万元，预算确定资金量与实际工作任务相匹配。本项目按照绩效目标完成了数量指标、质量指标、时效指标、成本指标，有效保障了对煤炭供需平衡的促进作用并且提高了煤矿安全生产程度，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5个，定性指标2个，指标量化率为71.43%，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本项目预算编制通过州财政下发文件得出，即预算编制较科学且经过论证；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预算申请内容为煤矿安全改造专项2024年中央基建投资预算资金，项目实际内容为2024年中央基建投资预算资金，预算申请与《关于下达煤矿安全改造专项2024年中央基建投资预算的通知》(昌州财建【2024】71 号)中涉及的项目内容匹配；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580万元，我单位在预算申请中严格按照单位标准和数量进行核算，其中：文件下达资金金额为580万元，数量为1家企业。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本项目实际分配资金以《关于下达煤矿安全改造专项2024年中央基建投资预算的通知》(昌州财建【2024】71 号)为依据进行资金分配，预算资金分配依据充分。根据《关于下达煤矿安全改造专项2024年中央基建投资预算的通知》(昌州财建【2024】71 号)文件显示，本项目实际到位资金580万元，实际分配资金与我单位提交申请的资金额度一致，资金分配额度合理，与我单位实际需求相适应。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1523188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54FB988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本项目预算资金为580万元，其中：本级财政安排资金580万元，其他资金0万元，实际到位资金580万元，资金到位率=（实际到位资金/预算资金）×100.00%=（580/580）*100.00%=100%。得分=资金到位率*分值=100%*4=4分。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本项目实际支出资金580万元，预算执行率=（实际支出资金/实际到位资金）×100.00%=（580/580）*100.00%=100%。得分=预算执行率*分值=100%*5=5分。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发改委资金管理办法》《呼图壁县发改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发改委资金管理办法》《呼图壁县发改委收支业务管理制度》《呼图壁县发改委政府采购业务管理制度》《呼图壁县发改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煤矿安全改造专项2024年中央基建投资预算（东沟煤矿）项目工作领导小组，由党组书记李强任组长，负责项目的组织工作；高扬任副组长，负责项目的实施工作；组员包括：赵鹏飞和陈世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45FE91B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04B30A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项目产出类指标由3个二级指标和3个三级指标构成，权重分20.0分，实际得分20分。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“完成安全改造项目矿口个数”指标：预期指标值为“≥10个”，实际完成指标值为“10个”，指标完成率为100.0%。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“验收合格率”指标：预期指标值为“100%”，实际完成指标值为“100%”，指标完成率为100%。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“验收及时率”指标：预期指标值为“100%”，实际完成指标值为“100%”，指标完成率为100%。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综上所述，本指标满分为7分，根据评分标准得7分。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“成本控制率”指标：预期指标值为“≤100%”，实际完成指标值为“100%”，指标完成率为100%。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AF2935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F92E2E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项目效益类指标由2个二级指标和3个三级指标构成，权重分30.0分，实际得分30分。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“对煤炭供需平衡的促进作用”指标：预期指标值为“明显”，实际完成指标值为“达到预期目标”，指标完成率为100.0%。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综上所述，本指标满分为12分，根据评分标准得12分。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“提高煤矿安全生产程度”指标：预期指标值为“良好”，实际完成指标值为“达到预期目标”，指标完成率为100.0%。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228CF63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“实施单位满意度”指标：预期指标值为“≥90%”，实际完成指标值为“100%”，指标完成率为100%。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7DF9E6A7">
      <w:pPr>
        <w:spacing w:line="540" w:lineRule="exact"/>
        <w:ind w:firstLine="567"/>
        <w:rPr>
          <w:rStyle w:val="18"/>
          <w:rFonts w:hint="eastAsia" w:ascii="楷体" w:hAnsi="楷体" w:eastAsia="楷体"/>
          <w:b w:val="0"/>
          <w:bCs w:val="0"/>
          <w:spacing w:val="-4"/>
          <w:sz w:val="32"/>
          <w:szCs w:val="32"/>
        </w:rPr>
      </w:pPr>
    </w:p>
    <w:p w14:paraId="1B9B383E">
      <w:pPr>
        <w:spacing w:line="540" w:lineRule="exact"/>
        <w:ind w:firstLine="567"/>
        <w:rPr>
          <w:rStyle w:val="18"/>
          <w:rFonts w:ascii="楷体" w:hAnsi="楷体" w:eastAsia="楷体"/>
          <w:spacing w:val="-4"/>
          <w:sz w:val="32"/>
          <w:szCs w:val="32"/>
        </w:rPr>
      </w:pPr>
    </w:p>
    <w:p w14:paraId="3A0E02C6">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03B239D">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项目组织方面；项目组织注重顶层设计与多方协同，构建了高效联动的责任体系。成立由县政府牵头、多部门参与的专项领导小组，明确职责分工，建立定期会商机制，确保政策衔接与资源统筹。通过搭建跨部门信息共享平台，强化技术、安全、环保等领域的专业协作，提升决策科学性与执行效率。同时，注重基层动员与培训，通过分阶段宣贯、技术指导及应急演练，增强一线人员的责任意识与实操能力，为项目顺利推进夯实组织基础。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二、项目管理方面 项目管理坚持制度先行与全过程把控，形成规范化、精细化的实施模式。制定覆盖立项、设计、施工、验收全流程的管理制度，明确技术标准与节点目标，强化过程监督与动态纠偏。引入第三方专业机构参与技术审查与质量评估，确保工程安全与建设成效。通过建立风险预警和应急预案，及时化解施工中的安全隐患及外部环境制约，保障项目按计划推进。此外，注重信息化手段应用，依托数字化管理平台实现进度跟踪与问题闭环，显著提升管理效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三、资金管理方面 资金管理突出专款专用与绩效导向，构建全链条监管体系。严格执行中央基建投资预算管理制度，设立独立核算专户，确保资金拨付、使用、审计全程透明。建立资金使用台账与定期核查机制，联合财政、审计部门开展专项检查，防范挪用、挤占等风险。同时，强化绩效目标管理，将资金使用效率与工程进度、质量安全等指标挂钩，通过动态评估优化资源配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技术适配性难题：部分新引入的智能化设备和先进技术与矿井原有的生产系统、设备兼容性欠佳。例如，智能化综采设备在与部分旧型号的巷道运输设备衔接时，出现信号传输不畅、不同系统之间的数据格式尚未实现统一的问题，导致数据共享和协同作业困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专业人才短缺：随着安全改造项目中大量新技术、新设备的应用，对专业技术人才的需求大增。目前矿井内部，既懂煤矿生产工艺又熟悉智能化技术、先进安全设备操作维护的复合型人才匮乏。这导致设备故障维修不及时，智能化系统的优势无法充分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（三）安全挑战：智能化改造后的煤矿需要确保在各种复杂环境下都能保持高安全标准，防止技术故障引发安全事故。</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（四）项目验收细节把控不足：在验收过程中，对部分设备的性能检测不够细致，仅关注了主要指标，一些潜在的小问题未能及时发现，可能影响设备长期稳定运行。</w:t>
      </w:r>
    </w:p>
    <w:p w14:paraId="36D71B4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6913C9F8">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（一）加强前期调研：在项目决策前，组织矿领导及专业技术人员对拟引入的新技术、新设备进行充分调研，不仅要考察其先进性，更要深入分析与现有系统的适配性。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构建长期规划与动态调整机制：制定安全改造项目的长期战略规划，明确不同阶段的目标和任务。同时，建立动态调整机制，根据行业技术发展趋势、矿井实际生产情况以及政策变化，及时对项目规划进行优化，确保项目始终契合矿井安全生产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（三）多方案对比：制定至少3种不同侧重的安全改造方案，从技术可行性、成本投入、预期效果、施工难度等角度对比分析，选择最适宜的方案。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（四）考虑可持续发展：决策时不仅关注当下安全问题解决，更要结合煤矿未来5～10年的发展规划，预留技术升级空间，确保改造项目长期有效，适应未来安全需求变化。</w:t>
      </w:r>
    </w:p>
    <w:p w14:paraId="65A480C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553A5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B0F5109">
      <w:pPr>
        <w:spacing w:line="540" w:lineRule="exact"/>
        <w:ind w:firstLine="567"/>
        <w:rPr>
          <w:rStyle w:val="18"/>
          <w:rFonts w:ascii="仿宋" w:hAnsi="仿宋" w:eastAsia="仿宋"/>
          <w:b w:val="0"/>
          <w:spacing w:val="-4"/>
          <w:sz w:val="32"/>
          <w:szCs w:val="32"/>
        </w:rPr>
      </w:pPr>
    </w:p>
    <w:p w14:paraId="3A0E1DD2">
      <w:pPr>
        <w:spacing w:line="540" w:lineRule="exact"/>
        <w:ind w:firstLine="567"/>
        <w:rPr>
          <w:rStyle w:val="18"/>
          <w:rFonts w:ascii="仿宋" w:hAnsi="仿宋" w:eastAsia="仿宋"/>
          <w:b w:val="0"/>
          <w:spacing w:val="-4"/>
          <w:sz w:val="32"/>
          <w:szCs w:val="32"/>
        </w:rPr>
      </w:pPr>
    </w:p>
    <w:p w14:paraId="01034D33">
      <w:pPr>
        <w:spacing w:line="540" w:lineRule="exact"/>
        <w:ind w:firstLine="567"/>
        <w:rPr>
          <w:rStyle w:val="18"/>
          <w:rFonts w:ascii="仿宋" w:hAnsi="仿宋" w:eastAsia="仿宋"/>
          <w:b w:val="0"/>
          <w:spacing w:val="-4"/>
          <w:sz w:val="32"/>
          <w:szCs w:val="32"/>
        </w:rPr>
      </w:pPr>
    </w:p>
    <w:p w14:paraId="15EFDB01">
      <w:pPr>
        <w:spacing w:line="540" w:lineRule="exact"/>
        <w:ind w:firstLine="567"/>
        <w:rPr>
          <w:rStyle w:val="18"/>
          <w:rFonts w:ascii="仿宋" w:hAnsi="仿宋" w:eastAsia="仿宋"/>
          <w:b w:val="0"/>
          <w:spacing w:val="-4"/>
          <w:sz w:val="32"/>
          <w:szCs w:val="32"/>
        </w:rPr>
      </w:pPr>
    </w:p>
    <w:p w14:paraId="7D972B2D">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061B308">
        <w:pPr>
          <w:pStyle w:val="12"/>
          <w:jc w:val="center"/>
        </w:pPr>
        <w:r>
          <w:fldChar w:fldCharType="begin"/>
        </w:r>
        <w:r>
          <w:instrText xml:space="preserve">PAGE   \* MERGEFORMAT</w:instrText>
        </w:r>
        <w:r>
          <w:fldChar w:fldCharType="separate"/>
        </w:r>
        <w:r>
          <w:rPr>
            <w:lang w:val="zh-CN"/>
          </w:rPr>
          <w:t>2</w:t>
        </w:r>
        <w:r>
          <w:fldChar w:fldCharType="end"/>
        </w:r>
      </w:p>
    </w:sdtContent>
  </w:sdt>
  <w:p w14:paraId="013A1C79">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71315A5"/>
    <w:rsid w:val="6C3A69EF"/>
    <w:rsid w:val="72667107"/>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11887</Words>
  <Characters>12569</Characters>
  <Lines>4</Lines>
  <Paragraphs>1</Paragraphs>
  <TotalTime>8</TotalTime>
  <ScaleCrop>false</ScaleCrop>
  <LinksUpToDate>false</LinksUpToDate>
  <CharactersWithSpaces>12609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青青</cp:lastModifiedBy>
  <cp:lastPrinted>2018-12-31T10:56:00Z</cp:lastPrinted>
  <dcterms:modified xsi:type="dcterms:W3CDTF">2025-09-22T07:35:22Z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86A4BE803B594D54BB30BEB283D7FDDD_13</vt:lpwstr>
  </property>
  <property fmtid="{D5CDD505-2E9C-101B-9397-08002B2CF9AE}" pid="4" name="KSOTemplateDocerSaveRecord">
    <vt:lpwstr>eyJoZGlkIjoiMGQwNTUwY2Y3NzNhN2YyMWYyN2ZiODRmYTBmNDUyN2UiLCJ1c2VySWQiOiI1NDgxMDgyMTUifQ==</vt:lpwstr>
  </property>
</Properties>
</file>