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782EC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226D4AE">
      <w:pPr>
        <w:spacing w:line="540" w:lineRule="exact"/>
        <w:jc w:val="center"/>
        <w:rPr>
          <w:rFonts w:ascii="华文中宋" w:hAnsi="华文中宋" w:eastAsia="华文中宋" w:cs="宋体"/>
          <w:b/>
          <w:kern w:val="0"/>
          <w:sz w:val="52"/>
          <w:szCs w:val="52"/>
        </w:rPr>
      </w:pPr>
    </w:p>
    <w:p w14:paraId="7F4B7412">
      <w:pPr>
        <w:spacing w:line="540" w:lineRule="exact"/>
        <w:jc w:val="center"/>
        <w:rPr>
          <w:rFonts w:ascii="华文中宋" w:hAnsi="华文中宋" w:eastAsia="华文中宋" w:cs="宋体"/>
          <w:b/>
          <w:kern w:val="0"/>
          <w:sz w:val="52"/>
          <w:szCs w:val="52"/>
        </w:rPr>
      </w:pPr>
    </w:p>
    <w:p w14:paraId="1C52CDD3">
      <w:pPr>
        <w:spacing w:line="540" w:lineRule="exact"/>
        <w:jc w:val="center"/>
        <w:rPr>
          <w:rFonts w:ascii="华文中宋" w:hAnsi="华文中宋" w:eastAsia="华文中宋" w:cs="宋体"/>
          <w:b/>
          <w:kern w:val="0"/>
          <w:sz w:val="52"/>
          <w:szCs w:val="52"/>
        </w:rPr>
      </w:pPr>
    </w:p>
    <w:p w14:paraId="2F629E1C">
      <w:pPr>
        <w:spacing w:line="540" w:lineRule="exact"/>
        <w:jc w:val="center"/>
        <w:rPr>
          <w:rFonts w:ascii="华文中宋" w:hAnsi="华文中宋" w:eastAsia="华文中宋" w:cs="宋体"/>
          <w:b/>
          <w:kern w:val="0"/>
          <w:sz w:val="52"/>
          <w:szCs w:val="52"/>
        </w:rPr>
      </w:pPr>
    </w:p>
    <w:p w14:paraId="1DC95DCE">
      <w:pPr>
        <w:spacing w:line="540" w:lineRule="exact"/>
        <w:jc w:val="center"/>
        <w:rPr>
          <w:rFonts w:ascii="华文中宋" w:hAnsi="华文中宋" w:eastAsia="华文中宋" w:cs="宋体"/>
          <w:b/>
          <w:kern w:val="0"/>
          <w:sz w:val="52"/>
          <w:szCs w:val="52"/>
        </w:rPr>
      </w:pPr>
    </w:p>
    <w:p w14:paraId="21A5EA51">
      <w:pPr>
        <w:spacing w:line="540" w:lineRule="exact"/>
        <w:jc w:val="center"/>
        <w:rPr>
          <w:rFonts w:ascii="华文中宋" w:hAnsi="华文中宋" w:eastAsia="华文中宋" w:cs="宋体"/>
          <w:b/>
          <w:kern w:val="0"/>
          <w:sz w:val="52"/>
          <w:szCs w:val="52"/>
        </w:rPr>
      </w:pPr>
    </w:p>
    <w:p w14:paraId="5250F8BF">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75E2F71">
      <w:pPr>
        <w:spacing w:line="540" w:lineRule="exact"/>
        <w:jc w:val="center"/>
        <w:rPr>
          <w:rFonts w:ascii="华文中宋" w:hAnsi="华文中宋" w:eastAsia="华文中宋" w:cs="宋体"/>
          <w:b/>
          <w:kern w:val="0"/>
          <w:sz w:val="52"/>
          <w:szCs w:val="52"/>
        </w:rPr>
      </w:pPr>
    </w:p>
    <w:p w14:paraId="2C4B8617">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4B8CB2D3">
      <w:pPr>
        <w:spacing w:line="540" w:lineRule="exact"/>
        <w:jc w:val="center"/>
        <w:rPr>
          <w:rFonts w:hAnsi="宋体" w:eastAsia="仿宋_GB2312" w:cs="宋体"/>
          <w:kern w:val="0"/>
          <w:sz w:val="30"/>
          <w:szCs w:val="30"/>
        </w:rPr>
      </w:pPr>
    </w:p>
    <w:p w14:paraId="49C360DA">
      <w:pPr>
        <w:spacing w:line="540" w:lineRule="exact"/>
        <w:jc w:val="center"/>
        <w:rPr>
          <w:rFonts w:hAnsi="宋体" w:eastAsia="仿宋_GB2312" w:cs="宋体"/>
          <w:kern w:val="0"/>
          <w:sz w:val="30"/>
          <w:szCs w:val="30"/>
        </w:rPr>
      </w:pPr>
    </w:p>
    <w:p w14:paraId="51BD52FD">
      <w:pPr>
        <w:spacing w:line="540" w:lineRule="exact"/>
        <w:jc w:val="center"/>
        <w:rPr>
          <w:rFonts w:hAnsi="宋体" w:eastAsia="仿宋_GB2312" w:cs="宋体"/>
          <w:kern w:val="0"/>
          <w:sz w:val="30"/>
          <w:szCs w:val="30"/>
        </w:rPr>
      </w:pPr>
    </w:p>
    <w:p w14:paraId="79DB8625">
      <w:pPr>
        <w:spacing w:line="540" w:lineRule="exact"/>
        <w:jc w:val="center"/>
        <w:rPr>
          <w:rFonts w:hAnsi="宋体" w:eastAsia="仿宋_GB2312" w:cs="宋体"/>
          <w:kern w:val="0"/>
          <w:sz w:val="30"/>
          <w:szCs w:val="30"/>
        </w:rPr>
      </w:pPr>
    </w:p>
    <w:p w14:paraId="67D85441">
      <w:pPr>
        <w:spacing w:line="540" w:lineRule="exact"/>
        <w:jc w:val="center"/>
        <w:rPr>
          <w:rFonts w:hAnsi="宋体" w:eastAsia="仿宋_GB2312" w:cs="宋体"/>
          <w:kern w:val="0"/>
          <w:sz w:val="30"/>
          <w:szCs w:val="30"/>
        </w:rPr>
      </w:pPr>
    </w:p>
    <w:p w14:paraId="47AE6BCD">
      <w:pPr>
        <w:spacing w:line="540" w:lineRule="exact"/>
        <w:jc w:val="center"/>
        <w:rPr>
          <w:rFonts w:hAnsi="宋体" w:eastAsia="仿宋_GB2312" w:cs="宋体"/>
          <w:kern w:val="0"/>
          <w:sz w:val="30"/>
          <w:szCs w:val="30"/>
        </w:rPr>
      </w:pPr>
    </w:p>
    <w:p w14:paraId="2B6E4C94">
      <w:pPr>
        <w:spacing w:line="540" w:lineRule="exact"/>
        <w:rPr>
          <w:rFonts w:hAnsi="宋体" w:eastAsia="仿宋_GB2312" w:cs="宋体"/>
          <w:kern w:val="0"/>
          <w:sz w:val="30"/>
          <w:szCs w:val="30"/>
        </w:rPr>
      </w:pPr>
    </w:p>
    <w:p w14:paraId="3D19134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FB88E4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2024年村社区级运转经费项目</w:t>
      </w:r>
    </w:p>
    <w:p w14:paraId="23CD97E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呼图壁县呼图壁镇人民政府</w:t>
      </w:r>
    </w:p>
    <w:p w14:paraId="40B71DB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呼图壁县呼图壁镇人民政府</w:t>
      </w:r>
    </w:p>
    <w:p w14:paraId="5FDE95F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柴伟</w:t>
      </w:r>
    </w:p>
    <w:p w14:paraId="1DCD74D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2025年03月17日</w:t>
      </w:r>
    </w:p>
    <w:p w14:paraId="162F5C6F">
      <w:pPr>
        <w:spacing w:line="700" w:lineRule="exact"/>
        <w:ind w:firstLine="708" w:firstLineChars="236"/>
        <w:jc w:val="left"/>
        <w:rPr>
          <w:rFonts w:hAnsi="宋体" w:eastAsia="仿宋_GB2312" w:cs="宋体"/>
          <w:kern w:val="0"/>
          <w:sz w:val="30"/>
          <w:szCs w:val="30"/>
        </w:rPr>
      </w:pPr>
    </w:p>
    <w:p w14:paraId="2607A0EF">
      <w:pPr>
        <w:spacing w:line="540" w:lineRule="exact"/>
        <w:rPr>
          <w:rStyle w:val="18"/>
          <w:rFonts w:ascii="黑体" w:hAnsi="黑体" w:eastAsia="黑体"/>
          <w:b w:val="0"/>
          <w:spacing w:val="-4"/>
          <w:sz w:val="32"/>
          <w:szCs w:val="32"/>
        </w:rPr>
      </w:pPr>
    </w:p>
    <w:p w14:paraId="04DEEF7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F5C2EB5">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AF6B4F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紧紧围绕社会稳定个长治久安总目标，加强城市基层党建工作的实施意见》（昌州党办发〔2019〕41号）要求，随着城镇化进程加快，常住人口不断增加，但社区运转经费缺口达40%，服务群众专项经费仅覆盖60%基础需求，导致公共设施维护滞后、群众文化活动匮乏等问题突出。项目实施必要性在于：一方面，基层治理资源不足制约了社区服务效能，居民反馈办事效率低、文化活动单一；另一方面，老龄化人口占比达22%，弱势群体帮扶需求持续攀升，亟需通过经费保障提升精准服务水平。项目实施后，目标实现“双提升”：一是社区基础服务覆盖率从60%提高至90%，确保环境整治、设施维修等常态化运转；二是群众满意度提升20%以上，通过文化惠民、困难帮扶等专项服务，增强居民获得感，夯实基层治理“最后一公里”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（1）项目名称：社区运转、服务群众项目（以下简称“该项目”或“项目”）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保障各社区正常运转，购买所需要的办公用品，办公耗材及后勤用品；为提升社区居民生活幸福感，定期举办各类文化体育活动，购买活动所需要的物资，奖品等；对社区办公楼及网格进行维修改造，保障社区基础设施完善；为扩大社区阵地，更好满足居民群众办理业务需求，打造居民群众活动室，打造羽毛球场等活动场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实施主体：呼图壁县呼图壁镇人民政府。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在呼图壁镇人民政府主导的社区运转及服务群众经费项目实施过程中，项目严格遵循“分阶段推进、动态化调整”原则，截至2024年4月完成总目标的33%，社区定期开展文化娱乐活动，拉进与居民群众之间的距离；至8月累计完成66%，完成社区设施改造，开展主题活动12场，覆盖群众1.2万人，群众满意度提升至75%；12月实现100%全面收官，累计投入资金规范化使用率达95%，建成社区文化活动中心16个、改造老旧设施20余处，困难群体帮扶覆盖率达100%，群众投诉率同比下降35%，满意度提升至92%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1.部门主要职能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（1）贯彻执行党和国家的有关方针、政策、法律和法规；执行上级政府的决定和命令；拟订适合本镇实际的具体政策措施，并有效地组织实施；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（2）组织制订并实施本镇经济和社会发展中长期规划，搞好经济发展的总体布局和产业结构的调整；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（3）负责组织编制本镇建设的总体规划，并组织实施，抓好本镇建设用地的规划管理工作；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（4）负责本镇的科技、教育、文化、卫生等事业发展和计划生育工作；负责本镇社会治安综合治理，维护社会稳定；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（5）编制本镇财政预决算计划，负责经费的划拨和核算工作；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2024年部门整体绩效评价的实施主体为呼图壁县呼图壁镇人民政府，该单位纳入2024年部门决算编制范围的有6个科室，分别是：行政办公室，党建办，综合协调办，社会事务办，综合治理办，综合执法办。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呼图壁镇人民政府单位人员总数125名，其中：在职96名，行政人员21人，事业人员75人，退休29名，离休0名。实有人员96人。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本项目预算安排总额为365万元，资金来源为本级财政拨款，其中：财政资金365万元，</w:t>
      </w:r>
      <w:bookmarkStart w:id="0" w:name="_GoBack"/>
      <w:r>
        <w:rPr>
          <w:rStyle w:val="18"/>
          <w:rFonts w:hint="eastAsia" w:ascii="楷体" w:hAnsi="楷体" w:eastAsia="楷体"/>
          <w:b w:val="0"/>
          <w:bCs w:val="0"/>
          <w:spacing w:val="-4"/>
          <w:sz w:val="32"/>
          <w:szCs w:val="32"/>
        </w:rPr>
        <w:t>其他资金</w:t>
      </w:r>
      <w:bookmarkEnd w:id="0"/>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万元，2024年实际收到预算资金365万元，预算资金到位率为100%。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截至2024年12月31日，本项目实际支付资金365万元，预算执行率100%。本项目资金主要用于支付社区购买办公用品费用200万元、社区打造工程维修费用165万元</w:t>
      </w:r>
    </w:p>
    <w:p w14:paraId="2902011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692A644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量化服务覆盖与质量提升，切实增强基层治理效能。数量指标上，实现100%社区基础运转经费全覆盖，确保18个社区办公设施、环境维护等常态化运行；年度内开展群众文化活动不少于50场，覆盖90%以上常住人口。质量指标上，群众满意度提升至90%以上，社区公共设施完好率达95%，服务响应时效缩短至24小时内；经费使用规范率超98%，杜绝挪用、浪费现象，并通过第三方审计确保资金透明高效。项目最终形成“需求精准对接、资源高效配置、服务长效保障”的基层治理模式，全面夯实民生服务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“涉及社区个数”指标，预期指标值为“大于等于18个”；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“资金覆盖率”指标，预期指标值为“等于100%”；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“项目正常运转保障率”指标，预期指标值为“大于等于75%”；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“资金支付及时率”指标，预期指标值为“大于等于75%”；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“改善社区居民生活品质”指标，预期指标值为“有效改善”；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“受益群众满意度”指标，预期指标值为“大于等于90%”。</w:t>
      </w:r>
    </w:p>
    <w:p w14:paraId="1C7E7D7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AAF881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1ABAE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此次我单位根据《财政支出绩效评价管理暂行办法》（财预〔2020〕10号）文件要求实施评价工作，本次评价对象为社区运转、服务群众经费项目，评价核心为项目资金、项目产出、项目效益。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(5)《新疆维吾尔自治区财政专项资金管理办法》：规范专项资金使用流程，要求资金拨付与项目进度挂钩，严禁挪用，并通过第三方审计确保透明性。</w:t>
      </w:r>
    </w:p>
    <w:p w14:paraId="61C33EB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848420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定量评价法、定性评价法、比较分析法、成本效益分析法、目标管理法、公众满意度调查法对项目进行评价，旨在通过综合分析影响绩效目标实现、实施效果的内外部因素，从而评价本项目绩效。三级指标分析环节：定量评价法、定性评价法、比较分析法、成本效益分析法、目标管理法、公众满意度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定量评价法：通过量化指标（如服务覆盖率、资金使用率、活动开展频次等）直接衡量项目成果，以数据反映目标完成度。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定性评价法：通过访谈、问卷、案例研究等方式，分析服务质量、群众满意度、社区治理能力提升等非量化效益。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比较分析法：将项目实施前后数据（如群众投诉率、设施维护达标率）进行纵向对比，或与同类社区项目横向对比，评估改进效果。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成本效益分析法：核算项目投入成本与产出效益（如单位服务成本、帮扶人次资金消耗），评价资源使用效率。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目标管理法：对照项目预设目标（如文化活动场次、困难群体覆盖率），逐项核查完成情况，判断目标达成度。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公众满意度调查法：通过抽样调查收集居民对服务响应速度、活动内容、帮扶效果的主观评价，衡量社会效益。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1D6A98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4E1B97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李泽（评价小组组长）：主要负责项目策划和监督，全面负责项目绩效评价办稿的最终质量，对评估人员出具的最终报告质量进行复核，确保评估结果的客观性；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孙雅茹（评价小组组员）：主要负责资料的收集，取证、数据统计分析；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孙梦单（评价小组组员）：主要负责主要负责项目报告的制定，指标的研判，数据分析及报告撰写。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经调研了解，该项目主要受益群体包括呼图壁镇18个社区居民群众。我们根据绩效评价目标和绩效指标体系，设计满意度调查问卷进行问卷调查，其中受益对象共选取样本30人，共发放问卷30份，最终收回30份。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2025年3月20日-3月25日，评价小组撰写绩效评价报告，按照新疆维吾尔自治区财政绩效管理信息系统绩效评价模块中统一格式和文本框架撰写绩效评价报告并提交审核。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6A733ED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41918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建设了18个社区居民活动中心，打造了花城社区法治长廊，水晶社区羽毛球场等居民活动场所，呼图壁镇及各社区举办各类文化娱乐活动，提高居民群众满意度，拉进居民群众与干部之间距离，为社区正常运转购买日常办公用品及后勤用品。发挥了支持社区日常运转、提升服务质量、增强社区凝聚力等效益。但在实施过程中也存在一些不足：项目实施人员综合能力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最终评分结果：总分为100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33D5DB5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96B744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68B40C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关于紧紧围绕社会稳定个长治久安总目标，加强城市基层党建工作的实施意见》（昌州党办发〔2019〕41号）中：“按照每年每个社区20万元（重点社会25万元）、10万元标准落实运转经费和服务群众专项经费，不低于5万元标准落实党建工作经费”，符合国家法律法规、国民经济发展规划和相关政策；本项目立项符合《“十四五”城乡社区服务体系建设规划》：要求优化社区服务资源配置，明确将群众文化活动、困难群体帮扶纳入重点任务。，符合行业发展规划和政策要求；本项目立项符合《呼图壁镇人民政府配置内设机构和人员编制规定》中职责范围中的“负责组织编制本镇建设的总体规划，并组织实施，抓好本镇建设用地的规划管理工作；”属于我单位履职所需；根据《财政资金直接支付申请书》，本项目资金性质为“公共财政预算”功能分类为“行政运行”经济分类为“办公设备购置”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紧紧围绕社会稳定个长治久安总目标，加强城市基层党建工作的实施意见》（昌州党办发〔2019〕41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完善社区基础设施建设，有效提升社区居民群众生活质量”；本项目实际工作内容为：对社区征地进行维修改造，打造社区居民娱乐场所，购买社区日常工作用品，开展各节假日活动；绩效目标与实际工作内容一致，两者具有相关性;本项目预算申请资金365万元，预算确定资金量与实际工作任务相匹配。本项目按照绩效目标完成了数量指标、质量指标、时效指标、经济成本指标、社会效益指标，提升了社区居民生活水平，促进了基层社区的正常运转，提升了居民满意度和社区整体发展水平。该项目按计划时间实施，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6个，三级指标7个，定量指标6个，定性指标1个，指标量化率为85.71%，量化率达70%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关于紧紧围绕社会稳定个长治久安总目标，加强城市基层党建工作的实施意见》（昌州党办发〔2019〕41号）中：“按照每年每个社区20万元（重点社区25万元）标准落实运转经费”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社区运转经费365元，项目实际内容为：为保障各社区正常运转，购买所需要的办公用品，办公耗材及后勤用品；为提升社区居民生活幸福感，定期举办各类文化体育活动，购买活动所需要的物资，奖品等；对社区办公楼及网格进行维修改造，保障社区基础设施完善；为扩大社区阵地，更好满足居民群众办理业务需求，打造居民群众活动室，打造羽毛球场等活动场地。预算申请与《关于紧紧围绕社会稳定个长治久安总目标，加强城市基层党建工作的实施意见》（昌州党办发〔2019〕41号）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365万元，我单位在预算申请中严格按照单位标准和数量进行核算，其中：单位标准为按照每年每个社区20万元（重点社区25万元），数量17个社区、1个重点社区。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紧紧围绕社会稳定个长治久安总目标，加强城市基层党建工作的实施意见》（昌州党办发〔2019〕41号）文件要求实施项目。为依据进行资金分配，预算资金分配依据充分。根据项目支付凭证显示，本项目实际到位资金365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6A26B2F5">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6F460D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本项目预算资金为365万元，其中：本级财政安排资金365万元，其他资金0万元，实际到位资金365万元，资金到位率=（实际到位资金/预算资金）×100.00%=（365/365）*100.00%=100.00%。得分=资金到位率*分值=100.00%*4=4分。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本项目实际支出资金365万元，预算执行率=（实际支出资金/实际到位资金）×100.00%=（365/365）*100.00%=100.00%。得分=预算执行率*分值=100%*5=5分。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资金使用报告、发货清单、政采云合同、验收单、审计报告等财务付款凭证，得出本项目资金支出符合国家财经法规、《呼图壁镇人民政府财务管理制度》，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我单位已制定《呼图壁镇财务管理制度》，上述已建立的制度均符合行政事业单位内控管理要求，财务和业务管理制度合法、合规、完整，本项目执行符合上述制度规定。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资金使用报告、发货清单、政采云合同、验收单、审计报告等资料齐全并及时进行了归档。项目资金支出严格按照自治区、地区、市以及本单位资金管理办法执行，项目启动实施后，为了加快本项目的实施，成立了项目工作领导小组，由党组书记李泽任组长，负责项目的组织工作；郝林杰任副组长，负责项目的实施工作；组员包括：郑明，主要负责政府采购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DE972C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492D98F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“涉及社区数量”指标：预期指标值为“&gt;=18家”，实际完成指标值为“=18家”，指标完成率为100.0%。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“资金覆盖率”指标：预期指标值为“=100%”，实际完成指标值为“=100%”，指标完成率100%。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“项目正常运转保障率”指标：预期指标值为“&gt;=75%”，实际完成指标值为“=75%”，指标完成率100%。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“资金支付及时率”指标：预期指标值为“&gt;=75%”，实际完成指标值为“=75%”，指标完成率100%。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“项目投资比例”指标：预期指标值为“&lt;=100%”，实际完成指标值为“=100%”，指标完成率为100%。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4ACB11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5D0DA6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“改善社区居民生活品质”指标：预期指标值为“有效改善”，实际完成指标值为“达到预期指标”，指标完成率为100.0%。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“改善社区居民生活品质”指标：预期指标值为“有效改善”，实际完成指标值为“达到预期指标”，指标完成率为100.0%。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91B9B8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“受益群众满意度”指标：预期指标值为“大于等于90%”，实际完成指标值为“90%”，指标完成率为90%。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p>
    <w:p w14:paraId="4E3B4AD1">
      <w:pPr>
        <w:spacing w:line="540" w:lineRule="exact"/>
        <w:ind w:firstLine="567"/>
        <w:rPr>
          <w:rStyle w:val="18"/>
          <w:rFonts w:hint="eastAsia" w:ascii="楷体" w:hAnsi="楷体" w:eastAsia="楷体"/>
          <w:b w:val="0"/>
          <w:bCs w:val="0"/>
          <w:spacing w:val="-4"/>
          <w:sz w:val="32"/>
          <w:szCs w:val="32"/>
        </w:rPr>
      </w:pPr>
    </w:p>
    <w:p w14:paraId="107CBB3C">
      <w:pPr>
        <w:spacing w:line="540" w:lineRule="exact"/>
        <w:ind w:firstLine="567"/>
        <w:rPr>
          <w:rStyle w:val="18"/>
          <w:rFonts w:ascii="楷体" w:hAnsi="楷体" w:eastAsia="楷体"/>
          <w:spacing w:val="-4"/>
          <w:sz w:val="32"/>
          <w:szCs w:val="32"/>
        </w:rPr>
      </w:pPr>
    </w:p>
    <w:p w14:paraId="77927ADA">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292D3B8">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呼图壁镇人民政府在社区运转经费项目实施中，通过创新机制、强化管理、深化参与，形成了一套系统化、规范化的实践经验，为基层治理效能提升提供了有效路径。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方面，构建“党建引领+多元协同”的组织架构。成立由镇主要领导牵头的专项工作组，统筹财政、民政、社区等多部门协作，明确职责分工，形成“镇级统筹、社区落实、群众监督”的三级联动机制。通过定期召开联席会议，动态协调资源调配与问题解决，确保项目推进方向与群众需求精准对接。同时，创新引入群众代表、党员志愿者参与项目规划与监督，建立“需求征集—方案论证—成效反馈”的闭环流程，增强决策民主性与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推行“全流程透明化+动态化调整”的管理模式。以目标为导向制定项目实施方案，细化任务清单与时间节点，通过“周调度、月总结”实时跟踪进度。建立“线上+线下”双轨公示机制，利用社区公告栏、政务平台等渠道公开项目进展与资金流向，接受群众质询与评议。针对实施中出现的突发问题（如需求变化、资源短缺），建立快速响应机制，通过动态调整服务内容或优化资源配置，确保项目实效。强化绩效考核，将社区干部履职情况与项目成效挂钩，激发基层执行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管理方面，坚持“规范高效+风险防控”并重。完善资金使用制度，明确“基础保障+专项服务+应急储备”的分类管理原则，科学分配资金用途。严格审批流程，实行“社区申报—镇级联审—群众评议”的三级审核机制，确保资金投向精准、程序合规。强化风险防控，通过“双审双签”、第三方审计、不定期抽查等方式，杜绝挪用、浪费现象。注重资金使用透明化，建立“一项目一档案”台账，全程记录资金申请、拨付、核销等环节，实现可追溯、可倒查，增强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一、问题：资金使用透明度不足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原因分析：缺乏规范的公开机制和群众监督渠道，导致资金流向不清晰，部分社区居民对经费使用存在疑虑，影响项目公信力。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二、问题：预算编制与实际需求脱节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原因分析：预算制定过程中调研不充分，未能全面掌握社区差异化需求，导致部分领域资金冗余或短缺，资源分配失衡。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三、问题：项目管理效率偏低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原因分析：项目推进缺乏科学规划和专业指导，责任分工模糊，部分任务因协调不畅或执行不力导致进度滞后。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四、问题：群众参与度不足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原因分析：项目决策与实施过程中群众参与渠道单一，信息传递不对称，导致服务内容与居民实际需求存在偏差。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五、问题：资金风险防控薄弱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原因分析：资金管理制度不完善，审核流程松散，存在挪用或浪费隐患，缺乏有效的内外部监督手段。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六、问题：服务可持续性不足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原因分析：过度依赖财政拨款，未能有效整合社会资源，部分项目因后续资金短缺或管理断层难以持续运营。</w:t>
      </w:r>
    </w:p>
    <w:p w14:paraId="7DCBF4E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25BF029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1：建立“线上+线下”双轨公示制度，通过社区公告栏、政务平台定期公开资金分配方案、使用明细及审计结果；成立由居民代表、党员组成的监督小组，参与资金使用的全过程监督，增强透明度和信任度。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2：推行“需求导向型”预算编制模式，通过入户走访、问卷调查等形式深度调研社区需求；引入“动态调整机制”，根据阶段性实施效果和突发需求，灵活调配资金用途，确保资源精准投放。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制定《项目全流程管理手册》，明确各阶段任务目标、责任主体及时间节点；定期组织跨部门协调会议，建立“问题台账”和“限时办结”机制；引入第三方专业机构提供项目管理培训，提升基层人员执行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搭建“参与式治理”平台，通过“居民议事会”“微心愿征集”等方式吸纳群众意见；利用微信群、社区APP等数字化工具实时推送项目进展，鼓励居民线上反馈建议，形成“需求共提、方案共议、效果共评”的互动机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5：健全“双审双签”制度，资金支出需经社区负责人和镇级财政部门联合审核；引入第三方审计机构对资金使用情况开展年度专项审计；建立“负面清单”机制，明确禁止性支出范畴，对违规行为严格追责。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探索“公益+市场”融合模式，鼓励企业、社会组织以赞助、合作等形式参与社区服务；设立“社区服务基金”，通过居民募捐、闲置资源盘活等方式拓宽资金来源；制定《长效运维方案》，明确项目后期管理责任主体及资源保障机制。</w:t>
      </w:r>
    </w:p>
    <w:p w14:paraId="2E79D44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66B3CC4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5CF05651">
      <w:pPr>
        <w:spacing w:line="540" w:lineRule="exact"/>
        <w:ind w:firstLine="567"/>
        <w:rPr>
          <w:rStyle w:val="18"/>
          <w:rFonts w:ascii="仿宋" w:hAnsi="仿宋" w:eastAsia="仿宋"/>
          <w:b w:val="0"/>
          <w:spacing w:val="-4"/>
          <w:sz w:val="32"/>
          <w:szCs w:val="32"/>
        </w:rPr>
      </w:pPr>
    </w:p>
    <w:p w14:paraId="1B9B6619">
      <w:pPr>
        <w:spacing w:line="540" w:lineRule="exact"/>
        <w:ind w:firstLine="567"/>
        <w:rPr>
          <w:rStyle w:val="18"/>
          <w:rFonts w:ascii="仿宋" w:hAnsi="仿宋" w:eastAsia="仿宋"/>
          <w:b w:val="0"/>
          <w:spacing w:val="-4"/>
          <w:sz w:val="32"/>
          <w:szCs w:val="32"/>
        </w:rPr>
      </w:pPr>
    </w:p>
    <w:p w14:paraId="5C636B6B">
      <w:pPr>
        <w:spacing w:line="540" w:lineRule="exact"/>
        <w:ind w:firstLine="567"/>
        <w:rPr>
          <w:rStyle w:val="18"/>
          <w:rFonts w:ascii="仿宋" w:hAnsi="仿宋" w:eastAsia="仿宋"/>
          <w:b w:val="0"/>
          <w:spacing w:val="-4"/>
          <w:sz w:val="32"/>
          <w:szCs w:val="32"/>
        </w:rPr>
      </w:pPr>
    </w:p>
    <w:p w14:paraId="114587FE">
      <w:pPr>
        <w:spacing w:line="540" w:lineRule="exact"/>
        <w:ind w:firstLine="567"/>
        <w:rPr>
          <w:rStyle w:val="18"/>
          <w:rFonts w:ascii="仿宋" w:hAnsi="仿宋" w:eastAsia="仿宋"/>
          <w:b w:val="0"/>
          <w:spacing w:val="-4"/>
          <w:sz w:val="32"/>
          <w:szCs w:val="32"/>
        </w:rPr>
      </w:pPr>
    </w:p>
    <w:p w14:paraId="424F19AB">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6767FBF">
        <w:pPr>
          <w:pStyle w:val="12"/>
          <w:jc w:val="center"/>
        </w:pPr>
        <w:r>
          <w:fldChar w:fldCharType="begin"/>
        </w:r>
        <w:r>
          <w:instrText xml:space="preserve">PAGE   \* MERGEFORMAT</w:instrText>
        </w:r>
        <w:r>
          <w:fldChar w:fldCharType="separate"/>
        </w:r>
        <w:r>
          <w:rPr>
            <w:lang w:val="zh-CN"/>
          </w:rPr>
          <w:t>2</w:t>
        </w:r>
        <w:r>
          <w:fldChar w:fldCharType="end"/>
        </w:r>
      </w:p>
    </w:sdtContent>
  </w:sdt>
  <w:p w14:paraId="694E7E0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 w:val="7F58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11390</Words>
  <Characters>11986</Characters>
  <Lines>4</Lines>
  <Paragraphs>1</Paragraphs>
  <TotalTime>9</TotalTime>
  <ScaleCrop>false</ScaleCrop>
  <LinksUpToDate>false</LinksUpToDate>
  <CharactersWithSpaces>12010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2025-08-12T06:02:03Z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