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52D4F3">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258972FB">
      <w:pPr>
        <w:spacing w:line="540" w:lineRule="exact"/>
        <w:jc w:val="center"/>
        <w:rPr>
          <w:rFonts w:ascii="华文中宋" w:hAnsi="华文中宋" w:eastAsia="华文中宋" w:cs="宋体"/>
          <w:b/>
          <w:kern w:val="0"/>
          <w:sz w:val="52"/>
          <w:szCs w:val="52"/>
        </w:rPr>
      </w:pPr>
    </w:p>
    <w:p w14:paraId="3435C3C1">
      <w:pPr>
        <w:spacing w:line="540" w:lineRule="exact"/>
        <w:jc w:val="center"/>
        <w:rPr>
          <w:rFonts w:ascii="华文中宋" w:hAnsi="华文中宋" w:eastAsia="华文中宋" w:cs="宋体"/>
          <w:b/>
          <w:kern w:val="0"/>
          <w:sz w:val="52"/>
          <w:szCs w:val="52"/>
        </w:rPr>
      </w:pPr>
    </w:p>
    <w:p w14:paraId="19DDB743">
      <w:pPr>
        <w:spacing w:line="540" w:lineRule="exact"/>
        <w:jc w:val="center"/>
        <w:rPr>
          <w:rFonts w:ascii="华文中宋" w:hAnsi="华文中宋" w:eastAsia="华文中宋" w:cs="宋体"/>
          <w:b/>
          <w:kern w:val="0"/>
          <w:sz w:val="52"/>
          <w:szCs w:val="52"/>
        </w:rPr>
      </w:pPr>
    </w:p>
    <w:p w14:paraId="404205E7">
      <w:pPr>
        <w:spacing w:line="540" w:lineRule="exact"/>
        <w:jc w:val="center"/>
        <w:rPr>
          <w:rFonts w:ascii="华文中宋" w:hAnsi="华文中宋" w:eastAsia="华文中宋" w:cs="宋体"/>
          <w:b/>
          <w:kern w:val="0"/>
          <w:sz w:val="52"/>
          <w:szCs w:val="52"/>
        </w:rPr>
      </w:pPr>
    </w:p>
    <w:p w14:paraId="424FBA90">
      <w:pPr>
        <w:spacing w:line="540" w:lineRule="exact"/>
        <w:jc w:val="center"/>
        <w:rPr>
          <w:rFonts w:ascii="华文中宋" w:hAnsi="华文中宋" w:eastAsia="华文中宋" w:cs="宋体"/>
          <w:b/>
          <w:kern w:val="0"/>
          <w:sz w:val="52"/>
          <w:szCs w:val="52"/>
        </w:rPr>
      </w:pPr>
    </w:p>
    <w:p w14:paraId="3316ADBE">
      <w:pPr>
        <w:spacing w:line="540" w:lineRule="exact"/>
        <w:jc w:val="center"/>
        <w:rPr>
          <w:rFonts w:ascii="华文中宋" w:hAnsi="华文中宋" w:eastAsia="华文中宋" w:cs="宋体"/>
          <w:b/>
          <w:kern w:val="0"/>
          <w:sz w:val="52"/>
          <w:szCs w:val="52"/>
        </w:rPr>
      </w:pPr>
    </w:p>
    <w:p w14:paraId="06312216">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73EB9BD5">
      <w:pPr>
        <w:spacing w:line="540" w:lineRule="exact"/>
        <w:jc w:val="center"/>
        <w:rPr>
          <w:rFonts w:ascii="华文中宋" w:hAnsi="华文中宋" w:eastAsia="华文中宋" w:cs="宋体"/>
          <w:b/>
          <w:kern w:val="0"/>
          <w:sz w:val="52"/>
          <w:szCs w:val="52"/>
        </w:rPr>
      </w:pPr>
    </w:p>
    <w:p w14:paraId="3D33EBD4">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597B9B74">
      <w:pPr>
        <w:spacing w:line="540" w:lineRule="exact"/>
        <w:jc w:val="center"/>
        <w:rPr>
          <w:rFonts w:hAnsi="宋体" w:eastAsia="仿宋_GB2312" w:cs="宋体"/>
          <w:kern w:val="0"/>
          <w:sz w:val="30"/>
          <w:szCs w:val="30"/>
        </w:rPr>
      </w:pPr>
    </w:p>
    <w:p w14:paraId="1F64484A">
      <w:pPr>
        <w:spacing w:line="540" w:lineRule="exact"/>
        <w:jc w:val="center"/>
        <w:rPr>
          <w:rFonts w:hAnsi="宋体" w:eastAsia="仿宋_GB2312" w:cs="宋体"/>
          <w:kern w:val="0"/>
          <w:sz w:val="30"/>
          <w:szCs w:val="30"/>
        </w:rPr>
      </w:pPr>
    </w:p>
    <w:p w14:paraId="5B7C0161">
      <w:pPr>
        <w:spacing w:line="540" w:lineRule="exact"/>
        <w:jc w:val="center"/>
        <w:rPr>
          <w:rFonts w:hAnsi="宋体" w:eastAsia="仿宋_GB2312" w:cs="宋体"/>
          <w:kern w:val="0"/>
          <w:sz w:val="30"/>
          <w:szCs w:val="30"/>
        </w:rPr>
      </w:pPr>
    </w:p>
    <w:p w14:paraId="7D0E4918">
      <w:pPr>
        <w:spacing w:line="540" w:lineRule="exact"/>
        <w:jc w:val="center"/>
        <w:rPr>
          <w:rFonts w:hAnsi="宋体" w:eastAsia="仿宋_GB2312" w:cs="宋体"/>
          <w:kern w:val="0"/>
          <w:sz w:val="30"/>
          <w:szCs w:val="30"/>
        </w:rPr>
      </w:pPr>
    </w:p>
    <w:p w14:paraId="3A01C8B3">
      <w:pPr>
        <w:spacing w:line="540" w:lineRule="exact"/>
        <w:jc w:val="center"/>
        <w:rPr>
          <w:rFonts w:hAnsi="宋体" w:eastAsia="仿宋_GB2312" w:cs="宋体"/>
          <w:kern w:val="0"/>
          <w:sz w:val="30"/>
          <w:szCs w:val="30"/>
        </w:rPr>
      </w:pPr>
    </w:p>
    <w:p w14:paraId="17604761">
      <w:pPr>
        <w:spacing w:line="540" w:lineRule="exact"/>
        <w:jc w:val="center"/>
        <w:rPr>
          <w:rFonts w:hAnsi="宋体" w:eastAsia="仿宋_GB2312" w:cs="宋体"/>
          <w:kern w:val="0"/>
          <w:sz w:val="30"/>
          <w:szCs w:val="30"/>
        </w:rPr>
      </w:pPr>
    </w:p>
    <w:p w14:paraId="51028BC6">
      <w:pPr>
        <w:spacing w:line="540" w:lineRule="exact"/>
        <w:rPr>
          <w:rFonts w:hAnsi="宋体" w:eastAsia="仿宋_GB2312" w:cs="宋体"/>
          <w:kern w:val="0"/>
          <w:sz w:val="30"/>
          <w:szCs w:val="30"/>
        </w:rPr>
      </w:pPr>
    </w:p>
    <w:p w14:paraId="15DD655B">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5221B5D4">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呼图壁县园户村镇中心幼儿园自聘教师工资补助项目</w:t>
      </w:r>
    </w:p>
    <w:p w14:paraId="1CB1F60E">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呼图壁县园户村镇中心幼儿园</w:t>
      </w:r>
    </w:p>
    <w:p w14:paraId="11E0E4EC">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呼图壁县园户村镇中心幼儿园</w:t>
      </w:r>
    </w:p>
    <w:p w14:paraId="1F2D68E9">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杜蓓蓓</w:t>
      </w:r>
    </w:p>
    <w:p w14:paraId="7C652D91">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2025年06月19日</w:t>
      </w:r>
    </w:p>
    <w:p w14:paraId="75C2E6E6">
      <w:pPr>
        <w:spacing w:line="700" w:lineRule="exact"/>
        <w:ind w:firstLine="708" w:firstLineChars="236"/>
        <w:jc w:val="left"/>
        <w:rPr>
          <w:rFonts w:hAnsi="宋体" w:eastAsia="仿宋_GB2312" w:cs="宋体"/>
          <w:kern w:val="0"/>
          <w:sz w:val="30"/>
          <w:szCs w:val="30"/>
        </w:rPr>
      </w:pPr>
    </w:p>
    <w:p w14:paraId="49CDE689">
      <w:pPr>
        <w:spacing w:line="540" w:lineRule="exact"/>
        <w:rPr>
          <w:rStyle w:val="18"/>
          <w:rFonts w:ascii="黑体" w:hAnsi="黑体" w:eastAsia="黑体"/>
          <w:b w:val="0"/>
          <w:spacing w:val="-4"/>
          <w:sz w:val="32"/>
          <w:szCs w:val="32"/>
        </w:rPr>
      </w:pPr>
    </w:p>
    <w:p w14:paraId="5785B7E2">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5B9A6C94">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11D7A41F">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园户村镇中心幼儿园2024年自治区教育项目经费（自聘教师工资补助）项目是基于《新疆维吾尔自治区学前教育深化改革规范发展的实施意见》等文件要求，针对当前幼儿园在编教师缺口达30%以上、自聘教师工资保障不足的问题而设立的。该项目的实施必要性体现在：一方面能稳定自聘教师队伍，缓解师资短缺对教育教学质量的直接影响；另一方面通过财政专项补助覆盖工资的60%，可减轻幼儿园运营压力，确保教师待遇与在编人员逐步趋同。项目实施后预期实现三个目标：一是将自聘教师流动率降低至10%以内，二是保障100%在岗教师按月足额领取薪酬，三是通过师资稳定性提升使幼儿保教活动达标率提高至95%以上，从而整体提升边疆地区学前教育公共服务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（1）项目名称：2024年自治区教育项目经费（自聘教师工资补助）</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本项目旨在通过专项经费支持为教师提供基本工资及岗位津贴补助，并缴纳教师养老保险、医疗保险、失业保险等社会保险。本项目实施范围是覆盖自治区内所有地州市，重点向乡村振兴重点帮扶县、边境县、高海拔地区及教育基础薄弱县倾斜，公办中小学、幼儿园、特殊教育学校及职业教育学校中因编制不足需长期聘用教师的单位。本项目的主要内容是根据学校实际缺编人数、地区艰苦程度、学科紧缺系数核定补助额度，本单位给教育系统提供自聘教师名册、劳动合同、社保缴纳记录及教学任务证明。管理措施为信息化监管平台，建立自聘教师数据库，实时监控资金发放与教师在岗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（3）实施主体：呼图壁县园户村镇中心幼儿园。</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实施时间：本项目实施周期为2024年1月-2024年12月。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情况：2024年自治区教育项目经费（自聘教师工资补助）项目按照"季度推进、动态管理"的工作机制有序实施。截至12月30日，已完成本年阶段性任务：资金到位及时，项目成效显著，教师月工资4091元，教师队伍稳定性同比提升。通过建立监管平台，实现补助资金全流程透明化管理，为后续工作开展奠定数据基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（1）主要职能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学龄前儿童提供教育幼儿园保育及幼儿教育，实行保育与教育相结合的原则，对幼儿实施德、智、体、美方面全面发展的教育，管理幼儿生活活动，保护幼儿在幼儿园的安全。在园长的领导下，协助园长完成幼儿园各项工作。做好家长沟通交流工作。抓好保健工作，做好计划免疫和疾病的防治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呼图壁县园户村镇中心幼儿园隶属于呼图壁县教育局管理。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（2）机构设置情况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自治区教育项目经费（自聘教师工资补助）项目的实施主体为呼图壁县园户村镇中心幼儿园，该单位纳入2024年部门决算编制范围的有5个科室，分别是：书记办公室，园长办公室，财务室，总务办公室，保健室。</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编制人数为25人，其中：行政人员编制0人、工勤0人、参公0人、事业编制25人。实有在职人数25人，其中：行政在职0人、工勤0人、参公0人、事业在职17人。离退休人员0人，其中：行政退休人员0人、事业退休1人。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本项目预算安排总额为28.58万元，资金来源为上级补助资金，其中：财政资金28.58万元，其他资金0万元，2024年实际收到预算资金28.58万元，预算资金到位率为100%。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截至2024年12月31日，本项目实际支付资金28.58万元，预算执行率100%，本项目资金主要用于支付自聘教师工资社保、公积金费用。</w:t>
      </w:r>
    </w:p>
    <w:p w14:paraId="539AC7FC">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3D635A9E">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本项目拟投入28.58万元用于完成自聘教师的工资补助，通过项目的实施，保障教职工利益，为幼儿园正常运转奠定更坚实的基础。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“组织活动场次”指标，预期指标值为“≥4次”；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“任职教师合格率”指标，预期指标值为“≥90%”；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“补助资金覆盖率”指标，预期指标值为“≥95%”；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“各项任务完成及时率”指标，预期指标值为“＝100%”；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（2）项目成本指标指标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“自聘教师工资”指标，预期指标值为“=4091元/人”；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③生态环境成本指标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“提高幼儿园教学质量”指标，预期指标值为“有效提高”；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“教职工满意度”指标，预期指标值为“≥95%”。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“家长满意度”指标，预期指标值为“≥95%”。</w:t>
      </w:r>
    </w:p>
    <w:p w14:paraId="0CB98850">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18436D45">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26C15D51">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通过绩效评价，促进本单位总结经验、发现问题、改进工作，旨在评价本项目前期审批、实施过程及实施效果，促进预算管理不断完善，加快绩效目标的实现，保证财政资金有效、合理使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此次我单位根据《财政支出绩效评价管理暂行办法》（财预〔2020〕10号）文件要求实施评价工作，本次评价对象为2024年自治区教育项目经费（自聘教师工资补助），评价核心为项目资金、项目产出、项目效益。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4.绩效评价依据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(1)《中华人民共和国预算法》；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(2)《中共中央国务院关于全面实施预算绩效管理的意见》（中发〔2018〕34号）；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(3)《项目支出绩效评价管理办法》（财预〔2020〕10号）；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(4)《自治区财政支出绩效评价管理暂行办法》（新财预〔2018〕189号）；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(5)《新疆维吾尔自治区教育专项资金管理办法》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(6)《自治区关于进一步规范学前教育自聘教师管理的通知》</w:t>
      </w:r>
    </w:p>
    <w:p w14:paraId="1DEAF73E">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58786450">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5个，包括：决策指标（21.0%）、过程指标（19.0%）、产出指标（20.0%）、成本指标（10.0%）、效益指标（30.0%）五类指标；二级和三级指标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1：项目支出绩效评价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正确的评价方法是评价工作顺利开展的保障，在结合实际经验的情况下，绩效评价小组根据该项目资金的性质和特点，选用定量分析法、定性分析法、比较分析法、成本效益分析法、目标管理法、问卷调查法对项目进行评价，旨在通过综合分析影响绩效目标实现、实施效果的内外部因素，从而评价本项目绩效。三级指标分析环节：定量分析法、定性分析法、比较分析法、成本效益分析法、目标管理法、问卷调查法。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 定量分析法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通过采集可量化的数据指标（如资金到位率、教师工资增幅、教师流动率等），运用统计工具进行数值化分析，衡量项目目标的达成程度和资金使用效率。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2. 定性分析法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通过访谈、观察或案例分析，获取教师满意度、教学质量变化、家长反馈等非数值化信息，综合评价项目实施的社会效益和教育质量提升效果。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3. 比较分析法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将项目实施前后的关键指标（如教师稳定性、班级师生比等）进行纵向对比，或与其他同类幼儿园的同类项目进行横向对比，评估项目的实际成效和差异性。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 成本效益分析法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通过核算项目投入成本（如补助资金总额）与产出效益（如教师队伍稳定率提升、教学质量改善等），分析资金使用的经济性和效益性。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5.目标管理法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以项目申报时设定的绩效目标（如补助覆盖率、教师持证率达标等）为基准，逐项对照实际完成情况，判断目标实现程度。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6. 问卷调查法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设计针对教师、家长或管理人员的问卷，收集其对工资补助政策落实、教师工作积极性、教学质量变化等方面的主观评价，形成量化或质性结论。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20EBDB6E">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3AB25210">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于2025年3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张瑞（评价小组组长）：主要负责项目策划和监督，全面负责项目绩效评价办稿的最终质量，对评估人员出具的最终报告质量进行复核，确保评估结果的客观性；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王莉（评价小组组员）：主要负责资料的收集，取证、数据统计分析；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刘佳伟（评价小组组员）：主要负责主要负责项目报告的制定，指标的研判，数据分析及报告撰写。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2025年3月2日-3月10日，评价工作进入实施阶段。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数据采集方面，评价小组项目负责人、财务人员进行访谈沟通，全面了解项目实施的目的、预算安排、实施内容、组织管理、实施结果等方面的内容；全面收集项目决策过程、资金使用管理、制度建设与执行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质量管理、项目建设及验收等相关资料，完成绩效评价内容所需的印证资料整理，所有数据经核查后统计汇总。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经调研了解，该项目主要受益群体包括教师。我们根据绩效评价目标和绩效指标体系，设计满意度调查问卷进行问卷调查，其中教师受益对象共选取样本30人，共发放问卷30份，最终收回30份。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2025年3月11日-3月20日，评价小组按照绩效评价的原则和规范，对取得的资料进行审查核实，对采集的数据进行分析，按照绩效评价指标评分表逐项进行打分、分析、汇总各方评价结果。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2025年3月21-3月25日，评价小组撰写绩效评价报告，按照新疆维吾尔自治区财政绩效管理信息系统绩效评价模块中统一格式和文本框架撰写绩效评价报告并提交审核。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5.问题整改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6.档案整理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0D5A2194">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54B195D1">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评价，本项目达成年初设立的绩效目标，在实施过程中取得了良好的成效，具体表现在：通过项目的实施，完成了资金都用于支付自聘教师的工资和社保、公积金费用，发放了4名自聘教师12个月的工资、社保、公积金共计28.58万元，自聘教师在年底考核中合格率为100%的产出目标，发挥了按时发放工资提高了教师的积极性效益。但在实施过程中也存在一些不足：在实际操作中，资金拨付的流程较为复杂，导致资金有时不能及时发放到教师手中。这不仅影响了教师的生活，也对幼儿园的正常运转造成了一定的困扰，自聘教师在福利、社保等方面的保障不足，导致部分教师对职业前景缺乏信心，影响了教师队伍的长期稳定性，虽然幼儿园定期组织教师培训，但由于资金和资源的限制，培训的内容和形式较为单一，无法满足教师多样化的学习需求。部分教师反映，培训内容与实际教学需求脱节，难以有效提升教学水平。 尽管工资补助项目在一定程度上缓解了教师流动性问题，但由于自聘教师的职业发展空间有限，部分教师仍然选择离职或转行。特别是在偏远地区，教师的招聘和留任问题依然严峻。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本项目共设置三级指标数量19个，实现三级指标数量19个，总体完成率为100%。最终评分结果：总分为100分，绩效评级为“优秀”。综合评价结论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项目决策类指标共设置6个，满分指标6个，得分率100.0%；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过程管理类指标共设置5个，满分指标5个，得分率100.0%；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项目产出类指标共设置4个，满分指标4个，得分率100.0%；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项目成本类指标共设置1个，满分指标1个，得分率100.0%；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项目效益类指标共设置3个，满分指标3个，得分率100.0%。</w:t>
      </w:r>
    </w:p>
    <w:p w14:paraId="0B675CBC">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74737B42">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076EC7F0">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项目决策类指标由3个二级指标和6个三级指标构成，权重分21.00分，实际得分21.00分。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立项符合国家颁发的《中华人民共和国教育法》（2021年修订）中：“规定国家保障教育事业优先发展，支持学前教育，鼓励社会力量依法办学，保障教师合法权益。该项目通过补助自聘教师工资，稳定教师队伍，符合法律对教育投入和教师权益保障的要求。”，符合国家法律法规、国民经济发展规划和相关政策；本项目立项符合《中华人民共和国国民经济和社会发展第十四个五年规划和2035年远景目标纲要》中：“提出“完善普惠性学前教育保障机制，加强教师队伍建设”。该项目通过财政补助提升自聘教师待遇，有助于实现普惠性学前教育目标。”内容，符合行业发展规划和政策要求；本项目立项符合《呼图壁县园户村镇中心幼儿园配置内设机构和人员编制规定》中职责范围中的“为学龄前儿童提供教育幼儿园保育及幼儿教育，实行保育与教育相结合的原则，对幼儿实施德、智、体、美方面全面发展的教育，管理幼儿生活活动，保护幼儿在幼儿园的安全”。属于我单位履职所需；根据《财政资金直接支付申请书》，本项目资金性质为“公共财政预算”功能分类为“学前教育”经济分类为“劳务费”属于公共财政支持范围，符合中央、地方事权支出责任划分原则；经检查我单位财政应用平台指标，本项目不存在重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本项目为非基础建设类项目，属于专项资金安排项目，不涉及事前绩效评估、可行性研究以及风险评估，由我单位严格按照《呼图壁县园户村镇中心幼儿园资金管理办法》文件要求实施项目。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综上所述，本指标满分为3.00分，根据评分标准得3.00分，本项目立项程序规范。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已设置年度绩效目标，具体内容为“本项目拟投入28.58万元用于完成自聘教师的工资补助，通过项目的实施，保障教职工利益，为幼儿园正常运转奠定更坚实的基础。”；本项目实际工作内容为：截止2024年12月31日，通过项目的实施，资金都用于自聘教师的工资发放，发放了4名教师12个月的工资、社保、公积金共计28.58万元，保障教职工福利利益，为幼儿园正常运转奠定更坚实的基础。按时发放工资提高了教师的积极性，此项目保障了教师的福利利益，为幼儿园的正常运转奠定了更加坚定的基础；绩效目标与实际工作内容一致，两者具有相关性;本项目预算申请资金28.58万元，预算确定资金量与实际工作任务相匹配。本项目按照绩效目标完成了数量指标、质量指标、时效指标、成本指标，有效保障了教师的福利利益，为幼儿园的正常运转奠定了更加坚定的基础，年度绩效目标完成，预期产出效益和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3个，二级指标6个，三级指标8个，定量指标7个，定性指标1个，指标量化率为87.50%，量化率达70.00%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（1）预算编制科学性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本项目预算编制通过市场询价得出，即预算编制较科学且经过论证；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预算申请内容为28.58万元，项目实际内容为2024年自治区教育项目经费（自聘教师工资补助），预算申请与《2024年自治区教育项目经费（自聘教师工资补助）项目实施方案》中涉及的项目内容匹配；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本项目预算申请资金28.58万元，我单位在预算申请中严格按照分项成本进行核算，其中：工资24.55万元，社保4.03万元。本项目预算额度测算依据充分，严格按照标准编制，预算确定资金量与实际工作任务相匹配；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综上所述，本指标满分为4.00分，根据评分标准4.00分，本项目预算编制科学。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分配资金以《关于申请2024年自治区教育项目经费（自聘教师工资补助）项目资金的请示》和《2024年自治区教育项目经费（自聘教师工资补助）项目实施方案》为依据进行资金分配，预算资金分配依据充分。根据《2024年自治区教育项目经费（自聘教师工资补助）资金下达文件》文件显示，本项目实际到位资金28.58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综上所述，本指标满分为2.00分，根据评分标准得2.00分，本项目资金分配合理。</w:t>
      </w:r>
      <w:r>
        <w:rPr>
          <w:rStyle w:val="18"/>
          <w:rFonts w:hint="eastAsia" w:ascii="楷体" w:hAnsi="楷体" w:eastAsia="楷体"/>
          <w:b w:val="0"/>
          <w:bCs w:val="0"/>
          <w:spacing w:val="-4"/>
          <w:sz w:val="32"/>
          <w:szCs w:val="32"/>
        </w:rPr>
        <w:tab/>
      </w:r>
    </w:p>
    <w:p w14:paraId="52FB1AB0">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26280C8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项目过程管理类指标由2个二级指标和5个三级指标构成，权重分19.00分，实际得分19.00分。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本项目预算资金为28.58万元，其中：本级财政安排资金28.58万元，其他资金0万元，实际到位资金28.58万元，资金到位率=（实际到位资金/预算资金）×100.00%=（28.58/28.58）*100.00%=100%。得分=资金到位率*分值=100%*4=4分。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本项目实际支出资金28.58万元，预算执行率=（实际支出资金/实际到位资金）×100.00%=（28.58/28.58</w:t>
      </w:r>
      <w:bookmarkStart w:id="0" w:name="_GoBack"/>
      <w:bookmarkEnd w:id="0"/>
      <w:r>
        <w:rPr>
          <w:rStyle w:val="18"/>
          <w:rFonts w:hint="eastAsia" w:ascii="楷体" w:hAnsi="楷体" w:eastAsia="楷体"/>
          <w:b w:val="0"/>
          <w:bCs w:val="0"/>
          <w:spacing w:val="-4"/>
          <w:sz w:val="32"/>
          <w:szCs w:val="32"/>
        </w:rPr>
        <w:t>）*100.00%=100%。得分=预算执行率*分值=100%*5=5分。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检查本项目签订的合同、资金申请文件、发票等财务付款凭证，得出本项目资金支出符合国家财经法规、《政府会计制度》以及《呼图壁县园户村镇中心幼儿园资金管理办法》《2024年自治区教育项目经费（自聘教师工资补助）专项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综上所述，本指标满分为4.00分，根据评分标准得4.00分，资金支出符合我单位财务管理制度规定。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呼图壁县园户村镇中心幼儿园资金管理办法》《呼图壁县园户村镇中心幼儿园收支业务管理制度》《呼图壁县园户村镇中心幼儿园政府采购业务管理制度》《呼图壁县园户村镇中心幼儿园合同管理制度》，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综上所述，本指标满分为2.00分，根据评分标准得2.00分，项目制度建设健全。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对比分析本项目实际执行过程资料和已建立的项目管理制度和财务管理制度，得出本项目严格按照本单位已建立制度执行。项目实施过程中产生的文件，如工资表、花名册等资料齐全并及时进行了归档。项目资金支出严格按照自治区、地区、市以及本单位资金管理办法执行，项目启动实施后，为了加快本项目的实施，成立了杨凡项目工作领导小组，由党组书记许思雨任组长，负责项目的组织工作；杨凡任副组长，负责项目的实施工作；组员包括：陈佳欢和顾亚萍，主要负责项目监督管理、验收以及资金核拨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综上所述，本指标满分为4.00分，根据评分标准得4.00分，本项目所建立制度执行有效。</w:t>
      </w:r>
    </w:p>
    <w:p w14:paraId="0D7843D7">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5C3AA5A1">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项目产出类指标由2个二级指标和4个三级指标构成，权重分20.0分，实际得分20分。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“组织活动场次”指标：预期指标值为“&gt;=4次”，实际完成指标值为“=4次”，指标完成率为100.0%。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“任职教师合格率”指标：预期指标值为“&gt;=90%”，实际完成指标值为“=100%”，指标完成率为100%。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“补助资金覆盖率”指标：预期指标值为“&gt;=95%”，实际完成指标值为“=100%”，指标完成率为100%。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“各项任务完成及时率”指标：预期指标值为“=100%”，实际完成指标值为“=100%”，指标完成率为100%。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（四）项目成本情况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项目成本情况指标由1个二级指标和1个三级指标构成，权重分10.0分，实际得分10分。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“项目成本控制率”指标：预期指标值为“=100%””，实际完成指标值为“=100%”，指标完成率为100%。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3.生态环境成本指标完成情况分析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0285D8C0">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2F2F6DDD">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项目效益类指标由1个二级指标和2个三级指标构成，权重分30.0分，实际得分30分。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“提高幼儿园教学质量”指标：预期指标值为“良好”，实际完成指标值为“达到预期指标”，指标完成率为100.0%。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综上所述，本指标满分为20分，根据评分标准得20分。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29CE7307">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4.满意度完成情况分析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“教师满意度”指标：预期指标值为“&gt;=95%”，实际完成指标值为“&gt;=95%%”，指标完成率为100.0%。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“家长满意度”指标：预期指标值为“&gt;=95%”，实际完成指标值为“&gt;=95%%”，指标完成率为100.0%。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p>
    <w:p w14:paraId="50B38D13">
      <w:pPr>
        <w:spacing w:line="540" w:lineRule="exact"/>
        <w:ind w:firstLine="567"/>
        <w:rPr>
          <w:rStyle w:val="18"/>
          <w:rFonts w:hint="eastAsia" w:ascii="楷体" w:hAnsi="楷体" w:eastAsia="楷体"/>
          <w:b w:val="0"/>
          <w:bCs w:val="0"/>
          <w:spacing w:val="-4"/>
          <w:sz w:val="32"/>
          <w:szCs w:val="32"/>
        </w:rPr>
      </w:pPr>
    </w:p>
    <w:p w14:paraId="10F5C938">
      <w:pPr>
        <w:spacing w:line="540" w:lineRule="exact"/>
        <w:ind w:firstLine="567"/>
        <w:rPr>
          <w:rStyle w:val="18"/>
          <w:rFonts w:ascii="楷体" w:hAnsi="楷体" w:eastAsia="楷体"/>
          <w:spacing w:val="-4"/>
          <w:sz w:val="32"/>
          <w:szCs w:val="32"/>
        </w:rPr>
      </w:pPr>
    </w:p>
    <w:p w14:paraId="7EB1985D">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3E0CA763">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1、项目组织方面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立足顶层设计与基层实践相结合，构建了“多层级联动、全流程统筹”的组织体系。一是强化责任分工，建立由教育主管部门牵头、财政部门协同、幼儿园具体落实的跨部门协作机制，明确各环节责任主体，确保任务高效衔接；二是注重动态反馈，通过定期召开推进会、建立问题台账等方式，及时梳理项目实施中的难点并针对性调整策略，保障政策落地与基层需求精准匹配；三是突出资源整合，充分调动园内行政、教学、财务等岗位力量，形成“专人专岗、专项专责”的工作模式，为项目推进提供人力与机制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2、项目管理方面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以规范化、精细化为导向，形成了“制度先行、动态监管”的管理模式。一是健全管理制度，结合自治区政策要求与幼儿园实际，制定涵盖教师资质审核、补助发放流程、绩效目标考核等环节的操作规范，确保项目实施有章可循；二是强化过程监督，通过专项督导、第三方评估与内部自查相结合的方式，对教师聘用合规性、资金使用规范性、教学质量提升效果等关键节点进行动态跟踪，有效防范风险；三是推进信息化赋能，依托动态数据库和线上管理平台，实现教师信息实时更新、资金流向透明可溯，显著提升管理效率和精准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3、资金管理方面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坚持“专款专用、安全高效”原则，构建了全链条资金管控机制。一是严格制度约束，依据自治区教育专项资金管理办法，明确资金拨付条件、使用范围和审批权限，从源头上确保资金合规使用；二是优化拨付流程，通过“财政直达+银行代发”模式缩短资金流转周期，减少中间环节滞留风险，保障补助资金及时足额到位；三是强化风险防控，建立资金使用预警机制，结合定期审计与随机抽查，对异常支出、账目偏差等问题进行动态监控和快速纠偏，确保资金效益最大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1、问题：自聘教师资质审核流程不够规范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当前资质审核主要依赖人工核验，缺乏统一的信息化审核平台，导致审核标准执行存在偏差。部分教师资质证明材料收集不全或真伪难辨，影响审核效率和质量。同时，多部门协同审核机制不完善，容易出现责任推诿或重复审核现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2、问题：资金发放时效性有待提高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资金审批层级较多，拨付流程复杂，导致补助发放存在延迟。部分教师资质证明材料收集不全或真伪难辨，影响审核效率和质量。同时，多部门协同审核机制不完善，容易出现责任推诿或重复审核现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3、问题：项目宣传解读不到位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政策宣传主要依靠文件传达，缺乏针对性的解读和培训，导致部分教师对补助政策理解不深。部分教师资质证明材料收集不全或真伪难辨，影响审核效率和质量。同时，多部门协同审核机制不完善，容易出现责任推诿或重复审核现象。</w:t>
      </w:r>
    </w:p>
    <w:p w14:paraId="78CA276C">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六</w:t>
      </w:r>
      <w:r>
        <w:rPr>
          <w:rStyle w:val="18"/>
          <w:rFonts w:hint="eastAsia" w:ascii="黑体" w:hAnsi="黑体" w:eastAsia="黑体"/>
          <w:b w:val="0"/>
          <w:spacing w:val="-4"/>
          <w:sz w:val="32"/>
          <w:szCs w:val="32"/>
        </w:rPr>
        <w:t>、有关建议</w:t>
      </w:r>
    </w:p>
    <w:p w14:paraId="2CCDCBD7">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1、改进建议：建立标准化的资质审核流程，开发统一的教师资质信息管理系统，实现证明材料电子化存档和在线核验。加强教育、人社等部门的协同联动，明确审核责任分工，建立交叉复核机制。同时定期开展审核人员业务培训，提升审核规范性和准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改进建议：简化资金审批流程，推行"一站式"线上审批，减少纸质材料流转。建立资金拨付绿色通道，对教师工资补助实行优先审批、优先拨付。建立资金拨付绿色通道，对教师工资补助实行优先审批、优先拨付。同时开发资金监管平台，设置发放进度预警功能，对临近截止日期的未发放款项自动提醒督办，确保资金及时足额发放。</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改进建议：通过线上线下多渠道宣传，定期召开政策宣讲会，设置互动答疑环节。建立教师意见反馈平台，及时收集和处理教师关切。同时培养政策宣传骨干，深入一线开展面对面讲解，确保政策落地"最后一公里"畅通无阻。</w:t>
      </w:r>
    </w:p>
    <w:p w14:paraId="57EC155D">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、其他需要说明的问题</w:t>
      </w:r>
    </w:p>
    <w:p w14:paraId="07A15B5F">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（三）评价结果分别编入政府决算和部门预算，报送本级人民代表大会常务委员会，并依法予以公开。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（四）我单位对上述项目支出绩效评价报告内反映内容的真实性、完整性负责，接受上级部门及社会公众监督。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附件1：项目支出绩效评价体系</w:t>
      </w:r>
    </w:p>
    <w:p w14:paraId="346578A9">
      <w:pPr>
        <w:spacing w:line="540" w:lineRule="exact"/>
        <w:ind w:firstLine="567"/>
        <w:rPr>
          <w:rStyle w:val="18"/>
          <w:rFonts w:ascii="仿宋" w:hAnsi="仿宋" w:eastAsia="仿宋"/>
          <w:b w:val="0"/>
          <w:spacing w:val="-4"/>
          <w:sz w:val="32"/>
          <w:szCs w:val="32"/>
        </w:rPr>
      </w:pPr>
    </w:p>
    <w:p w14:paraId="46590F54">
      <w:pPr>
        <w:spacing w:line="540" w:lineRule="exact"/>
        <w:ind w:firstLine="567"/>
        <w:rPr>
          <w:rStyle w:val="18"/>
          <w:rFonts w:ascii="仿宋" w:hAnsi="仿宋" w:eastAsia="仿宋"/>
          <w:b w:val="0"/>
          <w:spacing w:val="-4"/>
          <w:sz w:val="32"/>
          <w:szCs w:val="32"/>
        </w:rPr>
      </w:pPr>
    </w:p>
    <w:p w14:paraId="0BF3ED34">
      <w:pPr>
        <w:spacing w:line="540" w:lineRule="exact"/>
        <w:ind w:firstLine="567"/>
        <w:rPr>
          <w:rStyle w:val="18"/>
          <w:rFonts w:ascii="仿宋" w:hAnsi="仿宋" w:eastAsia="仿宋"/>
          <w:b w:val="0"/>
          <w:spacing w:val="-4"/>
          <w:sz w:val="32"/>
          <w:szCs w:val="32"/>
        </w:rPr>
      </w:pPr>
    </w:p>
    <w:p w14:paraId="0EFA5F14">
      <w:pPr>
        <w:spacing w:line="540" w:lineRule="exact"/>
        <w:ind w:firstLine="567"/>
        <w:rPr>
          <w:rStyle w:val="18"/>
          <w:rFonts w:ascii="仿宋" w:hAnsi="仿宋" w:eastAsia="仿宋"/>
          <w:b w:val="0"/>
          <w:spacing w:val="-4"/>
          <w:sz w:val="32"/>
          <w:szCs w:val="32"/>
        </w:rPr>
      </w:pPr>
    </w:p>
    <w:p w14:paraId="6A4B391F">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746B5AE5">
        <w:pPr>
          <w:pStyle w:val="12"/>
          <w:jc w:val="center"/>
        </w:pPr>
        <w:r>
          <w:fldChar w:fldCharType="begin"/>
        </w:r>
        <w:r>
          <w:instrText xml:space="preserve">PAGE   \* MERGEFORMAT</w:instrText>
        </w:r>
        <w:r>
          <w:fldChar w:fldCharType="separate"/>
        </w:r>
        <w:r>
          <w:rPr>
            <w:lang w:val="zh-CN"/>
          </w:rPr>
          <w:t>2</w:t>
        </w:r>
        <w:r>
          <w:fldChar w:fldCharType="end"/>
        </w:r>
      </w:p>
    </w:sdtContent>
  </w:sdt>
  <w:p w14:paraId="3B6BCC6A">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3029612C"/>
    <w:rsid w:val="32A221C5"/>
    <w:rsid w:val="33F20F2A"/>
    <w:rsid w:val="34C44675"/>
    <w:rsid w:val="3B5B5607"/>
    <w:rsid w:val="3CE21B3C"/>
    <w:rsid w:val="46AD611F"/>
    <w:rsid w:val="4D2606A1"/>
    <w:rsid w:val="51830480"/>
    <w:rsid w:val="53A616BE"/>
    <w:rsid w:val="54662BFB"/>
    <w:rsid w:val="62051CA5"/>
    <w:rsid w:val="6C3A69EF"/>
    <w:rsid w:val="77DE0274"/>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31</Pages>
  <Words>11237</Words>
  <Characters>11874</Characters>
  <Lines>4</Lines>
  <Paragraphs>1</Paragraphs>
  <TotalTime>8</TotalTime>
  <ScaleCrop>false</ScaleCrop>
  <LinksUpToDate>false</LinksUpToDate>
  <CharactersWithSpaces>11920</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2025-08-12T10:50:06Z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86A4BE803B594D54BB30BEB283D7FDDD_13</vt:lpwstr>
  </property>
  <property fmtid="{D5CDD505-2E9C-101B-9397-08002B2CF9AE}" pid="4" name="KSOTemplateDocerSaveRecord">
    <vt:lpwstr>eyJoZGlkIjoiYjAwZDY0MzljNDE2MjBkZjY5ZjY0ODNhMGVjMWM0N2EiLCJ1c2VySWQiOiIxMDA1MzM3ODU4In0=</vt:lpwstr>
  </property>
</Properties>
</file>