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2D63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853E875">
      <w:pPr>
        <w:spacing w:line="540" w:lineRule="exact"/>
        <w:jc w:val="center"/>
        <w:rPr>
          <w:rFonts w:ascii="华文中宋" w:hAnsi="华文中宋" w:eastAsia="华文中宋" w:cs="宋体"/>
          <w:b/>
          <w:kern w:val="0"/>
          <w:sz w:val="52"/>
          <w:szCs w:val="52"/>
        </w:rPr>
      </w:pPr>
    </w:p>
    <w:p w14:paraId="0F9D14C1">
      <w:pPr>
        <w:spacing w:line="540" w:lineRule="exact"/>
        <w:jc w:val="center"/>
        <w:rPr>
          <w:rFonts w:ascii="华文中宋" w:hAnsi="华文中宋" w:eastAsia="华文中宋" w:cs="宋体"/>
          <w:b/>
          <w:kern w:val="0"/>
          <w:sz w:val="52"/>
          <w:szCs w:val="52"/>
        </w:rPr>
      </w:pPr>
    </w:p>
    <w:p w14:paraId="1160AC69">
      <w:pPr>
        <w:spacing w:line="540" w:lineRule="exact"/>
        <w:jc w:val="center"/>
        <w:rPr>
          <w:rFonts w:ascii="华文中宋" w:hAnsi="华文中宋" w:eastAsia="华文中宋" w:cs="宋体"/>
          <w:b/>
          <w:kern w:val="0"/>
          <w:sz w:val="52"/>
          <w:szCs w:val="52"/>
        </w:rPr>
      </w:pPr>
    </w:p>
    <w:p w14:paraId="0401FC80">
      <w:pPr>
        <w:spacing w:line="540" w:lineRule="exact"/>
        <w:jc w:val="center"/>
        <w:rPr>
          <w:rFonts w:ascii="华文中宋" w:hAnsi="华文中宋" w:eastAsia="华文中宋" w:cs="宋体"/>
          <w:b/>
          <w:kern w:val="0"/>
          <w:sz w:val="52"/>
          <w:szCs w:val="52"/>
        </w:rPr>
      </w:pPr>
    </w:p>
    <w:p w14:paraId="54DBD07C">
      <w:pPr>
        <w:spacing w:line="540" w:lineRule="exact"/>
        <w:jc w:val="center"/>
        <w:rPr>
          <w:rFonts w:ascii="华文中宋" w:hAnsi="华文中宋" w:eastAsia="华文中宋" w:cs="宋体"/>
          <w:b/>
          <w:kern w:val="0"/>
          <w:sz w:val="52"/>
          <w:szCs w:val="52"/>
        </w:rPr>
      </w:pPr>
    </w:p>
    <w:p w14:paraId="7C0418E7">
      <w:pPr>
        <w:spacing w:line="540" w:lineRule="exact"/>
        <w:jc w:val="center"/>
        <w:rPr>
          <w:rFonts w:ascii="华文中宋" w:hAnsi="华文中宋" w:eastAsia="华文中宋" w:cs="宋体"/>
          <w:b/>
          <w:kern w:val="0"/>
          <w:sz w:val="52"/>
          <w:szCs w:val="52"/>
        </w:rPr>
      </w:pPr>
    </w:p>
    <w:p w14:paraId="550B915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297E67E">
      <w:pPr>
        <w:spacing w:line="540" w:lineRule="exact"/>
        <w:jc w:val="center"/>
        <w:rPr>
          <w:rFonts w:ascii="华文中宋" w:hAnsi="华文中宋" w:eastAsia="华文中宋" w:cs="宋体"/>
          <w:b/>
          <w:kern w:val="0"/>
          <w:sz w:val="52"/>
          <w:szCs w:val="52"/>
        </w:rPr>
      </w:pPr>
    </w:p>
    <w:p w14:paraId="29E322C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6F8C5B1">
      <w:pPr>
        <w:spacing w:line="540" w:lineRule="exact"/>
        <w:jc w:val="center"/>
        <w:rPr>
          <w:rFonts w:hAnsi="宋体" w:eastAsia="仿宋_GB2312" w:cs="宋体"/>
          <w:kern w:val="0"/>
          <w:sz w:val="30"/>
          <w:szCs w:val="30"/>
        </w:rPr>
      </w:pPr>
    </w:p>
    <w:p w14:paraId="6EABF24A">
      <w:pPr>
        <w:spacing w:line="540" w:lineRule="exact"/>
        <w:jc w:val="center"/>
        <w:rPr>
          <w:rFonts w:hAnsi="宋体" w:eastAsia="仿宋_GB2312" w:cs="宋体"/>
          <w:kern w:val="0"/>
          <w:sz w:val="30"/>
          <w:szCs w:val="30"/>
        </w:rPr>
      </w:pPr>
    </w:p>
    <w:p w14:paraId="370402EA">
      <w:pPr>
        <w:spacing w:line="540" w:lineRule="exact"/>
        <w:jc w:val="center"/>
        <w:rPr>
          <w:rFonts w:hAnsi="宋体" w:eastAsia="仿宋_GB2312" w:cs="宋体"/>
          <w:kern w:val="0"/>
          <w:sz w:val="30"/>
          <w:szCs w:val="30"/>
        </w:rPr>
      </w:pPr>
    </w:p>
    <w:p w14:paraId="26E50E3E">
      <w:pPr>
        <w:spacing w:line="540" w:lineRule="exact"/>
        <w:jc w:val="center"/>
        <w:rPr>
          <w:rFonts w:hAnsi="宋体" w:eastAsia="仿宋_GB2312" w:cs="宋体"/>
          <w:kern w:val="0"/>
          <w:sz w:val="30"/>
          <w:szCs w:val="30"/>
        </w:rPr>
      </w:pPr>
    </w:p>
    <w:p w14:paraId="7358AFC1">
      <w:pPr>
        <w:spacing w:line="540" w:lineRule="exact"/>
        <w:jc w:val="center"/>
        <w:rPr>
          <w:rFonts w:hAnsi="宋体" w:eastAsia="仿宋_GB2312" w:cs="宋体"/>
          <w:kern w:val="0"/>
          <w:sz w:val="30"/>
          <w:szCs w:val="30"/>
        </w:rPr>
      </w:pPr>
    </w:p>
    <w:p w14:paraId="46C8CBCC">
      <w:pPr>
        <w:spacing w:line="540" w:lineRule="exact"/>
        <w:jc w:val="center"/>
        <w:rPr>
          <w:rFonts w:hAnsi="宋体" w:eastAsia="仿宋_GB2312" w:cs="宋体"/>
          <w:kern w:val="0"/>
          <w:sz w:val="30"/>
          <w:szCs w:val="30"/>
        </w:rPr>
      </w:pPr>
    </w:p>
    <w:p w14:paraId="61911BFE">
      <w:pPr>
        <w:spacing w:line="540" w:lineRule="exact"/>
        <w:rPr>
          <w:rFonts w:hAnsi="宋体" w:eastAsia="仿宋_GB2312" w:cs="宋体"/>
          <w:kern w:val="0"/>
          <w:sz w:val="30"/>
          <w:szCs w:val="30"/>
        </w:rPr>
      </w:pPr>
    </w:p>
    <w:p w14:paraId="32B5A5B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38EB1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2024年服务群众工作经费【非定额+乡财】</w:t>
      </w:r>
    </w:p>
    <w:p w14:paraId="059F129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呼图壁县园户村镇人民政府</w:t>
      </w:r>
    </w:p>
    <w:p w14:paraId="5AFD1CF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呼图壁县园户村镇人民政府</w:t>
      </w:r>
    </w:p>
    <w:p w14:paraId="3277890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文立斌</w:t>
      </w:r>
    </w:p>
    <w:p w14:paraId="04E5748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2025年05月25日</w:t>
      </w:r>
    </w:p>
    <w:p w14:paraId="5BFE3FA8">
      <w:pPr>
        <w:spacing w:line="700" w:lineRule="exact"/>
        <w:ind w:firstLine="708" w:firstLineChars="236"/>
        <w:jc w:val="left"/>
        <w:rPr>
          <w:rFonts w:hAnsi="宋体" w:eastAsia="仿宋_GB2312" w:cs="宋体"/>
          <w:kern w:val="0"/>
          <w:sz w:val="30"/>
          <w:szCs w:val="30"/>
        </w:rPr>
      </w:pPr>
    </w:p>
    <w:p w14:paraId="438A8C3B">
      <w:pPr>
        <w:spacing w:line="540" w:lineRule="exact"/>
        <w:rPr>
          <w:rStyle w:val="18"/>
          <w:rFonts w:ascii="黑体" w:hAnsi="黑体" w:eastAsia="黑体"/>
          <w:b w:val="0"/>
          <w:spacing w:val="-4"/>
          <w:sz w:val="32"/>
          <w:szCs w:val="32"/>
        </w:rPr>
      </w:pPr>
    </w:p>
    <w:p w14:paraId="555706D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C19F95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CBE76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工作是乡村振兴和基层治理的基础。村级组织的工作运转直接关系到农村的稳定和发展，高效的村级运转能够确保各项政策措施得到有效执行，促进农村经济的繁荣和社会的和谐。其次，服务群众工作能够提升群众满意度和幸福感。通过规范村级事务管理，确保村务公开透明，保障村民的知情权、参与权和监督权，增强村民对村级事务的认同感和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（1）项目名称：2024年服务群众经费（以下简称“该项目”或“项目”）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主要用于为群众提供服务所产生的支出、开展群众活动所产生的支出、帮扶和救助困难群众、村级组织运转及社区公共设施建设和维护等。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实施主体：呼图壁县园户村镇人民政府。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呼图壁县园户村镇人民政府依托服务群众经费项目，分阶段推进民生服务：1月10日-3月30日投入专项资金42万元，集中清运辖区越冬积存生活垃圾1200吨，覆盖13个村社区，环境整治率达100%；4月15日启动春季环境卫生专项整治，组织60名保洁员完成主干道消杀及绿化带清理，增设垃圾分类点28处；6月-7月开展两轮全域卫生防疫行动，消杀公共场所面积超8万平方米，阻断季节性传染病传播链；9月10日中秋前夕走访慰问低保户、残障家庭等93户，发放米面油及慰问金7.8万元；12月落实困难群众冬季帮扶计划，为67户家庭提供燃煤、棉被等物资，保障安全过冬。全年累计惠及群众3200余人次，群众满意度测评达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⑤编制本镇财政预决算计划，负</w:t>
      </w:r>
      <w:r>
        <w:rPr>
          <w:rStyle w:val="18"/>
          <w:rFonts w:hint="eastAsia" w:ascii="楷体" w:hAnsi="楷体" w:eastAsia="楷体"/>
          <w:b w:val="0"/>
          <w:bCs w:val="0"/>
          <w:spacing w:val="-4"/>
          <w:sz w:val="32"/>
          <w:szCs w:val="32"/>
          <w:lang w:val="en-US" w:eastAsia="zh-CN"/>
        </w:rPr>
        <w:t>责</w:t>
      </w:r>
      <w:r>
        <w:rPr>
          <w:rStyle w:val="18"/>
          <w:rFonts w:hint="eastAsia" w:ascii="楷体" w:hAnsi="楷体" w:eastAsia="楷体"/>
          <w:b w:val="0"/>
          <w:bCs w:val="0"/>
          <w:spacing w:val="-4"/>
          <w:sz w:val="32"/>
          <w:szCs w:val="32"/>
        </w:rPr>
        <w:t>经费的划拨和核算工作;</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2024年部门整体绩效评价的实施主体为呼图壁县园户村镇人民政府，该单位纳入2024年部门决算编制范围的有五办五中心，分别是党政综合办公室、党建工作办公室、经济发展和财政办公室、社会事务办公室 （退役军人服务站）、综合执法办公室、农业发展服务中心、公共文化服务中心、村镇建设发展中心、综治和网格化服务中心和便民服务中心。其中，编制人数78人，实有人数105人，其中：在职人员70人，离休人员0人，退休人员35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本项目预算安排总额为130万元，资金来源为县本级财政拨款，其中：财政资金130万元，2024年实际收到预算资金130万元，预算资金到位率为100%。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130万元，预算执行率100%。本项目资金主要用于支付11个行政村、2个社区基层运转，每个村社区各10万元，支付主要用于为群众提供服务所产生的支出、开展群众活动所产生的支出、帮扶和救助困难群众、村级组织运转及社区公共设施建设和维护等。</w:t>
      </w:r>
    </w:p>
    <w:p w14:paraId="0690EB0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2BCED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群众提供服务所产生的支出（垃圾清运费、委托业务费）、开展群众活动所产生的支出（劳务费、社会治安治理费）、帮扶和救助困难群众（走访慰问、帮扶困难群众）、村级组织运转及社区公共设施建设和维护（道路安全设施维修维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新疆维吾尔自治区村级组织运转经费保障办法》（新财农〔2020〕15号）、《昌吉回族自治州财政支出绩效评价管理暂行办法》（昌州财预〔2021〕5号）、《呼图壁县财政专项资金绩效评价实施细则》（呼财〔2022〕3号）、《园户村镇服务群众经费项目实施方案》、《园户村镇村绩效目标申报表》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“覆盖村社区个数”指标，预期指标值为“ &gt;=13个 ”；</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“社区整体环境覆盖率”指标，预期指标值为“&gt;=80%”；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“垃圾清理及时率”指标，预期指标值为“&gt;=90%”；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“改善村社区居民生活质量”指标，预期指标值为“有效改善”；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“社区居住环境”指标，预期指标值为“优良”；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w:t>
      </w:r>
    </w:p>
    <w:p w14:paraId="5035A8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2BD193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C3A16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此次我单位根据《财政支出绩效评价管理暂行办法》（财预〔2020〕10号）文件要求实施评价工作，本次评价对象为呼图壁县园户村镇人民政府服务群众经费项目，评价核心为项目资金、项目产出、项目效益。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(5)《新疆维吾尔自治区村社区级服务群众经费保障办法》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(6)《昌吉回族自治州财政支出绩效评价管理暂行办法》（昌州财预〔2021〕5号）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(7)《呼图壁县财政专项资金绩效评价实施细则》（呼财〔2022〕3号）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(8)《园户村镇服务群众经费项目实施方案》</w:t>
      </w:r>
    </w:p>
    <w:p w14:paraId="75A621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8D7907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公众评判法、目标管理法、实地考察法对项目进行评价，旨在通过综合分析影响绩效目标实现、实施效果的内外部因素，从而评价本项目绩效。三级指标分析环节：总体采用公众评判法，同时辅以目标管理法、实地考察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通过问卷调查、村民代表访谈等方式，收集群众对服务群众响应速度、公开透明度、问题解决能力的满意度数据，直接反映项目实际效果。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（2）目标管理法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以预设的绩效目标（如“资金执行率≥95%”“群众满意度≥85%”）为基准，逐项核查实际完成情况，评估目标达成度。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（3）实地考察法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通过现场核查经费使用痕迹（如财务凭证、物资采购记录）、公共设施维护状况、服务台账等，验证资料真实性与项目落地效果。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5E442D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F1DF3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吴勇（评价小组组长）：主要负责项目策划和监督，全面负责项目绩效评价办稿的最终质量，对评估人员出具的最终报告质量进行复核，确保评估结果的客观性；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韩晓丽、崔先凤（评价小组组员）：主要负责资料的收集，取证、数据统计分析；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赵小玲、姚大鹏（评价小组组员）：主要负责主要负责项目报告的制定，指标的研判，数据分析及报告撰写。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11个行政村和2个社区的居民。我们根据绩效评价目标和绩效指标体系，设计满意度调查问卷进行问卷调查，其中行政村和社区的居民共选取样本45人，共发放问卷45份，最终收回45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C836B3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256BA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产出目标，比如为群众提供服务所产生的支出（垃圾清运费、委托业务费），群众生活质量有所提升；开展群众活动所产生的支出（劳务费、社会治安治理费），社会安全有效保障；帮扶和救助困难群众（走访慰问、帮扶困难群众），群众生活幸福感提升。但在实施过程中也存在一些不足：劳务费发放需经政府审批发放，劳动工资不及时导致部分居民满意度较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2CAE0B4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BBE80E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E9C7F7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本项目立项符合《新疆维吾尔自治区村社区级服务群众经费保障办法》中：“根据县委组织部、县财政局有关文件要求，专项经费主要用于村社区党建服务品牌创建、村社区服务设施建设、便民服务活动开展，群众文体活动及群众急需解决的各类事项”内容，符合国家法律法规、国民经济发展规划和相关政策；本项目立项符合《昌吉州关于加强村级组织服务群众经费保障的实施意见》中：“村级组织服务群众经费主要由州财政承担，县财政视情况适当予以支撑。根据上级主管部门测算结果，年度拨付计划报镇党委、政府审议通过后，每季度将经费下拨至各村委会。保障基本运行。村级组织运转经费主要用于保障各村级组织的基本运行，有条件的村可结合自身情况提高自我发展和保障能力。”内容，符合政策要求；本项目立项符合《关于呼图壁县服务群众经费管理办法（试行）》中职责范围中的“经费坚持专款专用、公开公正、勤俭节约的原则，实行项目化管理，严格执行申报审批流程。结合实际，对经费使用计划进行审批，并及时拨付经费；村社区组织按照项目计划书组织实施，每年年底前报告项目实施和资金使用情况；镇党委负责组织项目评价考核工作”，属于我单位履职所需；根据《财政资金直接支付申请书》，本项目资金性质为“公共财政预算”功能分类为“其他组织事务支出”，经济分类为“劳务费”“委托业务费”“垃圾清运费”“卫生防疫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主要用于保障村社区级组织日常高效运转，以及涵盖基层服务人员补贴发放等促进乡村治理能力提升的必要支出”；本项目实际工作内容包括但不限于：为群众提供服务所产生的支出（垃圾清运费、委托业务费）、开展群众活动所产生的支出（劳务费、社会治安治理费）、帮扶和救助困难群众（走访慰问、帮扶困难群众）、村级组织运转及社区公共设施建设和维护（道路安全设施维修维护）等基础性支出；绩效目标与实际工作内容一致，两者具有相关性;本项目预算申请资金130万元，预算确定资金量与实际工作任务相匹配。本项目按照绩效目标完成了村社区级办公场所水电费结算、划拨11个行政村取暖费、集中开展村级公共设施维修养护，投入垃圾清运、道路安全设施爆闪灯安装等工程，全年累计规范使用经费130万元，资金执行率达100%，实现社区整体环境保障率100%、服务群众满意度测评达95%。有效改善了村社区居民生活质量，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5个，定性指标2个，指标量化率为71.43%，量化率达100.00%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本项目预算编制通过上年支出情况及各村社区日常运转所需经费得出，即预算编制较科学且经过论证；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群众提供服务，项目实际内容为用于垃圾清运费、委托业务费、劳务费、社会治安治理费、走访慰问、帮扶困难群众、道路安全设施维修维护等，预算申请与《新疆维吾尔自治区村社区级服务群众经费保障办法》中“经费主要用于培育实施党建服务项目、培育发展党员群众共同参与的服务组织、由党组织牵头负责的与群众生产生活密切相关的公共服务类项目或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130万元，我单位在预算申请中严格按照单位标准和数量进行核算，其中：单位标准为10万元，数量为13。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规范2024年部门预算及执行相关要求》和《新疆维吾尔自治区村社区级服务群众经费保障办法》为依据进行资金分配，预算资金分配依据充分。根据《新疆维吾尔自治区村社区级服务群众经费保障办法》文件显示，本项目实际到位资金130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03AE27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D844D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本项目预算资金为130万元，其中：本级财政安排资金130万元，其他资金0万元，实际到位资金130万元，资金到位率=（实际到位资金/预算资金）×100.00%=（130/130）*100.00%=100%。得分=资金到位率*分值=100%*4=4分。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本项目实际支出资金130万元，预算执行率=（实际支出资金/实际到位资金）×100.00%=（130/130）*100.00%=100%。得分=预算执行率*分值=100%*5=5分。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通过检查本项目签订的合同、资金申请文件、发票等财务付款凭证，得出本项目资金支出符合国家财经法规、《政府会计制度》以及《新疆维吾尔自治区村社区级服务群众经费保障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园户村镇人民政府合同管理办法》、《建设项目管理制度》、《预算业务管理制度》、《园户村镇财务管理制度》、《园户村镇票据管理办法》、《园户村镇政府采购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审批表、合同书、政府采购报告、招投标文件、询价单、绩效管理报告、验收合格单等资料齐全并及时进行了归档。项目资金支出严格按照自治区、地区、市以及本单位资金管理办法执行，项目启动实施后，为了加快本项目的实施，成立了内部控制工作领导小组，由党组书记贾婷任组长，负责项目的组织工作；韩小虎任副组长，负责项目的实施工作；组员包括：纪委人员和财务室，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13889B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A22D6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“覆盖村社区个数”指标，预期指标值为“&gt;=13个”，实际完成指标值为“=13个”，指标完成率为100%；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“社区整体环境保障率”指标，预期指标值为“&gt;=80%”，实际完成指标值为“=100%”，指标完成率为100%。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“垃圾清理及时率”指标，预期指标值为“&gt;=90%”，实际完成指标值为“=100%”，指标完成率为100%。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13DD4A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D30083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“改善村社区居民生活质量”指标，预期指标值为“有效改善”，实际完成指标值为“达到预期指标”，指标完成率为100%；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“社区居住环境”指标，预期指标值为“优良”，实际完成指标值为“达到预期指标”，指标完成率为100%；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77DF5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F310142">
      <w:pPr>
        <w:spacing w:line="540" w:lineRule="exact"/>
        <w:ind w:firstLine="567"/>
        <w:rPr>
          <w:rStyle w:val="18"/>
          <w:rFonts w:hint="eastAsia" w:ascii="楷体" w:hAnsi="楷体" w:eastAsia="楷体"/>
          <w:b w:val="0"/>
          <w:bCs w:val="0"/>
          <w:spacing w:val="-4"/>
          <w:sz w:val="32"/>
          <w:szCs w:val="32"/>
        </w:rPr>
      </w:pPr>
    </w:p>
    <w:p w14:paraId="0B015468">
      <w:pPr>
        <w:spacing w:line="540" w:lineRule="exact"/>
        <w:ind w:firstLine="567"/>
        <w:rPr>
          <w:rStyle w:val="18"/>
          <w:rFonts w:ascii="楷体" w:hAnsi="楷体" w:eastAsia="楷体"/>
          <w:spacing w:val="-4"/>
          <w:sz w:val="32"/>
          <w:szCs w:val="32"/>
        </w:rPr>
      </w:pPr>
    </w:p>
    <w:p w14:paraId="54779C4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3978B5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注重构建“上下联动、责任明晰”的管理机制。通过成立专项工作领导小组，统筹协调镇、村两级职责分工，明确村级组织主体责任与镇级监督指导职能，形成“镇级统筹规划、村级具体实施、群众广泛参与”的多级联动模式。同时，建立定期沟通协商机制，通过例会、督导等形式动态掌握项目进展，及时解决难点问题，确保政策执行与基层需求精准对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坚持“流程规范、动态优化”的闭环管理模式。依托目标责任制，将服务群众效能、设施维护、矛盾调解等任务细化分解为可操作的工作节点，并通过信息化手段对服务过程进行全程跟踪。强化过程监督与结果考核，将绩效评价结果与村级干部评优评先挂钩，倒逼服务质量提升。此外，注重总结阶段性经验，结合群众反馈及时调整服务重点，形成“计划-执行-反馈-改进”的良性循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突出“专款专用、透明高效”的监管原则。严格遵循“预算编制-审批拨付-使用监督”全链条管理流程，通过设立专项账户、规范报销凭证、定期内部审计等方式，确保资金流向清晰可控。同时，推行“阳光化”运作模式，定期公开经费使用明细和项目成效，主动接受村民代表和镇级财政部门的双重监督，既保障资金安全合规，又增强群众对基层治理的信任感，实现“花好钱”与“办好事”的双重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1.资金使用效益与需求匹配度不足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经费分配未充分结合各村实际需求，存在“平均化”倾向，导致部分村公共服务供给过剩或不足，难以精准解决群众急难愁盼问题。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2.服务群众过程监管不到位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镇级对村级经费使用和服务实施的跟踪监管偏形式化，缺乏全过程动态监控手段，易出现服务缩水等问题。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4.村级组织服务能力参差不齐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部分村干部对经费管理政策理解不深，服务创新意识不足，导致公共服务质量与效率存在差异。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5.群众参与监督渠道有限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经费使用和服务成效的公开透明度不足，村民缺乏便捷的反馈渠道，难以形成有效监督。</w:t>
      </w:r>
    </w:p>
    <w:p w14:paraId="24A00F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72EC27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1.建立动态需求调研机制，通过村民议事会、入户走访等方式定期收集服务需求，结合各村人口规模、地理条件等差异，优化资金分配方案，推动“按需定投”。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2.完善信息化监管平台，对资金拨付、服务执行、物资采购等环节实施线上留痕管理；强化镇级财政、纪检部门联合抽查机制，定期开展实地核查，形成“线上+线下”立体化监督体系。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4.加强村级干部专题培训，重点围绕资金规范使用、群众工作方法、公共服务策划等内容；鼓励村际经验交流，推广优秀服务案例，提升整体执行能力。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5.推行“阳光公示”制度，通过村务公开栏、微信群等平台定期公开经费明细及项目进展；设立村民监督小组，开通线上意见反馈通道，确保群众知情权、参与权和监督权。</w:t>
      </w:r>
    </w:p>
    <w:p w14:paraId="44884E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5CCFE4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35E31A0">
      <w:pPr>
        <w:spacing w:line="540" w:lineRule="exact"/>
        <w:ind w:firstLine="567"/>
        <w:rPr>
          <w:rStyle w:val="18"/>
          <w:rFonts w:ascii="仿宋" w:hAnsi="仿宋" w:eastAsia="仿宋"/>
          <w:b w:val="0"/>
          <w:spacing w:val="-4"/>
          <w:sz w:val="32"/>
          <w:szCs w:val="32"/>
        </w:rPr>
      </w:pPr>
    </w:p>
    <w:p w14:paraId="30D39A83">
      <w:pPr>
        <w:spacing w:line="540" w:lineRule="exact"/>
        <w:ind w:firstLine="567"/>
        <w:rPr>
          <w:rStyle w:val="18"/>
          <w:rFonts w:ascii="仿宋" w:hAnsi="仿宋" w:eastAsia="仿宋"/>
          <w:b w:val="0"/>
          <w:spacing w:val="-4"/>
          <w:sz w:val="32"/>
          <w:szCs w:val="32"/>
        </w:rPr>
      </w:pPr>
    </w:p>
    <w:p w14:paraId="472F5581">
      <w:pPr>
        <w:spacing w:line="540" w:lineRule="exact"/>
        <w:ind w:firstLine="567"/>
        <w:rPr>
          <w:rStyle w:val="18"/>
          <w:rFonts w:ascii="仿宋" w:hAnsi="仿宋" w:eastAsia="仿宋"/>
          <w:b w:val="0"/>
          <w:spacing w:val="-4"/>
          <w:sz w:val="32"/>
          <w:szCs w:val="32"/>
        </w:rPr>
      </w:pPr>
    </w:p>
    <w:p w14:paraId="16B6FE3B">
      <w:pPr>
        <w:spacing w:line="540" w:lineRule="exact"/>
        <w:ind w:firstLine="567"/>
        <w:rPr>
          <w:rStyle w:val="18"/>
          <w:rFonts w:ascii="仿宋" w:hAnsi="仿宋" w:eastAsia="仿宋"/>
          <w:b w:val="0"/>
          <w:spacing w:val="-4"/>
          <w:sz w:val="32"/>
          <w:szCs w:val="32"/>
        </w:rPr>
      </w:pPr>
    </w:p>
    <w:p w14:paraId="4713876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E1A26F3">
        <w:pPr>
          <w:pStyle w:val="12"/>
          <w:jc w:val="center"/>
        </w:pPr>
        <w:r>
          <w:fldChar w:fldCharType="begin"/>
        </w:r>
        <w:r>
          <w:instrText xml:space="preserve">PAGE   \* MERGEFORMAT</w:instrText>
        </w:r>
        <w:r>
          <w:fldChar w:fldCharType="separate"/>
        </w:r>
        <w:r>
          <w:rPr>
            <w:lang w:val="zh-CN"/>
          </w:rPr>
          <w:t>2</w:t>
        </w:r>
        <w:r>
          <w:fldChar w:fldCharType="end"/>
        </w:r>
      </w:p>
    </w:sdtContent>
  </w:sdt>
  <w:p w14:paraId="2146A1F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C5612EF"/>
    <w:rsid w:val="3029612C"/>
    <w:rsid w:val="32A221C5"/>
    <w:rsid w:val="33F20F2A"/>
    <w:rsid w:val="34C44675"/>
    <w:rsid w:val="3B5B5607"/>
    <w:rsid w:val="3CE21B3C"/>
    <w:rsid w:val="46AD611F"/>
    <w:rsid w:val="4D2606A1"/>
    <w:rsid w:val="51830480"/>
    <w:rsid w:val="53A616BE"/>
    <w:rsid w:val="54662BFB"/>
    <w:rsid w:val="62051CA5"/>
    <w:rsid w:val="6C3A69EF"/>
    <w:rsid w:val="751B13F8"/>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10647</Words>
  <Characters>11192</Characters>
  <Lines>4</Lines>
  <Paragraphs>1</Paragraphs>
  <TotalTime>8</TotalTime>
  <ScaleCrop>false</ScaleCrop>
  <LinksUpToDate>false</LinksUpToDate>
  <CharactersWithSpaces>11211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2025-09-22T07:19:15Z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