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D917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5EF0DF8">
      <w:pPr>
        <w:spacing w:line="540" w:lineRule="exact"/>
        <w:jc w:val="center"/>
        <w:rPr>
          <w:rFonts w:ascii="华文中宋" w:hAnsi="华文中宋" w:eastAsia="华文中宋" w:cs="宋体"/>
          <w:b/>
          <w:kern w:val="0"/>
          <w:sz w:val="52"/>
          <w:szCs w:val="52"/>
        </w:rPr>
      </w:pPr>
    </w:p>
    <w:p w14:paraId="2975419B">
      <w:pPr>
        <w:spacing w:line="540" w:lineRule="exact"/>
        <w:jc w:val="center"/>
        <w:rPr>
          <w:rFonts w:ascii="华文中宋" w:hAnsi="华文中宋" w:eastAsia="华文中宋" w:cs="宋体"/>
          <w:b/>
          <w:kern w:val="0"/>
          <w:sz w:val="52"/>
          <w:szCs w:val="52"/>
        </w:rPr>
      </w:pPr>
    </w:p>
    <w:p w14:paraId="0F65ACE5">
      <w:pPr>
        <w:spacing w:line="540" w:lineRule="exact"/>
        <w:jc w:val="center"/>
        <w:rPr>
          <w:rFonts w:ascii="华文中宋" w:hAnsi="华文中宋" w:eastAsia="华文中宋" w:cs="宋体"/>
          <w:b/>
          <w:kern w:val="0"/>
          <w:sz w:val="52"/>
          <w:szCs w:val="52"/>
        </w:rPr>
      </w:pPr>
    </w:p>
    <w:p w14:paraId="2E602F0A">
      <w:pPr>
        <w:spacing w:line="540" w:lineRule="exact"/>
        <w:jc w:val="center"/>
        <w:rPr>
          <w:rFonts w:ascii="华文中宋" w:hAnsi="华文中宋" w:eastAsia="华文中宋" w:cs="宋体"/>
          <w:b/>
          <w:kern w:val="0"/>
          <w:sz w:val="52"/>
          <w:szCs w:val="52"/>
        </w:rPr>
      </w:pPr>
    </w:p>
    <w:p w14:paraId="52728159">
      <w:pPr>
        <w:spacing w:line="540" w:lineRule="exact"/>
        <w:jc w:val="center"/>
        <w:rPr>
          <w:rFonts w:ascii="华文中宋" w:hAnsi="华文中宋" w:eastAsia="华文中宋" w:cs="宋体"/>
          <w:b/>
          <w:kern w:val="0"/>
          <w:sz w:val="52"/>
          <w:szCs w:val="52"/>
        </w:rPr>
      </w:pPr>
    </w:p>
    <w:p w14:paraId="3000C22F">
      <w:pPr>
        <w:spacing w:line="540" w:lineRule="exact"/>
        <w:jc w:val="center"/>
        <w:rPr>
          <w:rFonts w:ascii="华文中宋" w:hAnsi="华文中宋" w:eastAsia="华文中宋" w:cs="宋体"/>
          <w:b/>
          <w:kern w:val="0"/>
          <w:sz w:val="52"/>
          <w:szCs w:val="52"/>
        </w:rPr>
      </w:pPr>
    </w:p>
    <w:p w14:paraId="7C61C57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B773327">
      <w:pPr>
        <w:spacing w:line="540" w:lineRule="exact"/>
        <w:jc w:val="center"/>
        <w:rPr>
          <w:rFonts w:ascii="华文中宋" w:hAnsi="华文中宋" w:eastAsia="华文中宋" w:cs="宋体"/>
          <w:b/>
          <w:kern w:val="0"/>
          <w:sz w:val="52"/>
          <w:szCs w:val="52"/>
        </w:rPr>
      </w:pPr>
    </w:p>
    <w:p w14:paraId="2DAF9086">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5CAB5A4">
      <w:pPr>
        <w:spacing w:line="540" w:lineRule="exact"/>
        <w:jc w:val="center"/>
        <w:rPr>
          <w:rFonts w:hAnsi="宋体" w:eastAsia="仿宋_GB2312" w:cs="宋体"/>
          <w:kern w:val="0"/>
          <w:sz w:val="30"/>
          <w:szCs w:val="30"/>
        </w:rPr>
      </w:pPr>
    </w:p>
    <w:p w14:paraId="211B11DD">
      <w:pPr>
        <w:spacing w:line="540" w:lineRule="exact"/>
        <w:jc w:val="center"/>
        <w:rPr>
          <w:rFonts w:hAnsi="宋体" w:eastAsia="仿宋_GB2312" w:cs="宋体"/>
          <w:kern w:val="0"/>
          <w:sz w:val="30"/>
          <w:szCs w:val="30"/>
        </w:rPr>
      </w:pPr>
    </w:p>
    <w:p w14:paraId="4975EF65">
      <w:pPr>
        <w:spacing w:line="540" w:lineRule="exact"/>
        <w:jc w:val="center"/>
        <w:rPr>
          <w:rFonts w:hAnsi="宋体" w:eastAsia="仿宋_GB2312" w:cs="宋体"/>
          <w:kern w:val="0"/>
          <w:sz w:val="30"/>
          <w:szCs w:val="30"/>
        </w:rPr>
      </w:pPr>
    </w:p>
    <w:p w14:paraId="2A715DE6">
      <w:pPr>
        <w:spacing w:line="540" w:lineRule="exact"/>
        <w:jc w:val="center"/>
        <w:rPr>
          <w:rFonts w:hAnsi="宋体" w:eastAsia="仿宋_GB2312" w:cs="宋体"/>
          <w:kern w:val="0"/>
          <w:sz w:val="30"/>
          <w:szCs w:val="30"/>
        </w:rPr>
      </w:pPr>
    </w:p>
    <w:p w14:paraId="4918AF78">
      <w:pPr>
        <w:spacing w:line="540" w:lineRule="exact"/>
        <w:jc w:val="center"/>
        <w:rPr>
          <w:rFonts w:hAnsi="宋体" w:eastAsia="仿宋_GB2312" w:cs="宋体"/>
          <w:kern w:val="0"/>
          <w:sz w:val="30"/>
          <w:szCs w:val="30"/>
        </w:rPr>
      </w:pPr>
    </w:p>
    <w:p w14:paraId="6E636E96">
      <w:pPr>
        <w:spacing w:line="540" w:lineRule="exact"/>
        <w:jc w:val="center"/>
        <w:rPr>
          <w:rFonts w:hAnsi="宋体" w:eastAsia="仿宋_GB2312" w:cs="宋体"/>
          <w:kern w:val="0"/>
          <w:sz w:val="30"/>
          <w:szCs w:val="30"/>
        </w:rPr>
      </w:pPr>
    </w:p>
    <w:p w14:paraId="6ECE88EB">
      <w:pPr>
        <w:spacing w:line="540" w:lineRule="exact"/>
        <w:rPr>
          <w:rFonts w:hAnsi="宋体" w:eastAsia="仿宋_GB2312" w:cs="宋体"/>
          <w:kern w:val="0"/>
          <w:sz w:val="30"/>
          <w:szCs w:val="30"/>
        </w:rPr>
      </w:pPr>
    </w:p>
    <w:p w14:paraId="39B2246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541FA0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2024年村社区级运转经费【非定额+乡财】</w:t>
      </w:r>
    </w:p>
    <w:p w14:paraId="321FEC53">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呼图壁县园户村镇人民政府</w:t>
      </w:r>
    </w:p>
    <w:p w14:paraId="1EBD2F66">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呼图壁县园户村镇人民政府</w:t>
      </w:r>
    </w:p>
    <w:p w14:paraId="25A17D6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文立斌</w:t>
      </w:r>
    </w:p>
    <w:p w14:paraId="312CA7A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2025年05月25日</w:t>
      </w:r>
    </w:p>
    <w:p w14:paraId="16DEAA85">
      <w:pPr>
        <w:spacing w:line="700" w:lineRule="exact"/>
        <w:ind w:firstLine="708" w:firstLineChars="236"/>
        <w:jc w:val="left"/>
        <w:rPr>
          <w:rFonts w:hAnsi="宋体" w:eastAsia="仿宋_GB2312" w:cs="宋体"/>
          <w:kern w:val="0"/>
          <w:sz w:val="30"/>
          <w:szCs w:val="30"/>
        </w:rPr>
      </w:pPr>
    </w:p>
    <w:p w14:paraId="7C3E43DE">
      <w:pPr>
        <w:spacing w:line="540" w:lineRule="exact"/>
        <w:rPr>
          <w:rStyle w:val="18"/>
          <w:rFonts w:ascii="黑体" w:hAnsi="黑体" w:eastAsia="黑体"/>
          <w:b w:val="0"/>
          <w:spacing w:val="-4"/>
          <w:sz w:val="32"/>
          <w:szCs w:val="32"/>
        </w:rPr>
      </w:pPr>
    </w:p>
    <w:p w14:paraId="293DE90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207E1C6">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DF8ACD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呼图壁县关于进一步加强基层治理体系和治理能力现代化建设的实施意见（2023-2025）》文件要求，结合园户村镇下辖11个行政村、2个社区基层运转实际，当前村社区级经费保障水平仅能满足日常运转需求的60%，导致基础设施维护滞后、公共服务覆盖不足、网格化管理效能受限等问题凸显。实施该项目是保障基层组织正常履职、落实惠民政策、维护社会稳定的必要举措，通过定向补充办公经费、民生服务专项资金和应急管理预算，可将基层运转经费保障率提升至90%以上，系统性解决公共照明设施完好率低、老年活动场所缺失率超40%、矛盾纠纷调解响应周期长等突出问题，预计实现村级公共服务覆盖率提升25个百分点、群众满意度达95%以上，切实筑牢乡村振兴战略实施的基层治理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（1）项目名称：2024年村社区级运转经费（以下简称“该项目”或“项目”）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用于保障村社区级组织日常高效运转，包括但不限于：标准化办公物资采购（办公用品）、公共设施周期性维护保养（设备设施维修维护）、基础能源消耗保障（水电暖网）等基础性支出，以及涵盖基层服务人员补贴发放等促进乡村治理能力提升的必要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实施主体：呼图壁县园户村镇人民政府。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园户村镇人民政府村级运转经费项目于2024年分阶段统筹推进，全面覆盖村级公共服务与基础设施维护需求。2024年1月，完成村社区级办公场所水电费结算，支付水电费18万元；2024年3月，针对冬季供暖，划拨11个行政村取暖费68万元；2024年5月，集中开展村级公共设施维修养护，投入文化室维修、村道照明系统改造等工程，投入47万元。全年累计规范使用经费260万元，资金执行率达100%，实现村级水电暖供应覆盖率100%、群众办事满意度测评达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①贯彻执行党和国家的有关方针、政策、法律和法规;执行上级政府的决定和命令;拟订适合本镇实际的具体政策措施，并有效地组织实施;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②组织制订并实施本镇经济和社会发展中长期规划，搞好经济发展的总体布局和产业结构的调整;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③负责组织编制本镇建设的总体规划，并组织实施，抓好本镇建设用地的规划管理工作;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④负责本镇的科技、教育、文化、卫生等事业发展和计划生育工作，负责本镇社会治安综合治理，维护社会稳定;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⑤编制本镇财政预决算计划，负</w:t>
      </w:r>
      <w:r>
        <w:rPr>
          <w:rStyle w:val="18"/>
          <w:rFonts w:hint="eastAsia" w:ascii="楷体" w:hAnsi="楷体" w:eastAsia="楷体"/>
          <w:b w:val="0"/>
          <w:bCs w:val="0"/>
          <w:spacing w:val="-4"/>
          <w:sz w:val="32"/>
          <w:szCs w:val="32"/>
          <w:lang w:val="en-US" w:eastAsia="zh-CN"/>
        </w:rPr>
        <w:t>责</w:t>
      </w:r>
      <w:r>
        <w:rPr>
          <w:rStyle w:val="18"/>
          <w:rFonts w:hint="eastAsia" w:ascii="楷体" w:hAnsi="楷体" w:eastAsia="楷体"/>
          <w:b w:val="0"/>
          <w:bCs w:val="0"/>
          <w:spacing w:val="-4"/>
          <w:sz w:val="32"/>
          <w:szCs w:val="32"/>
        </w:rPr>
        <w:t>经费的划拨和核算工作;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⑥完成县党委、县人民政府交办的其他事项。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2024年部门整体绩效评价的实施主体为呼图壁县园户村镇人民政府，该单位纳入2024年部门决算编制范围的有五办五中心，分别是党政综合办公室、党建工作办公室、经济发展和财政办公室、社会事务办公室 （退役军人服务站）、综合执法办公室、农业发展服务中心、公共文化服务中心、村镇建设发展中心、综治和网格化服务中心和便民服务中心。其中，编制人数78人，实有人数105人，其中：在职人员70人，离休人员0人，退休人员35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本项目预算安排总额为260万元，资金来源为县本级财政拨款，其中：财政资金260万元，2024年实际收到预算资金260万元，预算资金到位率为100%。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260万元，预算执行率100%。本项目资金主要用于支付11个行政村、2个社区基层运转，每个村社区各20万元，支付主要用于？村级办公经费，用于购买必需的办公用品、办公设施维护、水电费、报刊征订费等维持村级组织正常运转所需的基本开支。？党建工作经费，用于加强基层党员队伍教育管理、完善基层党组织活动阵地、为基层党员提供服务、奖励基层党组织和党务工作者的必要支出以及？其他必要支出等，如农村公共服务运行维护支出、村民小组长误工补贴等。</w:t>
      </w:r>
    </w:p>
    <w:p w14:paraId="30F2EB6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AD5583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标准化办公物资采购（办公用品）、公共设施周期性维护保养（设备设施维修维护）、基础能源消耗保障（水电暖网）等基础性支出，促进乡村治理能力提升，持续提升村社区级组织日常运转效能；同时依托基层服务人员补贴发放等必要支持机制，有效激发乡村治理内生动力，全面促进公共设施运维规范化、基础服务保障长效化、基层治理能力现代化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新疆维吾尔自治区村级组织运转经费保障办法》（新财农〔2020〕15号）、《昌吉回族自治州财政支出绩效评价管理暂行办法》（昌州财预〔2021〕5号）、《呼图壁县财政专项资金绩效评价实施细则》（呼财〔2022〕3号）、《园户村镇村级组织运转经费管理办法》（园政发〔2023〕1号）、《农业农村部关于规范农村公共服务运行维护机制建设的指导意见》（农经发〔2020〕6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“保障村社区个数”指标，预期指标值为“ &gt;=13个 ”；</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“购买办公用品次数”指标，预期指标值为“&gt;=1次”；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“供暖覆盖率”指标，预期指标值为“&gt;=90%”；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“供暖及时率”指标，预期指标值为“&gt;=90%”；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“项目投资比例”指标，预期指标值为“＜=100%”；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“有效改善工作环境”指标，预期指标值为“有效改善”；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“服务对象满意度”指标，预期指标值为“&gt;=95%”。</w:t>
      </w:r>
    </w:p>
    <w:p w14:paraId="7230C93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355589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78754E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此次我单位根据《财政支出绩效评价管理暂行办法》（财预〔2020〕10号）文件要求实施评价工作，本次评价对象为呼图壁县园户村镇人民政府村社区级运转经费项目，评价核心为项目资金、项目产出、项目效益。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(5)《新疆维吾尔自治区村级组织运转经费保障办法》（新财农〔2020〕15号）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(6)《昌吉回族自治州财政支出绩效评价管理暂行办法》（昌州财预〔2021〕5号）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(7)《呼图壁县财政专项资金绩效评价实施细则》（呼财〔2022〕3号）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(8)《园户村镇村级组织运转经费管理办法》（园政发〔2023〕1号）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(9)《农业农村部关于规范农村公共服务运行维护机制建设的指导意见》（农经发〔2020〕6号）</w:t>
      </w:r>
    </w:p>
    <w:p w14:paraId="4255861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CA3923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公众评判法、目标管理法、实地考察法对项目进行评价，旨在通过综合分析影响绩效目标实现、实施效果的内外部因素，从而评价本项目绩效。三级指标分析环节：总体采用公众评判法，同时辅以目标管理法、实地考察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通过问卷调查、村民代表访谈等方式，收集群众对村级服务响应速度、公开透明度、问题解决能力的满意度数据，直接反映项目实际效果。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（2）目标管理法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以预设的绩效目标（如“资金执行率≥95%”“群众满意度≥85%”）为基准，逐项核查实际完成情况，评估目标达成度。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（3）实地考察法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通过现场核查经费使用痕迹（如财务凭证、物资采购记录）、公共设施维护状况、服务台账等，验证资料真实性与项目落地效果。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33F7B7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D348F0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吴勇（评价小组组长）：主要负责项目策划和监督，全面负责项目绩效评价办稿的最终质量，对评估人员出具的最终报告质量进行复核，确保评估结果的客观性；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韩晓丽、崔先凤（评价小组组员）：主要负责资料的收集，取证、数据统计分析；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赵小玲、姚大鹏（评价小组组员）：主要负责主要负责项目报告的制定，指标的研判，数据分析及报告撰写。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11个行政村和2个社区的居民。我们根据绩效评价目标和绩效指标体系，设计满意度调查问卷进行问卷调查，其中行政村和社区的居民共选取样本45人，共发放问卷45份，最终收回45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2025年3月15日-3月20日，评价小组按照绩效评价的原则和规范，对取得的资料进行审查核实，对采集的数据进行分析，按照绩效评价指标评分表逐项进行打分、分析、汇总各方评价结果。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222C9E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D72EF6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产出目标，比如采购办公用品，资源利用率显著提升；保障水电暖网等能源供应，直接提升村民生活便利性；公共设施维护（如路灯、道路、沟渠挖建）减少安全隐患，改善人居环境。但在实施过程中也存在一些不足：村社区人居道路需长期进行维修维护，维修管理不及时导致部分居民满意度较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1FEB2B12">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A1C502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C43033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新疆维吾尔自治区村级组织运转经费保障办法》（新财农〔2020〕15号）中：“乡级人民政府依法管理本行政区域内的行政工作，对村民委员会的工作给予指导、支持和帮助”内容，符合国家法律法规、国民经济发展规划和相关政策；本项目立项符合《昌吉州关于加强村级组织运转经费保障的实施意见》中：“村级组织运转经费主要由州财政承担，县财政视情况适当予以支撑。根据上级主管部门测算结果，年度拨付计划报镇党委、政府审议通过后，每季度将经费下拨至各村委会。保障基本运行。村级组织运转经费主要用于保障各村级组织的基本运行，有条件的村可结合自身情况提高自我发展和保障能力。”内容，符合政策要求；本项目立项符合《关于规范村级组织运转经费使用管理的指导意见》中职责范围中的“由镇经济发展和财政办公室落实对村级组织运转经费的年度预算安排和管理。各村级组织应认真执行预算管理制度，对于村“两委”成员和全日制专职干事的基本报酬、其他人员费用、村级办公经费、服务群众经费、党员活动经费应分类编制预算明细，确因工作需要调整预算的，应按有关规定和程序，及时调整预算”，属于我单位履职所需；根据《财政资金直接支付申请书》，本项目资金性质为“公共财政预算”功能分类为“其他组织事务支出”，经济分类为“办公费”“水电费”“取暖费”“维修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主要用于保障村社区级组织日常高效运转，以及涵盖基层服务人员补贴发放等促进乡村治理能力提升的必要支出”；本项目实际工作内容包括但不限于：标准化办公物资采购（办公用品）、公共设施周期性维护保养（设备设施维修维护）、基础能源消耗保障（水电暖网）等基础性支出；绩效目标与实际工作内容一致，两者具有相关性;本项目预算申请资金260万元，预算确定资金量与实际工作任务相匹配。本项目按照绩效目标完成了村社区级办公场所水电费结算、划拨11个行政村取暖费、集中开展村级公共设施维修养护，投入文化室维修、村道照明系统改造等工程，全年累计规范使用经费260万元，资金执行率达100%，实现村级水电暖供应覆盖率100%、群众办事满意度测评达95%。有效保障了村社区正常运转，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6个，定性指标1个，指标量化率为85.71%，量化率达100.00%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本项目预算编制通过上年支出情况及各村社区日常运转所需经费得出，即预算编制较科学且经过论证；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村社区运行保障，项目实际内容为用于购买必需的办公用品、办公设施维护、水电费、报刊征订费、？党建工作经费等，预算申请与《(5)《新疆维吾尔自治区村级组织运转经费保障办法》（新财农〔2020〕15号）中“村级组织运转经费主要用于落实村干部报酬待遇和村级组织办公经费，保障村级公共服务运行维护等其他必要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（一）村干部报酬，是指对在任的村“两委”班子成员给予的补贴，主要用于发放村干部基础报酬、“五个好”党支部创建绩效奖励报酬。同时一并做好国家和自治区政策范围内享受补贴的基层其他人员补贴。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（二）村级组织办公经费，主要用于必要的办公用品费、水电费、报刊征订费等维持基层组织正常运转所必需的开支。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（三）其他必要支出，主要用于村内治安、公共卫生防疫、公共服务设施维护、统战等村级公共服务运行维护支出和其他必要支出。”涉及的项目内容匹配。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260万元，我单位在预算申请中严格按照单位标准和数量进行核算，其中：单位标准为20万元，数量为13个。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规范2024年部门预算及执行相关要求》和《呼图壁县园户村镇人民政府村级组织运转经费使用范围》为依据进行资金分配，预算资金分配依据充分。根据《呼图壁县园户村镇人民政府村级组织运转经费使用范围》文件显示，本项目实际到位资金260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148DB1A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46CC47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本项目预算资金为260万元，其中：本级财政安排资金260万元，其他资金0万元，实际到位资金260万元，资金到位率=（实际到位资金/预算资金）×100.00%=（260/260）*100.00%=100%。得分=资金到位率*分值=100%*4=4分。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本项目实际支出资金260万元，预算执行率=（实际支出资金/实际到位资金）×100.00%=（260/260）*100.00%=100%。得分=预算执行率*分值=100%*5=5分。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新疆维吾尔自治区村级组织运转经费保障办法》（新财农〔2020〕15号），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园户村镇人民政府合同管理办法》、《建设项目管理制度》、《预算业务管理制度》、《园户村镇财务管理制度》、《园户村镇票据管理办法》、《园户村镇政府采购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审批表、合同书、政府采购报告、招投标文件、询价单、绩效管理报告、验收合格单等资料齐全并及时进行了归档。项目资金支出严格按照自治区、地区、市以及本单位资金管理办法执行，项目启动实施后，为了加快本项目的实施，成立了内部控制工作领导小组，由党组书记贾婷任组长，负责项目的组织工作；韩小虎任副组长，负责项目的实施工作；组员包括：纪委人员和财务室，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5857D0B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A52818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“保障村社区个数”指标，预期指标值为“&gt;=13个”，实际完成指标值为“=13个”，指标完成率为100%；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“购买办公用品次数”指标，预期指标值为“&gt;=1次”，实际完成指标值为“=1次”，指标完成率为100%；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“供暖覆盖率”指标，预期指标值为“&gt;=90%”，实际完成指标值为“=100%”，指标完成率为100%。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“供暖及时率”指标，预期指标值为“&gt;=90%”，实际完成指标值为“=100%”，指标完成率为100%。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“项目投资比例”指标，预期指标值为“＜=100%”，实际完成指标值为“=100%”，指标完成率为100%。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017600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8FC94E5">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“有效改善工作环境”指标，预期指标值为“有效改善”，实际完成指标值为“达到预期指标”，指标完成率为100%；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综上所述，本指标满分为15分，根据评分标准得15分。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764A5D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综上所述，本指标满分为15分，根据评分标准得15分。</w:t>
      </w:r>
    </w:p>
    <w:p w14:paraId="344B836D">
      <w:pPr>
        <w:spacing w:line="540" w:lineRule="exact"/>
        <w:ind w:firstLine="567"/>
        <w:rPr>
          <w:rStyle w:val="18"/>
          <w:rFonts w:hint="eastAsia" w:ascii="楷体" w:hAnsi="楷体" w:eastAsia="楷体"/>
          <w:b w:val="0"/>
          <w:bCs w:val="0"/>
          <w:spacing w:val="-4"/>
          <w:sz w:val="32"/>
          <w:szCs w:val="32"/>
        </w:rPr>
      </w:pPr>
    </w:p>
    <w:p w14:paraId="4487D6B6">
      <w:pPr>
        <w:spacing w:line="540" w:lineRule="exact"/>
        <w:ind w:firstLine="567"/>
        <w:rPr>
          <w:rStyle w:val="18"/>
          <w:rFonts w:ascii="楷体" w:hAnsi="楷体" w:eastAsia="楷体"/>
          <w:spacing w:val="-4"/>
          <w:sz w:val="32"/>
          <w:szCs w:val="32"/>
        </w:rPr>
      </w:pPr>
    </w:p>
    <w:p w14:paraId="1BAC758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859C12C">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五、主要经验及做法、存在的问题及原因分析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方面，注重构建“上下联动、责任明晰”的管理机制。通过成立专项工作领导小组，统筹协调镇、村两级职责分工，明确村级组织主体责任与镇级监督指导职能，形成“镇级统筹规划、村级具体实施、群众广泛参与”的多级联动模式。同时，建立定期沟通协商机制，通过例会、督导等形式动态掌握项目进展，及时解决难点问题，确保政策执行与基层需求精准对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管理方面，坚持“流程规范、动态优化”的闭环管理模式。依托目标责任制，将村级服务效能、设施维护、矛盾调解等任务细化分解为可操作的工作节点，并通过信息化手段对服务过程进行全程跟踪。强化过程监督与结果考核，将绩效评价结果与村级干部评优评先挂钩，倒逼服务质量提升。此外，注重总结阶段性经验，结合群众反馈及时调整服务重点，形成“计划-执行-反馈-改进”的良性循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资金管理方面，突出“专款专用、透明高效”的监管原则。严格遵循“预算编制-审批拨付-使用监督”全链条管理流程，通过设立专项账户、规范报销凭证、定期内部审计等方式，确保资金流向清晰可控。同时，推行“阳光化”运作模式，定期公开经费使用明细和项目成效，主动接受村民代表和镇级财政部门的双重监督，既保障资金安全合规，又增强群众对基层治理的信任感，实现“花好钱”与“办好事”的双重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1.资金使用效益与需求匹配度不足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经费分配未充分结合各村实际需求，存在“平均化”倾向，导致部分村公共服务供给过剩或不足，难以精准解决群众急难愁盼问题。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2.村级服务过程监管不到位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镇级对村级经费使用和服务实施的跟踪监管偏形式化，缺乏全过程动态监控手段，易出现资金挪用、服务缩水等问题。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4.村级组织服务能力参差不齐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部分村干部对经费管理政策理解不深，服务创新意识不足，导致公共服务质量与效率存在差异。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5.群众参与监督渠道有限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经费使用和服务成效的公开透明度不足，村民缺乏便捷的反馈渠道，难以形成有效监督。</w:t>
      </w:r>
    </w:p>
    <w:p w14:paraId="4BD4EF8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7E0EAF0F">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1.建立动态需求调研机制，通过村民议事会、入户走访等方式定期收集服务需求，结合各村人口规模、地理条件等差异，优化资金分配方案，推动“按需定投”。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2.完善信息化监管平台，对资金拨付、服务执行、物资采购等环节实施线上留痕管理；强化镇级财政、纪检部门联合抽查机制，定期开展实地核查，形成“线上+线下”立体化监督体系。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4.加强村级干部专题培训，重点围绕资金规范使用、群众工作方法、公共服务策划等内容；鼓励村际</w:t>
      </w:r>
      <w:bookmarkStart w:id="0" w:name="_GoBack"/>
      <w:bookmarkEnd w:id="0"/>
      <w:r>
        <w:rPr>
          <w:rStyle w:val="18"/>
          <w:rFonts w:hint="eastAsia" w:ascii="楷体" w:hAnsi="楷体" w:eastAsia="楷体"/>
          <w:b w:val="0"/>
          <w:bCs w:val="0"/>
          <w:spacing w:val="-4"/>
          <w:sz w:val="32"/>
          <w:szCs w:val="32"/>
        </w:rPr>
        <w:t>经验交流，推广优秀服务案例，提升整体执行能力。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5.推行“阳光公示”制度，通过村务公开栏、微信群等平台定期公开经费明细及项目进展；设立村民监督小组，开通线上意见反馈通道，确保群众知情权、参与权和监督权。</w:t>
      </w:r>
    </w:p>
    <w:p w14:paraId="4EEAC8A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07D52AD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4BA05FCC">
      <w:pPr>
        <w:spacing w:line="540" w:lineRule="exact"/>
        <w:ind w:firstLine="567"/>
        <w:rPr>
          <w:rStyle w:val="18"/>
          <w:rFonts w:ascii="仿宋" w:hAnsi="仿宋" w:eastAsia="仿宋"/>
          <w:b w:val="0"/>
          <w:spacing w:val="-4"/>
          <w:sz w:val="32"/>
          <w:szCs w:val="32"/>
        </w:rPr>
      </w:pPr>
    </w:p>
    <w:p w14:paraId="1F505A37">
      <w:pPr>
        <w:spacing w:line="540" w:lineRule="exact"/>
        <w:ind w:firstLine="567"/>
        <w:rPr>
          <w:rStyle w:val="18"/>
          <w:rFonts w:ascii="仿宋" w:hAnsi="仿宋" w:eastAsia="仿宋"/>
          <w:b w:val="0"/>
          <w:spacing w:val="-4"/>
          <w:sz w:val="32"/>
          <w:szCs w:val="32"/>
        </w:rPr>
      </w:pPr>
    </w:p>
    <w:p w14:paraId="4F316B42">
      <w:pPr>
        <w:spacing w:line="540" w:lineRule="exact"/>
        <w:ind w:firstLine="567"/>
        <w:rPr>
          <w:rStyle w:val="18"/>
          <w:rFonts w:ascii="仿宋" w:hAnsi="仿宋" w:eastAsia="仿宋"/>
          <w:b w:val="0"/>
          <w:spacing w:val="-4"/>
          <w:sz w:val="32"/>
          <w:szCs w:val="32"/>
        </w:rPr>
      </w:pPr>
    </w:p>
    <w:p w14:paraId="1959ADAD">
      <w:pPr>
        <w:spacing w:line="540" w:lineRule="exact"/>
        <w:ind w:firstLine="567"/>
        <w:rPr>
          <w:rStyle w:val="18"/>
          <w:rFonts w:ascii="仿宋" w:hAnsi="仿宋" w:eastAsia="仿宋"/>
          <w:b w:val="0"/>
          <w:spacing w:val="-4"/>
          <w:sz w:val="32"/>
          <w:szCs w:val="32"/>
        </w:rPr>
      </w:pPr>
    </w:p>
    <w:p w14:paraId="76F3836F">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F4DAA07">
        <w:pPr>
          <w:pStyle w:val="12"/>
          <w:jc w:val="center"/>
        </w:pPr>
        <w:r>
          <w:fldChar w:fldCharType="begin"/>
        </w:r>
        <w:r>
          <w:instrText xml:space="preserve">PAGE   \* MERGEFORMAT</w:instrText>
        </w:r>
        <w:r>
          <w:fldChar w:fldCharType="separate"/>
        </w:r>
        <w:r>
          <w:rPr>
            <w:lang w:val="zh-CN"/>
          </w:rPr>
          <w:t>2</w:t>
        </w:r>
        <w:r>
          <w:fldChar w:fldCharType="end"/>
        </w:r>
      </w:p>
    </w:sdtContent>
  </w:sdt>
  <w:p w14:paraId="0B773D19">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3B91795"/>
    <w:rsid w:val="46AD611F"/>
    <w:rsid w:val="4D2606A1"/>
    <w:rsid w:val="51830480"/>
    <w:rsid w:val="53A616BE"/>
    <w:rsid w:val="54662BFB"/>
    <w:rsid w:val="62051CA5"/>
    <w:rsid w:val="6A683D03"/>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11154</Words>
  <Characters>11744</Characters>
  <Lines>4</Lines>
  <Paragraphs>1</Paragraphs>
  <TotalTime>19</TotalTime>
  <ScaleCrop>false</ScaleCrop>
  <LinksUpToDate>false</LinksUpToDate>
  <CharactersWithSpaces>11763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2025-09-22T07:30:48Z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