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FDFA6">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C0F578F">
      <w:pPr>
        <w:spacing w:line="540" w:lineRule="exact"/>
        <w:jc w:val="center"/>
        <w:rPr>
          <w:rFonts w:ascii="华文中宋" w:hAnsi="华文中宋" w:eastAsia="华文中宋" w:cs="宋体"/>
          <w:b/>
          <w:kern w:val="0"/>
          <w:sz w:val="52"/>
          <w:szCs w:val="52"/>
        </w:rPr>
      </w:pPr>
    </w:p>
    <w:p w14:paraId="1279C7FF">
      <w:pPr>
        <w:spacing w:line="540" w:lineRule="exact"/>
        <w:jc w:val="center"/>
        <w:rPr>
          <w:rFonts w:ascii="华文中宋" w:hAnsi="华文中宋" w:eastAsia="华文中宋" w:cs="宋体"/>
          <w:b/>
          <w:kern w:val="0"/>
          <w:sz w:val="52"/>
          <w:szCs w:val="52"/>
        </w:rPr>
      </w:pPr>
    </w:p>
    <w:p w14:paraId="29868C74">
      <w:pPr>
        <w:spacing w:line="540" w:lineRule="exact"/>
        <w:jc w:val="center"/>
        <w:rPr>
          <w:rFonts w:ascii="华文中宋" w:hAnsi="华文中宋" w:eastAsia="华文中宋" w:cs="宋体"/>
          <w:b/>
          <w:kern w:val="0"/>
          <w:sz w:val="52"/>
          <w:szCs w:val="52"/>
        </w:rPr>
      </w:pPr>
    </w:p>
    <w:p w14:paraId="73183D0B">
      <w:pPr>
        <w:spacing w:line="540" w:lineRule="exact"/>
        <w:jc w:val="center"/>
        <w:rPr>
          <w:rFonts w:ascii="华文中宋" w:hAnsi="华文中宋" w:eastAsia="华文中宋" w:cs="宋体"/>
          <w:b/>
          <w:kern w:val="0"/>
          <w:sz w:val="52"/>
          <w:szCs w:val="52"/>
        </w:rPr>
      </w:pPr>
    </w:p>
    <w:p w14:paraId="767895D8">
      <w:pPr>
        <w:spacing w:line="540" w:lineRule="exact"/>
        <w:jc w:val="center"/>
        <w:rPr>
          <w:rFonts w:ascii="华文中宋" w:hAnsi="华文中宋" w:eastAsia="华文中宋" w:cs="宋体"/>
          <w:b/>
          <w:kern w:val="0"/>
          <w:sz w:val="52"/>
          <w:szCs w:val="52"/>
        </w:rPr>
      </w:pPr>
    </w:p>
    <w:p w14:paraId="6BEF2861">
      <w:pPr>
        <w:spacing w:line="540" w:lineRule="exact"/>
        <w:jc w:val="center"/>
        <w:rPr>
          <w:rFonts w:ascii="华文中宋" w:hAnsi="华文中宋" w:eastAsia="华文中宋" w:cs="宋体"/>
          <w:b/>
          <w:kern w:val="0"/>
          <w:sz w:val="52"/>
          <w:szCs w:val="52"/>
        </w:rPr>
      </w:pPr>
    </w:p>
    <w:p w14:paraId="44D9801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C7CDAAF">
      <w:pPr>
        <w:spacing w:line="540" w:lineRule="exact"/>
        <w:jc w:val="center"/>
        <w:rPr>
          <w:rFonts w:ascii="华文中宋" w:hAnsi="华文中宋" w:eastAsia="华文中宋" w:cs="宋体"/>
          <w:b/>
          <w:kern w:val="0"/>
          <w:sz w:val="52"/>
          <w:szCs w:val="52"/>
        </w:rPr>
      </w:pPr>
    </w:p>
    <w:p w14:paraId="4A95F066">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5E76DE23">
      <w:pPr>
        <w:spacing w:line="540" w:lineRule="exact"/>
        <w:jc w:val="center"/>
        <w:rPr>
          <w:rFonts w:hAnsi="宋体" w:eastAsia="仿宋_GB2312" w:cs="宋体"/>
          <w:kern w:val="0"/>
          <w:sz w:val="30"/>
          <w:szCs w:val="30"/>
        </w:rPr>
      </w:pPr>
    </w:p>
    <w:p w14:paraId="02878706">
      <w:pPr>
        <w:spacing w:line="540" w:lineRule="exact"/>
        <w:jc w:val="center"/>
        <w:rPr>
          <w:rFonts w:hAnsi="宋体" w:eastAsia="仿宋_GB2312" w:cs="宋体"/>
          <w:kern w:val="0"/>
          <w:sz w:val="30"/>
          <w:szCs w:val="30"/>
        </w:rPr>
      </w:pPr>
    </w:p>
    <w:p w14:paraId="0877D021">
      <w:pPr>
        <w:spacing w:line="540" w:lineRule="exact"/>
        <w:jc w:val="center"/>
        <w:rPr>
          <w:rFonts w:hAnsi="宋体" w:eastAsia="仿宋_GB2312" w:cs="宋体"/>
          <w:kern w:val="0"/>
          <w:sz w:val="30"/>
          <w:szCs w:val="30"/>
        </w:rPr>
      </w:pPr>
    </w:p>
    <w:p w14:paraId="5B223FE3">
      <w:pPr>
        <w:spacing w:line="540" w:lineRule="exact"/>
        <w:jc w:val="center"/>
        <w:rPr>
          <w:rFonts w:hAnsi="宋体" w:eastAsia="仿宋_GB2312" w:cs="宋体"/>
          <w:kern w:val="0"/>
          <w:sz w:val="30"/>
          <w:szCs w:val="30"/>
        </w:rPr>
      </w:pPr>
    </w:p>
    <w:p w14:paraId="4EB84B61">
      <w:pPr>
        <w:spacing w:line="540" w:lineRule="exact"/>
        <w:jc w:val="center"/>
        <w:rPr>
          <w:rFonts w:hAnsi="宋体" w:eastAsia="仿宋_GB2312" w:cs="宋体"/>
          <w:kern w:val="0"/>
          <w:sz w:val="30"/>
          <w:szCs w:val="30"/>
        </w:rPr>
      </w:pPr>
    </w:p>
    <w:p w14:paraId="1FF80474">
      <w:pPr>
        <w:spacing w:line="540" w:lineRule="exact"/>
        <w:jc w:val="center"/>
        <w:rPr>
          <w:rFonts w:hAnsi="宋体" w:eastAsia="仿宋_GB2312" w:cs="宋体"/>
          <w:kern w:val="0"/>
          <w:sz w:val="30"/>
          <w:szCs w:val="30"/>
        </w:rPr>
      </w:pPr>
    </w:p>
    <w:p w14:paraId="3AD08C89">
      <w:pPr>
        <w:spacing w:line="540" w:lineRule="exact"/>
        <w:rPr>
          <w:rFonts w:hAnsi="宋体" w:eastAsia="仿宋_GB2312" w:cs="宋体"/>
          <w:kern w:val="0"/>
          <w:sz w:val="30"/>
          <w:szCs w:val="30"/>
        </w:rPr>
      </w:pPr>
    </w:p>
    <w:p w14:paraId="219D928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425AC3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城区绿化养护费项目（非定额）</w:t>
      </w:r>
    </w:p>
    <w:p w14:paraId="2B375AC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呼图壁县城市管理综合服务中心</w:t>
      </w:r>
    </w:p>
    <w:p w14:paraId="7C1CAD5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呼图壁县城市管理综合服务中心</w:t>
      </w:r>
    </w:p>
    <w:p w14:paraId="027EDA7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韩小刚</w:t>
      </w:r>
    </w:p>
    <w:p w14:paraId="63ACC31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7F82279">
      <w:pPr>
        <w:spacing w:line="700" w:lineRule="exact"/>
        <w:ind w:firstLine="708" w:firstLineChars="236"/>
        <w:jc w:val="left"/>
        <w:rPr>
          <w:rFonts w:hAnsi="宋体" w:eastAsia="仿宋_GB2312" w:cs="宋体"/>
          <w:kern w:val="0"/>
          <w:sz w:val="30"/>
          <w:szCs w:val="30"/>
        </w:rPr>
      </w:pPr>
    </w:p>
    <w:p w14:paraId="51BADF62">
      <w:pPr>
        <w:spacing w:line="540" w:lineRule="exact"/>
        <w:rPr>
          <w:rStyle w:val="18"/>
          <w:rFonts w:ascii="黑体" w:hAnsi="黑体" w:eastAsia="黑体"/>
          <w:b w:val="0"/>
          <w:spacing w:val="-4"/>
          <w:sz w:val="32"/>
          <w:szCs w:val="32"/>
        </w:rPr>
      </w:pPr>
    </w:p>
    <w:p w14:paraId="1CD81AF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EDB19B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6C9A7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随着社会经济的快速发展和居民对宜居环境不断提升 ,居民对美好生活的需求，进一步提高我县绿化养护水平，提升城市绿化景观,打造花儿呼图壁县的新要求。依据呼图壁县城市绿化养护招投标文件，对我县城区道路、公园、小游园及交通岛绿化精细化管理。创建国家园林城市，加强城市公共绿地基础设施建设,应积极配合组织协调各有关部门,稳步推进我县绿化维护维修科学发展,改善居民宜居环境和出行条件, 我县通过招投标确定由绿化养护公司负责城区绿化养护。背景描述要阐述清楚项目是怎么来的，符合哪些政策或规划，或重要会议精神，项目实施前的实际情况或亟待解决的问题，实施项目的必要性，实施项目解决的问题和实现的目标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（1）项目名称：城区绿化养护费项目（以下简称“该项目”或“项目”）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城市管理综合服务中心绿化养护面积240.29万㎡，通过精细化管理对城区公共绿地、公园、交通岛、街头游园进行日常绿化养护；通过春秋两季对城区、居民小区、各行政事业单位树木、花卉病虫害防治、防治 ，有效提高绿植的健康生长。根据项目实施方案、可性行报告、工作计划具体填写相关内容，主要描写本项目的涉及的用途、范围以及主要内容。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实施主体：呼图壁县城市管理综合服务中心。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截至2024年12月31日，该项目实际完成240.29万平方米的绿化养护面积，乔灌木修剪6次，绿化养护合格率95%，通过该项目的实施，提升了城市空气质量、城市整体形象和观赏性，确保城区绿化养护工作稳定、高效开展，绿化养护维持绿植健康生长，保持景观美观，打造宜人城市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城市管理综合服务中心属于执行政府会计制度的一级预算单位，主要宗旨和业务范围是做好道路机械清扫和人工保洁日常工作；充分发挥机械化作业优势，实行“机械冲洗+机械清扫+人工保洁”作业模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区内沿街果皮箱保洁、维修；负责城区内公用生活垃圾箱清运和部分单位自用垃圾箱清运工作；承担城区道路冬季机械冰雪清除工作；承担城区内主要道路的夏季路面降尘、降温工作。负责城区内的排水公共管网及设施的管护工作；深入推进城市更新后的运行、维护，进一步完善《市政公共设施维护管理制度》，充分发挥网格员及一线工人对环境卫生、道路（排水设施、路灯、信号灯）市政设施功能完善、绿化等巡查力度，保障城市规范精细化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负责城区道路的管理和维护工作；负责对城镇居民，各行政事业单位及商业用房进行垃圾清运费和污水处理费的收缴工作；城市市容环境卫生监察。对损坏环境卫生设施、影响城市市容环境卫生等方面的违法、违章行为进行监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做好园林绿化管养工作。完善绿化养护监督与考核细则，加强养护队伍的技术指导和培训，督促做好日常修剪和养护。依托网格化管理体系，以网格员为主做好日常巡查和考核评分。按照树木年度生长周期做好病虫害防治、虫情监测、刷白灌根等工作。加强城区27棵古树的保护，完善台账和巡查记录及古树标识牌。及时完成公园景区游园内日常管理、文明劝导、安全巡护和基础设施维护等工作，切实提升绿化养护水平和质量。针对游客高峰期及极端天气，做好安全管理及紧急应对措施，同时加强安全管理，组织群众有序开展文化活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生活垃圾填埋场运行管理，严格执行《生活垃圾卫生填埋技术规程》规定，对生活垃圾进行规范处理；并按照环保攻坚要求做好生活垃圾填埋场环境监测工作，确保呼图壁县城市生活垃圾无害化处理率达到98.56％，定期对泵站设备进行检查，做好日常维护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机构为本级预（决）算单位，不含下级单位，2023年10月根据呼县事改【2023】1号文件精神，呼图壁县园林绿化服务中心和呼图壁县环境卫生服务中心整合组建为财政全额拨款事业单位呼图壁县城市管理综合服务中心，内设5个科室，分别是：综合科、公共设施维护科、设施设备科、供热燃气服务科、园林绿化服务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人员情况：本年度我单位年初在职人数46人，年末在职人数42人，年末其他人员267人。变动情况原因为事业编人员调入1人，退休2人、辞职3人。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本项目预算安排总额为480万元，资金来源为财政拨款，其中：财政资金480万元，其他资金0万元，2024年实际收到预算资金480万元，预算资金到位率为100%。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480万元，预算执行率100%（预算执行率=（实际支出资金/到位金额）*100.0%，如项目预算执行率不是100.0%，则说明结转资金额度和结余资金额度）。本项目资金主要用于支付城区绿化养护费用480万元。</w:t>
      </w:r>
    </w:p>
    <w:p w14:paraId="623610E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D83F9B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拟投入480万元，主要用于完成240.29万平方米的绿化养护面积，乔灌木修剪，通过该项目的实施，提升城市空气质量、城市整体形象和观赏性，确保城区绿化养护工作稳定、高效开展，绿化养护维持绿植健康生长，保持景观美观，打造宜人城市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“绿化养护、维护维修面积”指标，预期指标值为“&gt;=240.29万㎡”；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“乔灌木修剪次数”指标，预期指标值为“&gt;=6次”；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“预算资金执行及时率”指标，预期指标值为“=100%”；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“城区绿化养护完成及时性”指标，预期指标值为“&gt;=98%”；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“绿化养护经费支出成本控制率”指标，预期指标值为“&lt;=100%”；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“改善居民宜居生活环境，提高居民幸福感”指标，预期指标值为“效果明显”；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“居民满意度”指标，预期指标值为“&gt;=98%”。</w:t>
      </w:r>
    </w:p>
    <w:p w14:paraId="4ADDF84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569E98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F47066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此次我单位根据《财政支出绩效评价管理暂行办法》（财预〔2020〕10号）文件要求实施评价工作，本次评价对象为城区绿化养护费项目项目，评价核心为项目资金、项目产出、项目效益。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(5)绿化养护面积图、绿化养护记载表、项目评价调查问卷。</w:t>
      </w:r>
    </w:p>
    <w:p w14:paraId="5D1318E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586F1F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以及公众评判法。</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08ADEA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53676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韩小刚（评价小组组长）：主要负责项目策划和监督，全面负责项目绩效评价办稿的最终质量，对评估人员出具的最终报告质量进行复核，确保评估结果的客观性；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杨继荣（评价小组组员）：主要负责资料的收集，取证、数据统计分析；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巴音巴特（评价小组组员）：主要负责项目报告的制定，指标的研判，数据分析及报告撰写。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居民、干部职工。我们根据绩效评价目标和绩效指标体系，设计满意度调查问卷进行问卷调查，其中居民受益对象共选取样本15人，共发放问卷15份，最终收回15份；干部职工受益对象共选取样本15人，共发放问卷15份，最终收回15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2B6567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57EB4D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部分达成）年初设立的绩效目标，在实施过程中取得了良好的成效，具体表现在：通过项目的实施，完成了绿化养护、乔灌木修剪、绿化养护合格率、预算资金执行及时率、城区绿化养护完成及时性产出目标，发挥了居民宜居生活环境效益。但在实施过程中也存在一些不足：公众意识淡薄，部分居民对绿化成果保护意识不强，存在践踏草坪、攀折花木、破坏绿化设施等不文明行为，增加了绿化养护的难度和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最终评分结果：总分为100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05A6200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2EB250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2D9CA16">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项目决策类指标由3个二级指标和3个三级指标构成，权重分21.00分，实际得分21.00分。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务院颁发的《城市绿化条例》（〔1992〕100号）中：“条例明确规定城市人民政府应当把城市绿化建设纳入国民经济和社会发展计划，这为城区绿化养护费项目立项提供了上位法依据，表明政府有责任和义务安排资金用于城市绿化的相关工作，包括绿化养护”，符合国家法律法规、国民经济发展规划和相关政策；本项目立项符合《城市总体规划和绿地系统规划》中：“城区绿化养护费项目立项与这些规划相契合，能够保障规划确定的公园绿地、道路绿地、防护绿地等各类绿地得到有效的养护和管理，维护城市绿化系统的完整性和稳定性，城区绿化养护工作是实现绿地系统规划目标的重要环节，立项养护费项目可为其提供资金保障”内容，符合行业发展规划和政策要求；本项目立项符合《呼图壁县城市管理综合服务执行单位配置内设机构和人员编制规定》中职责范围中的“单位配置内设机构”，属于我单位履职所需；根据《财政资金直接支付申请书》，本项目资金性质为“公共财政预算”功能分类为“2121302城市环境卫生”经济分类为“50302基础设施建设”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本项目为非基础建设类项目，属于专项资金安排项目，不涉及事前绩效评估、可行性研究以及风险评估，由我单位严格按照《市政公共设施维护管理制度》要求实施项目。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480万元，主要用于完成240.29万平方米的绿化养护面积，乔灌木修剪，通过该项目的实施，提升城市空气质量、城市整体形象和观赏性，确保城区绿化养护工作稳定、高效开展，绿化养护维持绿植健康生长，保持景观美观，打造宜人城市环境。”；本项目实际工作内容为：该项目实际完成240.29万平方米的绿化养护面积，乔灌木修剪6次，绿化养护合格率95%，通过该项目的实施，提升了城市空气质量、城市整体形象和观赏性，确保城区绿化养护工作稳定、高效开展，绿化养护维持绿植健康生长，保持景观美观，打造宜人城市环境；绩效目标与实际工作内容一致，两者具有相关性;本项目预算申请资金480万元，预算确定资金量与实际工作任务相匹配。本项目按照绩效目标完成了数量指标、质量指标、时效指标、成本指标，有效保障了居民宜居生活环境，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8个，定量指标7个，定性指标1个，指标量化率为87.50%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预算申请内容为城区绿化养护，项目实际内容为城区绿化养护，预算申请与《城区绿化养护费项目实施方案》中涉及的项目内容匹配；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480万元，我单位在预算申请中严格按照单位标准和数量进行核算，其中：单位标准为480万元，数量为1。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城区绿化养护费项目资金的请示》和《城区绿化养护项目实施方案》为依据进行资金分配，预算资金分配依据充分。根据《城区绿化养护费项目资金下达文件》文件显示，本项目实际到位资金480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D20E8F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AD9130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本项目预算资金为480万元，其中：本级财政安排资金480万元，其他资金0万元，实际到位资金480万元，资金到位率=（实际到位资金/预算资金）×100.00%=（480/480）*100.00%=100%。得分=资金到位率*分值=100%*4=4分。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本项目实际支出资金480万元，预算执行率=（实际支出资金/实际到位资金）×100.00%=（480/480）*100.00%=100%。得分=预算执行率*分值=100%*5=5分。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城市管理综合服务中心单位资金管理办法》《呼图壁县城市管理综合服务中心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城市管理综合服务中心资金管理办法》《呼图壁县城市管理综合服务中心收支业务管理制度》《呼图壁县城市管理综合服务中心政府采购业务管理制度》《呼图壁县城市管理综合服务中心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城区绿化养护费项目工作领导小组，由党组书记李磊任组长，负责项目的组织工作；韩小刚任副组长，负责项目的实施工作；组员包括：杨继荣和巴音巴特，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BCE5EB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BC8E60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“绿化养护、维护维修面积”指标：预期指标值为“≥240.29万㎡”，实际完成指标值为“=240.29万㎡”，指标完成率为100.0%。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“乔灌木修剪次数”指标：预期指标值为“≥6次”，实际完成指标值为“=6次”，指标完成率为100.0%。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“绿化养护合格率”指标：预期指标值为“≥95%”，实际完成指标值为“=95%”，指标完成率为100%。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“预算资金执行及时率”指标：预期指标值为“=100%”，实际完成指标值为“=100%”，指标完成率为100%。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“城区绿化养护完成及时性”指标：预期指标值为“&gt;=98%”，实际完成指标值为“=98%”，指标完成率为100%。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“绿化养护经费支出成本控制率”指标：预期指标值为“&lt;=100%”，实际完成指标值为“=100%”，指标完成率为100%。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C8809C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059A28F">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“改善居民宜居生活环境，提高居民幸福感”指标：预期指标值为“效果明显”，实际完成指标值为“达到预期指标”，指标完成率为100%。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CBEC7E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“居民满意度”指标：预期指标值为“≥98%”，实际完成指标值为“=98%”，指标完成率为100%。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6F01C067">
      <w:pPr>
        <w:spacing w:line="540" w:lineRule="exact"/>
        <w:ind w:firstLine="567"/>
        <w:rPr>
          <w:rStyle w:val="18"/>
          <w:rFonts w:hint="eastAsia" w:ascii="楷体" w:hAnsi="楷体" w:eastAsia="楷体"/>
          <w:b w:val="0"/>
          <w:bCs w:val="0"/>
          <w:spacing w:val="-4"/>
          <w:sz w:val="32"/>
          <w:szCs w:val="32"/>
        </w:rPr>
      </w:pPr>
    </w:p>
    <w:p w14:paraId="7DC71376">
      <w:pPr>
        <w:spacing w:line="540" w:lineRule="exact"/>
        <w:ind w:firstLine="567"/>
        <w:rPr>
          <w:rStyle w:val="18"/>
          <w:rFonts w:ascii="楷体" w:hAnsi="楷体" w:eastAsia="楷体"/>
          <w:spacing w:val="-4"/>
          <w:sz w:val="32"/>
          <w:szCs w:val="32"/>
        </w:rPr>
      </w:pPr>
    </w:p>
    <w:p w14:paraId="4955946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D710194">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详细核算绿植数量、种类，结合劳动力、肥料，核算养护预，避免资金浪费；2.整合人力、物力资源、采用集中采购肥料、农药等物资的方式，利用规模效应降低成本，并合理安排养护人员工作区域与任务量，避免人力资源闲置；3.标准化作业流程：制定统一的绿化养护作业标准，涵盖浇水、施肥、修剪、病虫害防治等各个环节。如规定夏季高温时，每天早晚各浇一次水，修建时遵循特定的造型与高度要求，保证绿植生长健康且景观教过良好；4.定期监督检查：成立专门的质量监督小组，每周对养护区域进行巡查，每月全面检查一次，对不达标的区域，进行整改整改不力则扣除部门养护费用，以此保证养护质量。5.建立良好的沟通机制，在道路施工、管道维修等可能影响绿化的工程开展前，提前协调，共同制定绿植保护方案，避免不必要的损失；6.设立意见反馈渠道，鼓励市民对绿化养护提出建议与意见，根据居民反馈及时调整养护策略，提升公众满意度。(必须填写，可填写本项目的优秀经验和优秀做法等，字数不得少于100字。如在项目组织、管理、资金管理等方面的优秀经验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财政拨款金额有限，难以满足不断增长的绿化面积和养护标准提升的需求；2.绿化养护需要专业的园艺师、植保人员等，但县城往往难以吸引和留住专业人才，导致养护工作技术水平不高，如修剪造型单一、病虫害防治效果不佳；3.养护人员责任心不强，人员培训机制不完善，无法及时更新知识和技能，难以适应不断变化的养护需求；4.公众意识淡薄，部分居民对绿化成果保护意识不强，存在践踏草坪、攀折花木、破坏绿化设施等不文明行为，增加了绿化养护的难度和成本。</w:t>
      </w:r>
    </w:p>
    <w:p w14:paraId="70D316A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B739D3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现场管理，安排专业人员现场监督，确保养护人员按照方案部和标准作业，做好浇水、施肥、修剪、病虫害等工作，及时处理突发问题；2.建立沟通协调机制，搭建项目管理部门、养护企业、社区居民等多方沟通平台，及时解决项目实施中的问题，听取居民意见建议，提升满意度。</w:t>
      </w:r>
    </w:p>
    <w:p w14:paraId="4764C6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F27A90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239BF2AD">
      <w:pPr>
        <w:spacing w:line="540" w:lineRule="exact"/>
        <w:ind w:firstLine="567"/>
        <w:rPr>
          <w:rStyle w:val="18"/>
          <w:rFonts w:ascii="仿宋" w:hAnsi="仿宋" w:eastAsia="仿宋"/>
          <w:b w:val="0"/>
          <w:spacing w:val="-4"/>
          <w:sz w:val="32"/>
          <w:szCs w:val="32"/>
        </w:rPr>
      </w:pPr>
    </w:p>
    <w:p w14:paraId="4DF11758">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259E6F9">
        <w:pPr>
          <w:pStyle w:val="12"/>
          <w:jc w:val="center"/>
        </w:pPr>
        <w:r>
          <w:fldChar w:fldCharType="begin"/>
        </w:r>
        <w:r>
          <w:instrText xml:space="preserve">PAGE   \* MERGEFORMAT</w:instrText>
        </w:r>
        <w:r>
          <w:fldChar w:fldCharType="separate"/>
        </w:r>
        <w:r>
          <w:rPr>
            <w:lang w:val="zh-CN"/>
          </w:rPr>
          <w:t>2</w:t>
        </w:r>
        <w:r>
          <w:fldChar w:fldCharType="end"/>
        </w:r>
      </w:p>
    </w:sdtContent>
  </w:sdt>
  <w:p w14:paraId="26EDD836">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23B85239"/>
    <w:rsid w:val="2E553615"/>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10577</Words>
  <Characters>11159</Characters>
  <Lines>4</Lines>
  <Paragraphs>1</Paragraphs>
  <TotalTime>9</TotalTime>
  <ScaleCrop>false</ScaleCrop>
  <LinksUpToDate>false</LinksUpToDate>
  <CharactersWithSpaces>11179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2025-09-22T08:57:13Z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