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42202F">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23DBB6B9">
      <w:pPr>
        <w:spacing w:line="540" w:lineRule="exact"/>
        <w:jc w:val="center"/>
        <w:rPr>
          <w:rFonts w:ascii="华文中宋" w:hAnsi="华文中宋" w:eastAsia="华文中宋" w:cs="宋体"/>
          <w:b/>
          <w:kern w:val="0"/>
          <w:sz w:val="52"/>
          <w:szCs w:val="52"/>
        </w:rPr>
      </w:pPr>
    </w:p>
    <w:p w14:paraId="784FC09A">
      <w:pPr>
        <w:spacing w:line="540" w:lineRule="exact"/>
        <w:jc w:val="center"/>
        <w:rPr>
          <w:rFonts w:ascii="华文中宋" w:hAnsi="华文中宋" w:eastAsia="华文中宋" w:cs="宋体"/>
          <w:b/>
          <w:kern w:val="0"/>
          <w:sz w:val="52"/>
          <w:szCs w:val="52"/>
        </w:rPr>
      </w:pPr>
    </w:p>
    <w:p w14:paraId="60BBFC53">
      <w:pPr>
        <w:spacing w:line="540" w:lineRule="exact"/>
        <w:jc w:val="center"/>
        <w:rPr>
          <w:rFonts w:ascii="华文中宋" w:hAnsi="华文中宋" w:eastAsia="华文中宋" w:cs="宋体"/>
          <w:b/>
          <w:kern w:val="0"/>
          <w:sz w:val="52"/>
          <w:szCs w:val="52"/>
        </w:rPr>
      </w:pPr>
    </w:p>
    <w:p w14:paraId="28716DA4">
      <w:pPr>
        <w:spacing w:line="540" w:lineRule="exact"/>
        <w:jc w:val="center"/>
        <w:rPr>
          <w:rFonts w:ascii="华文中宋" w:hAnsi="华文中宋" w:eastAsia="华文中宋" w:cs="宋体"/>
          <w:b/>
          <w:kern w:val="0"/>
          <w:sz w:val="52"/>
          <w:szCs w:val="52"/>
        </w:rPr>
      </w:pPr>
    </w:p>
    <w:p w14:paraId="75B59E5A">
      <w:pPr>
        <w:spacing w:line="540" w:lineRule="exact"/>
        <w:jc w:val="center"/>
        <w:rPr>
          <w:rFonts w:ascii="华文中宋" w:hAnsi="华文中宋" w:eastAsia="华文中宋" w:cs="宋体"/>
          <w:b/>
          <w:kern w:val="0"/>
          <w:sz w:val="52"/>
          <w:szCs w:val="52"/>
        </w:rPr>
      </w:pPr>
    </w:p>
    <w:p w14:paraId="75AD21D3">
      <w:pPr>
        <w:spacing w:line="540" w:lineRule="exact"/>
        <w:jc w:val="center"/>
        <w:rPr>
          <w:rFonts w:ascii="华文中宋" w:hAnsi="华文中宋" w:eastAsia="华文中宋" w:cs="宋体"/>
          <w:b/>
          <w:kern w:val="0"/>
          <w:sz w:val="52"/>
          <w:szCs w:val="52"/>
        </w:rPr>
      </w:pPr>
    </w:p>
    <w:p w14:paraId="1DF2A142">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3FC76D9B">
      <w:pPr>
        <w:spacing w:line="540" w:lineRule="exact"/>
        <w:jc w:val="center"/>
        <w:rPr>
          <w:rFonts w:ascii="华文中宋" w:hAnsi="华文中宋" w:eastAsia="华文中宋" w:cs="宋体"/>
          <w:b/>
          <w:kern w:val="0"/>
          <w:sz w:val="52"/>
          <w:szCs w:val="52"/>
        </w:rPr>
      </w:pPr>
    </w:p>
    <w:p w14:paraId="03699821">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00D0BEFD">
      <w:pPr>
        <w:spacing w:line="540" w:lineRule="exact"/>
        <w:jc w:val="center"/>
        <w:rPr>
          <w:rFonts w:hAnsi="宋体" w:eastAsia="仿宋_GB2312" w:cs="宋体"/>
          <w:kern w:val="0"/>
          <w:sz w:val="30"/>
          <w:szCs w:val="30"/>
        </w:rPr>
      </w:pPr>
    </w:p>
    <w:p w14:paraId="1491B148">
      <w:pPr>
        <w:spacing w:line="540" w:lineRule="exact"/>
        <w:jc w:val="center"/>
        <w:rPr>
          <w:rFonts w:hAnsi="宋体" w:eastAsia="仿宋_GB2312" w:cs="宋体"/>
          <w:kern w:val="0"/>
          <w:sz w:val="30"/>
          <w:szCs w:val="30"/>
        </w:rPr>
      </w:pPr>
    </w:p>
    <w:p w14:paraId="39D1EC38">
      <w:pPr>
        <w:spacing w:line="540" w:lineRule="exact"/>
        <w:jc w:val="center"/>
        <w:rPr>
          <w:rFonts w:hAnsi="宋体" w:eastAsia="仿宋_GB2312" w:cs="宋体"/>
          <w:kern w:val="0"/>
          <w:sz w:val="30"/>
          <w:szCs w:val="30"/>
        </w:rPr>
      </w:pPr>
    </w:p>
    <w:p w14:paraId="1AD64A2E">
      <w:pPr>
        <w:spacing w:line="540" w:lineRule="exact"/>
        <w:jc w:val="center"/>
        <w:rPr>
          <w:rFonts w:hAnsi="宋体" w:eastAsia="仿宋_GB2312" w:cs="宋体"/>
          <w:kern w:val="0"/>
          <w:sz w:val="30"/>
          <w:szCs w:val="30"/>
        </w:rPr>
      </w:pPr>
    </w:p>
    <w:p w14:paraId="160758D4">
      <w:pPr>
        <w:spacing w:line="540" w:lineRule="exact"/>
        <w:jc w:val="center"/>
        <w:rPr>
          <w:rFonts w:hAnsi="宋体" w:eastAsia="仿宋_GB2312" w:cs="宋体"/>
          <w:kern w:val="0"/>
          <w:sz w:val="30"/>
          <w:szCs w:val="30"/>
        </w:rPr>
      </w:pPr>
    </w:p>
    <w:p w14:paraId="13F2B2F4">
      <w:pPr>
        <w:spacing w:line="540" w:lineRule="exact"/>
        <w:jc w:val="center"/>
        <w:rPr>
          <w:rFonts w:hAnsi="宋体" w:eastAsia="仿宋_GB2312" w:cs="宋体"/>
          <w:kern w:val="0"/>
          <w:sz w:val="30"/>
          <w:szCs w:val="30"/>
        </w:rPr>
      </w:pPr>
    </w:p>
    <w:p w14:paraId="771DBACC">
      <w:pPr>
        <w:spacing w:line="540" w:lineRule="exact"/>
        <w:rPr>
          <w:rFonts w:hAnsi="宋体" w:eastAsia="仿宋_GB2312" w:cs="宋体"/>
          <w:kern w:val="0"/>
          <w:sz w:val="30"/>
          <w:szCs w:val="30"/>
        </w:rPr>
      </w:pPr>
    </w:p>
    <w:p w14:paraId="7443267F">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0D20E0C9">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2024年自治区教育项目经费（自聘教师工资补助）</w:t>
      </w:r>
    </w:p>
    <w:p w14:paraId="403573D6">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呼图壁县大丰镇中心幼儿园</w:t>
      </w:r>
    </w:p>
    <w:p w14:paraId="4D2464A3">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呼图壁县大丰镇中心幼儿园</w:t>
      </w:r>
    </w:p>
    <w:p w14:paraId="04483AD4">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杨凡</w:t>
      </w:r>
    </w:p>
    <w:p w14:paraId="2FAA72EA">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2025年06月19日</w:t>
      </w:r>
    </w:p>
    <w:p w14:paraId="204E1052">
      <w:pPr>
        <w:spacing w:line="700" w:lineRule="exact"/>
        <w:ind w:firstLine="708" w:firstLineChars="236"/>
        <w:jc w:val="left"/>
        <w:rPr>
          <w:rFonts w:hAnsi="宋体" w:eastAsia="仿宋_GB2312" w:cs="宋体"/>
          <w:kern w:val="0"/>
          <w:sz w:val="30"/>
          <w:szCs w:val="30"/>
        </w:rPr>
      </w:pPr>
    </w:p>
    <w:p w14:paraId="658C2A2D">
      <w:pPr>
        <w:spacing w:line="540" w:lineRule="exact"/>
        <w:rPr>
          <w:rStyle w:val="18"/>
          <w:rFonts w:ascii="黑体" w:hAnsi="黑体" w:eastAsia="黑体"/>
          <w:b w:val="0"/>
          <w:spacing w:val="-4"/>
          <w:sz w:val="32"/>
          <w:szCs w:val="32"/>
        </w:rPr>
      </w:pPr>
    </w:p>
    <w:p w14:paraId="6748445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627DBF7C">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1A1A0F3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大丰镇中心幼儿园2024年自治区教育项目经费（自聘教师工资补助）项目是基于《新疆维吾尔自治区学前教育深化改革规范发展的实施意见》等文件要求，针对当前幼儿园在编教师缺口达30%以上、自聘教师工资保障不足的问题而设立的。该项目的实施必要性体现在：一方面能稳定自聘教师队伍，缓解师资短缺对教育教学质量的直接影响；另一方面通过财政专项补助覆盖工资的60%，可减轻幼儿园运营压力，确保教师待遇与在编人员逐步趋同。项目实施后预期实现三个目标：一是将自聘教师流动率降低至10%以内，二是保障100%在岗教师按月足额领取薪酬，三是通过师资稳定性提升使幼儿保教活动达标率提高至95%以上，从而整体提升边疆地区学前教育公共服务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名称：2024年自治区教育项目经费（自聘教师工资补助）（2）项目主要内容：本项目旨在通过专项经费支持为教师提供基本工资及岗位津贴补助，并缴纳教师养老保险、医疗保险、失业保险等社会保险。本项目实施范围是覆盖自治区内所有地州市，重点向乡村振兴重点帮扶县、边境县、高海拔地区及教育基础薄弱县倾斜，公办中小学、幼儿园、特殊教育学校及职业教育学校中因编制不足需长期聘用教师的单位。本项目的主要内容是根据学校实际缺编人数、地区艰苦程度、学科紧缺系数核定补助额度，本单位给教育系统提供自聘教师名册、劳动合同、社保缴纳记录及教学任务证明。管理措施为信息化监管平台，建立自聘教师数据库，实时监控资金发放与教师在岗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（3）实施主体：呼图壁县大丰镇中心幼儿园。</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实施时间：本项目实施周期为2024年1月-2024年12月。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实施情况：2024年自治区教育项目经费（自聘教师工资补助）项目按照"季度推进、动态管理"的工作机制有序实施。截至12月30日，已完成本年阶段性任务：资金到位及时，项目成效显著，教师月工资4091元，教师队伍稳定性同比提升。通过建立监管平台，实现补助资金全流程透明化管理，为后续工作开展奠定数据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（1）主要职能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学龄前儿童提供教育幼儿园保育及幼儿教育，实行保育与教育相结合的原则，对幼儿实施德、智、体、美方面全面发展的教育，管理幼儿生活活动，保护幼儿在幼儿园的安全。在园长的领导下，协助园长完成幼儿园各项工作。做好家长沟通交流工作。抓好保健工作，做好计划免疫和疾病的防治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呼图壁县大丰镇中心幼儿园隶属于呼图壁县教育局管理。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（2）机构设置情况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2024年自治区教育项目经费（自聘教师工资补助）项目的实施主体为呼图壁县大丰镇中心幼儿园，该单位纳入2024年部门决算编制范围的有5个科室，分别是：书记办公室，园长办公室，财务室，总务办公室，保健室。</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编制人数为17人，其中：行政人员编制0人、工勤0人、参公0人、事业编制17人。实有在职人数17人，其中：行政在职0人、工勤0人、参公0人、事业在职17人。离退休人员0人，其中：行政退休人员0人、事业退休0人。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（1）项目资金安排落实、总投入等情况分析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本项目预算安排总额为50.37万元，资金来源为上级补助资金，其中：财政资金50.37万元，其他资金0万元，2024年实际收到预算资金50.37万元，预算资金到位率为100%。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截至2024年12月31日，本项目实际支付资金50.37万元，预算执行率100%。本项目资金主要用于支付自聘教师工资费用38.55万元、自聘教师社保、公积金费用11.82万元。</w:t>
      </w:r>
    </w:p>
    <w:p w14:paraId="011AF097">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184958B0">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止2024年12月31日，通过项目的实施，资金都用于支付自聘教师的工资和社保、公积金费用，发放了6名自聘教师12个月的工资、社保、公积金共计50.37万元，自聘教师在年底考核中合格率为100%，按时发放工资提高了教师的积极性，此项目保障了教师的福利利益，为幼儿园的正常运转奠定了更加坚定的基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“自聘教师人数”指标，预期指标值为“＝7人”；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“自聘教师工资发放次数”指标，预期指标值为“＝12次”；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“教师合格率”指标，预期指标值为“&gt;=95%”；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“自聘教师考核及时性”指标，预期指标值为“＝100%”；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（2）项目成本指标指标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“教师人均工资”指标，预期指标值为“&gt;=4091元/人”；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③生态环境成本指标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“提高教师积极性”指标，预期指标值为“良好”；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无此类指标。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（4）项目满意度指标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w:t>
      </w:r>
    </w:p>
    <w:p w14:paraId="451BFDD8">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0317D4E5">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4B2284A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此次我单位根据《财政支出绩效评价管理暂行办法》（财预〔2020〕10号）文件要求实施评价工作，本次评价对象为2024年自治区教育项目经费（自聘教师工资补助），评价核心为项目资金、项目产出、项目效益。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4.绩效评价依据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(1)《中华人民共和国预算法》；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(2)《中共中央国务院关于全面实施预算绩效管理的意见》（中发〔2018〕34号）；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(3)《项目支出绩效评价管理办法》（财预〔2020〕10号）；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(4)《自治区财政支出绩效评价管理暂行办法》（新财预〔2018〕189号）；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(5)《新疆维吾尔自治区教育专项资金管理办法》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(6)《自治区关于进一步规范学前教育自聘教师管理的通知》</w:t>
      </w:r>
    </w:p>
    <w:p w14:paraId="101FE47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2F35D73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（1）科学公正。绩效评价应当运用科学合理的方法，按照规范的程序，对项目绩效进行客观、公正的反映。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（4）公开透明。绩效评价结果应依法依规公开，并自觉接受社会监督。</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指标（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正确的评价方法是评价工作顺利开展的保障，在结合实际经验的情况下，绩效评价小组根据该项目资金的性质和特点，选用定量分析法、定性分析法、比较分析法、成本效益分析法、目标管理法、问卷调查法对项目进行评价，旨在通过综合分析影响绩效目标实现、实施效果的内外部因素，从而评价本项目绩效。三级指标分析环节：定量分析法、定性分析法、比较分析法、成本效益分析法、目标管理法、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 定量分析法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通过采集可量化的数据指标（如资金到位率、教师工资增幅、教师流动率等），运用统计工具进行数值化分析，衡量项目目标的达成程度和资金使用效率。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 定性分析法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通过访谈、观察或案例分析，获取教师满意度、教学质量变化、家长反馈等非数值化信息，综合评价项目实施的社会效益和教育质量提升效果。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 比较分析法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将项目实施前后的关键指标（如教师稳定性、班级师生比等）进行纵向对比，或与其他同类幼儿园的同类项目进行横向对比，评估项目的实际成效和差异性。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成本效益分析法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通过核算项目投入成本（如补助资金总额）与产出效益（如教师队伍稳定率提升、教学质量改善等），分析资金使用的经济性和效益性。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5.目标管理法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以项目申报时设定的绩效目标（如补助覆盖率、教师持证率达标等）为基准，逐项对照实际完成情况，判断目标实现程度。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6. 问卷调查法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设计针对教师、家长或管理人员的问卷，收集其对工资补助政策落实、教师工作积极性、教学质量变化等方面的主观评价，形成量化或质性结论。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A62C3DE">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5011CFA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杨凡（评价小组组长）：主要负责项目策划和监督，全面负责项目绩效评价办稿的最终质量，对评估人员出具的最终报告质量进行复核，确保评估结果的客观性；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顾亚萍（评价小组组员）：主要负责资料的收集，取证、数据统计分析；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陈佳欢（评价小组组员）：主要负责主要负责项目报告的制定，指标的研判，数据分析及报告撰写。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2025年3月2日-3月10日，评价工作进入实施阶段。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数据采集方面，评价小组项目负责人、财务人员进行访谈沟通，全面了解项目实施的目的、预算安排、实施内容、组织管理、实施结果等方面的内容；全面收集项目决策过程、资金使用管理、制度建设与执行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质量管理、项目建设及验收等相关资料，完成绩效评价内容所需的印证资料整理，所有数据经核查后统计汇总。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经调研了解，该项目主要受益群体包括教师。我们根据绩效评价目标和绩效指标体系，设计满意度调查问卷进行问卷调查，其中教师受益对象共选取样本48人，共发放问卷48份，最终收回48份。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2025年3月11日-3月20日，评价小组按照绩效评价的原则和规范，对取得的资料进行审查核实，对采集的数据进行分析，按照绩效评价指标评分表逐项进行打分、分析、汇总各方评价结果。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2025年3月21-3月25日，评价小组撰写绩效评价报告，按照新疆维吾尔自治区财政绩效管理信息系统绩效评价模块中统一格式和文本框架撰写绩效评价报告并提交审核。</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5.问题整改</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6.档案整理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19DFB31E">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5991CCA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评价，本项目达成年初设立的绩效目标，在实施过程中取得了良好的成效，具体表现在：通过项目的实施，完成了自聘教师的社保、公积金费用的缴纳，发放了6名自聘教师12个月的工资、社保、公积金共计50.37万元，自聘教师在年底考核中合格率为100%，提高了教师的工作积极性，保障了教师的基本生活。但在实施过程中也存在一些不足：在实际操作中，资金拨付的流程较为复杂，导致资金有时不能及时发放到教师手中。这不仅影响了教师的生活，也对幼儿园的正常运转造成了一定的困扰，自聘教师在福利、社保等方面的保障不足，导致部分教师对职业前景缺乏信心，影响了教师队伍的长期稳定性，虽然幼儿园定期组织教师培训，但由于资金和资源的限制，培训的内容和形式较为单一，无法满足教师多样化的学习需求。部分教师反映，培训内容与实际教学需求脱节，难以有效提升教学水平。 尽管工资补助项目在一定程度上缓解了教师流动性问题，但由于自聘教师的职业发展空间有限，部分教师仍然选择离职或转行。特别是在偏远地区，教师的招聘和留任问题依然严峻。</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此次绩效评价通过绩效评价小组论证的评价指标体系及评分标准，采用因素分析法和比较法对本项目绩效进行客观评价，本项目共设置三级指标数量18个，实现三级指标数量18个，总体完成率为100.0</w:t>
      </w:r>
      <w:r>
        <w:rPr>
          <w:rStyle w:val="18"/>
          <w:rFonts w:hint="eastAsia" w:ascii="楷体" w:hAnsi="楷体" w:eastAsia="楷体"/>
          <w:b w:val="0"/>
          <w:bCs w:val="0"/>
          <w:spacing w:val="-4"/>
          <w:sz w:val="32"/>
          <w:szCs w:val="32"/>
          <w:lang w:val="en-US" w:eastAsia="zh-CN"/>
        </w:rPr>
        <w:t>0</w:t>
      </w:r>
      <w:r>
        <w:rPr>
          <w:rStyle w:val="18"/>
          <w:rFonts w:hint="eastAsia" w:ascii="楷体" w:hAnsi="楷体" w:eastAsia="楷体"/>
          <w:b w:val="0"/>
          <w:bCs w:val="0"/>
          <w:spacing w:val="-4"/>
          <w:sz w:val="32"/>
          <w:szCs w:val="32"/>
        </w:rPr>
        <w:t>%。最终评分结果：总分为</w:t>
      </w:r>
      <w:r>
        <w:rPr>
          <w:rStyle w:val="18"/>
          <w:rFonts w:hint="eastAsia" w:ascii="楷体" w:hAnsi="楷体" w:eastAsia="楷体"/>
          <w:b w:val="0"/>
          <w:bCs w:val="0"/>
          <w:spacing w:val="-4"/>
          <w:sz w:val="32"/>
          <w:szCs w:val="32"/>
          <w:lang w:val="en-US" w:eastAsia="zh-CN"/>
        </w:rPr>
        <w:t>92.45</w:t>
      </w:r>
      <w:r>
        <w:rPr>
          <w:rStyle w:val="18"/>
          <w:rFonts w:hint="eastAsia" w:ascii="楷体" w:hAnsi="楷体" w:eastAsia="楷体"/>
          <w:b w:val="0"/>
          <w:bCs w:val="0"/>
          <w:spacing w:val="-4"/>
          <w:sz w:val="32"/>
          <w:szCs w:val="32"/>
        </w:rPr>
        <w:t>分，绩效评级为“优秀”。综合评价结论如下：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项目决策类指标共设置6个，满分指标6个，得分率100%；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过程管理类指标共设置5个，满分指标5个，得分率100%；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项目产出类指标共设置4个，满分指标4个，得分率100%；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项目成本类指标共设置1个，满分指标1个，得分率100%；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项目效益类指标共设置2个，满分指标2个，得分率100%。</w:t>
      </w:r>
    </w:p>
    <w:p w14:paraId="1710E0EC">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7715A2FF">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2574C103">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项目决策类指标由3个二级指标和6个三级指标构成，权重分21.00分，实际得分21.00分。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1.项目立项情况分析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立项符合国家颁发的《中华人民共和国教育法》（2021年修订）中：“规定国家保障教育事业优先发展，支持学前教育，鼓励社会力量依法办学，保障教师合法权益。该项目通过补助自聘教师工资，稳定教师队伍，符合法律对教育投入和教师权益保障的要求。”，符合国家法律法规、国民经济发展规划和相关政策；本项目立项符合《中华人民共和国国民经济和社会发展第十四个五年规划和2035年远景目标纲要》中：“提出“完善普惠性学前教育保障机制，加强教师队伍建设”。该项目通过财政补助提升自聘教师待遇，有助于实现普惠性学前教育目标。”内容，符合行业发展规划和政策要求；本项目立项符合《呼图壁县大丰镇中心幼儿园配置内设机构和人员编制规定》中职责范围中的“为学龄前儿童提供教育幼儿园保育及幼儿教育，实行保育与教育相结合的原则，对幼儿实施德、智、体、美方面全面发展的教育，管理幼儿生活活动，保护幼儿在幼儿园的安全”。属于我单位履职所需；根据《财政资金直接支付申请书》，本项目资金性质为“公共财政预算”功能分类为“学前教育”经济分类为“劳务费”属于公共财政支持范围，符合中央、地方事权支出责任划分原则；经检查我单位财政应用平台指标，本项目不存在重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综上所述，本指标满分为5.00分，根据评分标准得5.00分，本项目立项依据充分。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本项目为非基础建设类项目，属于专项资金安排项目，不涉及事前绩效评估、可行性研究以及风险评估，由我单位严格按照《呼图壁县大丰镇中心幼儿园资金管理办法》文件要求实施项目。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综上所述，本指标满分为3.00分，根据评分标准得3.00分，本项目立项程序规范。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2.绩效目标情况分析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（1）绩效目标合理性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已设置年度绩效目标，具体内容为“本项目拟投入50.37万元用于完成自聘教师的工资补助，通过项目的实施，保障教职工利益，为幼儿园正常运转奠定更坚实的基础。”；本项目实际工作内容为：截止2024年12月31日，通过项目的实施，资金都用于自聘教师的工资发放，发放了6名教师12个月的工资、社保、公积金共计50.37万元，保障教职工福利利益，为幼儿园正常运转奠定更坚实的基础。按时发放工资提高了教师的积极性，此项目保障了教师的福利利益，为幼儿园的正常运转奠定了更加坚定的基础；绩效目标与实际工作内容一致，两者具有相关性;本项目预算申请资金50.37万元，预算确定资金量与实际工作任务相匹配。本项目按照绩效目标完成了数量指标、质量指标、时效指标、成本指标，有效保障了教师的福利利益，为幼儿园的正常运转奠定了更加坚定的基础，年度绩效目标完成，预期产出效益和效果符合正常的业绩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综上所述，本指标满分为4.00分，根据评分标准得4.00分，本项目绩效目标设置合理。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（2）绩效指标明确性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检查我单位年初设置的《项目支出绩效目标表》，得出如下结论：本项目已将年度绩效目标进行细化为绩效指标体系，共设置一级指标3个，二级指标6个，三级指标7个，定量指标6个，定性指标1个，指标量化率为85.71%%，量化率达70.00%以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综上所述，本指标满分为3.00分，根据评分标准得3.00分，本项目所设置绩效指标明确。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（1）预算编制科学性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本项目预算编制通过市场询价得出，即预算编制较科学且经过论证；</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预算申请内容为50.37万元，项目实际内容为2024年自治区教育项目经费（自聘教师工资补助），预算申请与《2024年自治区教育项目经费（自聘教师工资补助）项目实施方案》中涉及的项目内容匹配；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申请资金50.37万元，我单位在预算申请中严格按照单位标准和数量进行核算，其中：单位标准为41975元/月，数量为12个月。本项目预算额度测算依据充分，严格按照标准编制，预算确定资金量与实际工作任务相匹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综上所述，本指标满分为4.00分，根据评分标准4.00分，本项目预算编制科学。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（2）资金分配合理性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分配资金以《关于申请2024年自治区教育项目经费（自聘教师工资补助）项目资金的请示》和《2024年自治区教育项目经费（自聘教师工资补助）项目实施方案》为依据进行资金分配，预算资金分配依据充分。根据《2024年自治区教育项目经费（自聘教师工资补助）资金下达文件》文件显示，本项目实际到位资金50.37万元，实际分配资金与我单位提交申请的资金额度一致，资金分配额度合理，与我单位实际需求相适应。</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综上所述，本指标满分为2.00分，根据评分标准得2.00分，本项目资金分配合理。</w:t>
      </w:r>
      <w:r>
        <w:rPr>
          <w:rStyle w:val="18"/>
          <w:rFonts w:hint="eastAsia" w:ascii="楷体" w:hAnsi="楷体" w:eastAsia="楷体"/>
          <w:b w:val="0"/>
          <w:bCs w:val="0"/>
          <w:spacing w:val="-4"/>
          <w:sz w:val="32"/>
          <w:szCs w:val="32"/>
        </w:rPr>
        <w:tab/>
      </w:r>
    </w:p>
    <w:p w14:paraId="51315A20">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06F56BA7">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项目过程管理类指标由2个二级指标和5个三级指标构成，权重分19.00分，实际得分19.00分。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1.资金管理情况分析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本项目预算资金为50.37万元，其中：本级财政安排资金50.37万元，其他资金0万元，实际到位资金50.37万元，资金到位率=（实际到位资金/预算资金）×100.00%=（50.37/50.37）*100.00%=100%。得分=资金到位率*分值=100%*4=4分。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本项目实际支出资金50.37万元，预算执行率=（实际支出资金/实际到位资金）×100.00%=（50.37/50.37）*100.00%=100%。得分=预算执行率*分值=100%*5=5分。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综上所述，本指标满分为5.00分，根据评分标准得5分，本项目资金分配合理。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检查本项目签订的合同、资金申请文件、发票等财务付款凭证，得出本项目资金支出符合国家财经法规、《政府会计制度》以及《呼图壁县大丰镇中心幼儿园资金管理办法》《2024年自治区教育项目经费（自聘教师工资补助）专项资金管理办法》，资金的拨付有完整的审批程序和手续，资金实际使用方向与预算批复用途一致，不存在截留、挤占、挪用、虚列支出的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综上所述，本指标满分为4.00分，根据评分标准得4.00分，资金支出符合我单位财务管理制度规定。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2.组织实施情况分析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（1）管理制度健全性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已制定《呼图壁县大丰镇中心幼儿园资金管理办法》《呼图壁县大丰镇中心幼儿园收支业务管理制度》《呼图壁县大丰镇中心幼儿园政府采购业务管理制度》《呼图壁县大丰镇中心幼儿园合同管理制度》，上述已建立的制度均符合行政事业单位内控管理要求，财务和业务管理制度合法、合规、完整，本项目执行符合上述制度规定。</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综上所述，本指标满分为2.00分，根据评分标准得2.00分，项目制度建设健全。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（2）制度执行有效性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经对比分析本项目实际执行过程资料和已建立的项目管理制度和财务管理制度，得出本项目严格按照本单位已建立制度执行。项目实施过程中产生的文件，如工资表、花名册等资料齐全并及时进行了归档。项目资金支出严格按照自治区、地区、市以及本单位资金管理办法执行，项目启动实施后，为了加快本项目的实施，成立了杨凡项目工作领导小组，由党组书记许思雨任组长，负责项目的组织工作；杨凡任副组长，负责项目的实施工作；组员包括：陈佳欢和顾亚萍，主要负责项目监督管理、验收以及资金核拨等工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综上所述，本指标满分为4.00分，根据评分标准得4.00分，本项目所建立制度执行有效。</w:t>
      </w:r>
    </w:p>
    <w:p w14:paraId="132F0EFA">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3E633963">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项目产出类指标由2个二级指标和4个三级指标构成，权重分20.0分，实际得分20分。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1.数量指标完成情况分析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“自聘教师人数”指标：预期指标值为“&gt;=7人”，实际完成指标值为“=7人”，指标完成率为100.0%。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“自聘教师工资发放次数”指标，预期指标值为“=12次”，实际指标值为“12次”，指标完成率为100.0%。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综上所述，本指标满分为8分，根据评分标准得8分。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2.质量指标完成情况分析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“教师合格率”指标：预期指标值为“&gt;=95%”，实际完成指标值为“=100%”，指标完成率为100%。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综上所述，本指标满分为9分，根据评分标准得9分。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3.时效指标完成情况分析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“自聘教师考核及时性”指标：预期指标值为“=95%”，实际完成指标值为“=100%”，指标完成率为105.26%。</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综上所述，本指标满分为3分，根据评分标准得3分。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（四）项目成本情况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项目成本情况指标由1个二级指标和1个三级指标构成，权重分10.0分，实际得分0分。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“教师人均工资”指标：预期指标值为“&gt;=4091元/人”，实际完成指标值为“=5539.36元/人”，指标完成率为135.4%。</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3.生态环境成本指标完成情况分析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B5371CE">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151DC0E5">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（五）项目效益情况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项目效益类指标由2个二级指标和2个三级指标构成，权重分30.0分，实际得分30分。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1.经济效益完成情况分析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2.社会效益完成情况分析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“提高教师积极性”指标：预期指标值为“良好”，实际完成指标值为“达到预期指标”，指标完成率为100.0%。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综上所述，本指标满分为20分，根据评分标准得20分。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3.生态效益完成情况分析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无该类指标。</w:t>
      </w:r>
    </w:p>
    <w:p w14:paraId="6B84AB26">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4.满意度完成情况分析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“教师满意度”指标：预期指标值为“&gt;=95%”，实际完成指标值为“=97.92%”，指标完成率为100.0%。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综上所述，本指标满分为10分，根据评分标准得10分。</w:t>
      </w:r>
    </w:p>
    <w:p w14:paraId="02CF9B3B">
      <w:pPr>
        <w:spacing w:line="540" w:lineRule="exact"/>
        <w:ind w:firstLine="567"/>
        <w:rPr>
          <w:rStyle w:val="18"/>
          <w:rFonts w:hint="eastAsia" w:ascii="楷体" w:hAnsi="楷体" w:eastAsia="楷体"/>
          <w:b w:val="0"/>
          <w:bCs w:val="0"/>
          <w:spacing w:val="-4"/>
          <w:sz w:val="32"/>
          <w:szCs w:val="32"/>
        </w:rPr>
      </w:pPr>
    </w:p>
    <w:p w14:paraId="71862EBF">
      <w:pPr>
        <w:spacing w:line="540" w:lineRule="exact"/>
        <w:ind w:firstLine="567"/>
        <w:rPr>
          <w:rStyle w:val="18"/>
          <w:rFonts w:ascii="楷体" w:hAnsi="楷体" w:eastAsia="楷体"/>
          <w:spacing w:val="-4"/>
          <w:sz w:val="32"/>
          <w:szCs w:val="32"/>
        </w:rPr>
      </w:pPr>
    </w:p>
    <w:p w14:paraId="755744F9">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48149063">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1、项目组织方面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立足顶层设计与基层实践相结合，构建了“多层级联动、全流程统筹”的组织体系。一是强化责任分工，建立由教育主管部门牵头、财政部门协同、幼儿园具体落实的跨部门协作机制，明确各环节责任主体，确保任务高效衔接；二是注重动态反馈，通过定期召开推进会、建立问题台账等方式，及时梳理项目实施中的难点并针对性调整策略，保障政策落地与基层需求精准匹配；三是突出资源整合，充分调动园内行政、教学、财务等岗位力量，形成“专人专岗、专项专责”的工作模式，为项目推进提供人力与机制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以规范化、精细化为导向，形成了“制度先行、动态监管”的管理模式。一是健全管理制度，结合自治区政策要求与幼儿园实际，制定涵盖教师资质审核、补助发放流程、绩效目标考核等环节的操作规范，确保项目实施有章可循；二是强化过程监督，通过专项督导、第三方评估与内部自查相结合的方式，对教师聘用合规性、资金使用规范性、教学质量提升效果等关键节点进行动态跟踪，有效防范风险；三是推进信息化赋能，依托动态数据库和线上管理平台，实现教师信息实时更新、资金流向透明可溯，显著提升管理效率和精准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3、资金管理方面</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坚持“专款专用、安全高效”原则，构建了全链条资金管控机制。一是严格制度约束，依据自治区教育专项资金管理办法，明确资金拨付条件、使用范围和审批权限，从源头上确保资金合规使用；二是优化拨付流程，通过“财政直达+银行代发”模式缩短资金流转周期，减少中间环节滞留风险，保障补助资金及时足额到位；三是强化风险防控，建立资金使用预警机制，结合定期审计与随机抽查，对异常支出、账目偏差等问题进行动态监控和快速纠偏，确保资金效益最大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1、问题：自聘教师资质审核流程不够规范</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当前资质审核主要依赖人工核验，缺乏统一的信息化审核平台，导致审核标准执行存在偏差。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2、问题：资金发放时效性有待提高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资金审批层级较多，拨付流程复杂，导致补助发放存在延迟。部分教师资质证明材料收集不全或真伪难辨，影响审核效率和质量。同时，多部门协同审核机制不完善，容易出现责任推诿或重复审核现象。</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3、问题：项目宣传解读不到位</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原因分析：政策宣传主要依靠文件传达，缺乏针对性的解读和培训，导致部分教师对补助政策理解不深。部分教师资质证明材料收集不全或真伪难辨，影响审核效率和质量。同时，多部门协同审核机制不完善，容易出现责任推诿或重复审核现象。</w:t>
      </w:r>
    </w:p>
    <w:p w14:paraId="6110E001">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六</w:t>
      </w:r>
      <w:r>
        <w:rPr>
          <w:rStyle w:val="18"/>
          <w:rFonts w:hint="eastAsia" w:ascii="黑体" w:hAnsi="黑体" w:eastAsia="黑体"/>
          <w:b w:val="0"/>
          <w:spacing w:val="-4"/>
          <w:sz w:val="32"/>
          <w:szCs w:val="32"/>
        </w:rPr>
        <w:t>、有关建议</w:t>
      </w:r>
    </w:p>
    <w:p w14:paraId="0A1E14BB">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1、改进建议：建立标准化的资质审核流程，开发统一的教师资质信息管理系统，实现证明材料电子化存档和在线核验。加强教育、人社等部门的协同联动，明确审核责任分工，建立交叉复核机制。同时定期开展审核人员业务培训，提升审核规范性和准确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改进建议：简化资金审批流程，推行"一站式"线上审批，减少纸质材料流转。建立资金拨付绿色通道，对教师工资补助实行优先审批、优先拨付。建立资金拨付绿色通道，对教师工资补助实行优先审批、优先拨付。同时开发资金监管平台，设置发放进度预警功能，对临近截止日期的未发放款项自动提醒督办，确保资金及时足额发放。</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改进建议：通过线上线下多渠道宣传，定期召开政策宣讲会，设置互动答疑环节。建立教师意见反馈平台，及时收集和处理教师关切。同时培养政策宣传骨干，深入一线开展面对面讲解，确保政策落地"最后一公里"畅通无阻。</w:t>
      </w:r>
    </w:p>
    <w:p w14:paraId="01B8416A">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、其他需要说明的问题</w:t>
      </w:r>
    </w:p>
    <w:p w14:paraId="0B78FC43">
      <w:pPr>
        <w:spacing w:line="540" w:lineRule="exact"/>
        <w:ind w:firstLine="567"/>
        <w:rPr>
          <w:rStyle w:val="18"/>
          <w:rFonts w:ascii="仿宋" w:hAnsi="仿宋" w:eastAsia="仿宋"/>
          <w:b w:val="0"/>
          <w:spacing w:val="-4"/>
          <w:sz w:val="32"/>
          <w:szCs w:val="32"/>
        </w:rPr>
      </w:pPr>
      <w:r>
        <w:rPr>
          <w:rStyle w:val="18"/>
          <w:rFonts w:hint="eastAsia" w:ascii="楷体" w:hAnsi="楷体" w:eastAsia="楷体"/>
          <w:b w:val="0"/>
          <w:bCs w:val="0"/>
          <w:spacing w:val="-4"/>
          <w:sz w:val="32"/>
          <w:szCs w:val="32"/>
        </w:rPr>
        <w:t>（一）本项目部分间接产生的效果无法准确在短期内衡量，因此很难认定项目产生的全部效果。通过指标来反映绩效，指标的科学性和全面性需要不断地完善和研究。</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（三）评价结果分别编入政府决算和部门预算，报送本级人民代表大会常务委员会，并依法予以公开。</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（四）我单位对上述项目支出绩效评价报告内反映内容的真实性、完整性负责，接受上级部门及社会公众监督。</w:t>
      </w:r>
      <w:bookmarkStart w:id="0" w:name="_GoBack"/>
      <w:bookmarkEnd w:id="0"/>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6B6F92D">
        <w:pPr>
          <w:pStyle w:val="12"/>
          <w:jc w:val="center"/>
        </w:pPr>
        <w:r>
          <w:fldChar w:fldCharType="begin"/>
        </w:r>
        <w:r>
          <w:instrText xml:space="preserve">PAGE   \* MERGEFORMAT</w:instrText>
        </w:r>
        <w:r>
          <w:fldChar w:fldCharType="separate"/>
        </w:r>
        <w:r>
          <w:rPr>
            <w:lang w:val="zh-CN"/>
          </w:rPr>
          <w:t>2</w:t>
        </w:r>
        <w:r>
          <w:fldChar w:fldCharType="end"/>
        </w:r>
      </w:p>
    </w:sdtContent>
  </w:sdt>
  <w:p w14:paraId="17B200C8">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9BC1C7A"/>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11258</Words>
  <Characters>11896</Characters>
  <Lines>4</Lines>
  <Paragraphs>1</Paragraphs>
  <TotalTime>13</TotalTime>
  <ScaleCrop>false</ScaleCrop>
  <LinksUpToDate>false</LinksUpToDate>
  <CharactersWithSpaces>11942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2025-08-11T11:54:34Z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86A4BE803B594D54BB30BEB283D7FDDD_13</vt:lpwstr>
  </property>
  <property fmtid="{D5CDD505-2E9C-101B-9397-08002B2CF9AE}" pid="4" name="KSOTemplateDocerSaveRecord">
    <vt:lpwstr>eyJoZGlkIjoiYjAwZDY0MzljNDE2MjBkZjY5ZjY0ODNhMGVjMWM0N2EiLCJ1c2VySWQiOiIxMDA1MzM3ODU4In0=</vt:lpwstr>
  </property>
</Properties>
</file>