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5D82C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D3BE1F6">
      <w:pPr>
        <w:spacing w:line="540" w:lineRule="exact"/>
        <w:jc w:val="center"/>
        <w:rPr>
          <w:rFonts w:ascii="华文中宋" w:hAnsi="华文中宋" w:eastAsia="华文中宋" w:cs="宋体"/>
          <w:b/>
          <w:kern w:val="0"/>
          <w:sz w:val="52"/>
          <w:szCs w:val="52"/>
        </w:rPr>
      </w:pPr>
    </w:p>
    <w:p w14:paraId="7247002F">
      <w:pPr>
        <w:spacing w:line="540" w:lineRule="exact"/>
        <w:jc w:val="center"/>
        <w:rPr>
          <w:rFonts w:ascii="华文中宋" w:hAnsi="华文中宋" w:eastAsia="华文中宋" w:cs="宋体"/>
          <w:b/>
          <w:kern w:val="0"/>
          <w:sz w:val="52"/>
          <w:szCs w:val="52"/>
        </w:rPr>
      </w:pPr>
    </w:p>
    <w:p w14:paraId="246DE3DF">
      <w:pPr>
        <w:spacing w:line="540" w:lineRule="exact"/>
        <w:jc w:val="center"/>
        <w:rPr>
          <w:rFonts w:ascii="华文中宋" w:hAnsi="华文中宋" w:eastAsia="华文中宋" w:cs="宋体"/>
          <w:b/>
          <w:kern w:val="0"/>
          <w:sz w:val="52"/>
          <w:szCs w:val="52"/>
        </w:rPr>
      </w:pPr>
    </w:p>
    <w:p w14:paraId="699D5754">
      <w:pPr>
        <w:spacing w:line="540" w:lineRule="exact"/>
        <w:jc w:val="center"/>
        <w:rPr>
          <w:rFonts w:ascii="华文中宋" w:hAnsi="华文中宋" w:eastAsia="华文中宋" w:cs="宋体"/>
          <w:b/>
          <w:kern w:val="0"/>
          <w:sz w:val="52"/>
          <w:szCs w:val="52"/>
        </w:rPr>
      </w:pPr>
    </w:p>
    <w:p w14:paraId="7871E024">
      <w:pPr>
        <w:spacing w:line="540" w:lineRule="exact"/>
        <w:jc w:val="center"/>
        <w:rPr>
          <w:rFonts w:ascii="华文中宋" w:hAnsi="华文中宋" w:eastAsia="华文中宋" w:cs="宋体"/>
          <w:b/>
          <w:kern w:val="0"/>
          <w:sz w:val="52"/>
          <w:szCs w:val="52"/>
        </w:rPr>
      </w:pPr>
    </w:p>
    <w:p w14:paraId="122DB0BE">
      <w:pPr>
        <w:spacing w:line="540" w:lineRule="exact"/>
        <w:jc w:val="center"/>
        <w:rPr>
          <w:rFonts w:ascii="华文中宋" w:hAnsi="华文中宋" w:eastAsia="华文中宋" w:cs="宋体"/>
          <w:b/>
          <w:kern w:val="0"/>
          <w:sz w:val="52"/>
          <w:szCs w:val="52"/>
        </w:rPr>
      </w:pPr>
    </w:p>
    <w:p w14:paraId="6DAEC741">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14EFD44A">
      <w:pPr>
        <w:spacing w:line="540" w:lineRule="exact"/>
        <w:jc w:val="center"/>
        <w:rPr>
          <w:rFonts w:ascii="华文中宋" w:hAnsi="华文中宋" w:eastAsia="华文中宋" w:cs="宋体"/>
          <w:b/>
          <w:kern w:val="0"/>
          <w:sz w:val="52"/>
          <w:szCs w:val="52"/>
        </w:rPr>
      </w:pPr>
    </w:p>
    <w:p w14:paraId="3FE759FC">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5C58FDF3">
      <w:pPr>
        <w:spacing w:line="540" w:lineRule="exact"/>
        <w:jc w:val="center"/>
        <w:rPr>
          <w:rFonts w:hAnsi="宋体" w:eastAsia="仿宋_GB2312" w:cs="宋体"/>
          <w:kern w:val="0"/>
          <w:sz w:val="30"/>
          <w:szCs w:val="30"/>
        </w:rPr>
      </w:pPr>
    </w:p>
    <w:p w14:paraId="691D811D">
      <w:pPr>
        <w:spacing w:line="540" w:lineRule="exact"/>
        <w:jc w:val="center"/>
        <w:rPr>
          <w:rFonts w:hAnsi="宋体" w:eastAsia="仿宋_GB2312" w:cs="宋体"/>
          <w:kern w:val="0"/>
          <w:sz w:val="30"/>
          <w:szCs w:val="30"/>
        </w:rPr>
      </w:pPr>
    </w:p>
    <w:p w14:paraId="7AF75046">
      <w:pPr>
        <w:spacing w:line="540" w:lineRule="exact"/>
        <w:jc w:val="center"/>
        <w:rPr>
          <w:rFonts w:hAnsi="宋体" w:eastAsia="仿宋_GB2312" w:cs="宋体"/>
          <w:kern w:val="0"/>
          <w:sz w:val="30"/>
          <w:szCs w:val="30"/>
        </w:rPr>
      </w:pPr>
    </w:p>
    <w:p w14:paraId="0C5F5337">
      <w:pPr>
        <w:spacing w:line="540" w:lineRule="exact"/>
        <w:jc w:val="center"/>
        <w:rPr>
          <w:rFonts w:hAnsi="宋体" w:eastAsia="仿宋_GB2312" w:cs="宋体"/>
          <w:kern w:val="0"/>
          <w:sz w:val="30"/>
          <w:szCs w:val="30"/>
        </w:rPr>
      </w:pPr>
    </w:p>
    <w:p w14:paraId="082F005E">
      <w:pPr>
        <w:spacing w:line="540" w:lineRule="exact"/>
        <w:jc w:val="center"/>
        <w:rPr>
          <w:rFonts w:hAnsi="宋体" w:eastAsia="仿宋_GB2312" w:cs="宋体"/>
          <w:kern w:val="0"/>
          <w:sz w:val="30"/>
          <w:szCs w:val="30"/>
        </w:rPr>
      </w:pPr>
    </w:p>
    <w:p w14:paraId="4F9658C5">
      <w:pPr>
        <w:spacing w:line="540" w:lineRule="exact"/>
        <w:jc w:val="center"/>
        <w:rPr>
          <w:rFonts w:hAnsi="宋体" w:eastAsia="仿宋_GB2312" w:cs="宋体"/>
          <w:kern w:val="0"/>
          <w:sz w:val="30"/>
          <w:szCs w:val="30"/>
        </w:rPr>
      </w:pPr>
    </w:p>
    <w:p w14:paraId="58CF3C45">
      <w:pPr>
        <w:spacing w:line="540" w:lineRule="exact"/>
        <w:rPr>
          <w:rFonts w:hAnsi="宋体" w:eastAsia="仿宋_GB2312" w:cs="宋体"/>
          <w:kern w:val="0"/>
          <w:sz w:val="30"/>
          <w:szCs w:val="30"/>
        </w:rPr>
      </w:pPr>
    </w:p>
    <w:p w14:paraId="480117F9">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5735406">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2024年基本公共卫生服务项目补助资金</w:t>
      </w:r>
    </w:p>
    <w:p w14:paraId="58BD3FF0">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呼图壁县大丰镇卫生院</w:t>
      </w:r>
    </w:p>
    <w:p w14:paraId="649357F4">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呼图壁县大丰镇卫生院</w:t>
      </w:r>
    </w:p>
    <w:p w14:paraId="4C640178">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柴云</w:t>
      </w:r>
    </w:p>
    <w:p w14:paraId="1C895732">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2025年03月12日</w:t>
      </w:r>
    </w:p>
    <w:p w14:paraId="034A4365">
      <w:pPr>
        <w:spacing w:line="700" w:lineRule="exact"/>
        <w:ind w:firstLine="708" w:firstLineChars="236"/>
        <w:jc w:val="left"/>
        <w:rPr>
          <w:rFonts w:hAnsi="宋体" w:eastAsia="仿宋_GB2312" w:cs="宋体"/>
          <w:kern w:val="0"/>
          <w:sz w:val="30"/>
          <w:szCs w:val="30"/>
        </w:rPr>
      </w:pPr>
    </w:p>
    <w:p w14:paraId="48004D9A">
      <w:pPr>
        <w:spacing w:line="540" w:lineRule="exact"/>
        <w:rPr>
          <w:rStyle w:val="18"/>
          <w:rFonts w:ascii="黑体" w:hAnsi="黑体" w:eastAsia="黑体"/>
          <w:b w:val="0"/>
          <w:spacing w:val="-4"/>
          <w:sz w:val="32"/>
          <w:szCs w:val="32"/>
        </w:rPr>
      </w:pPr>
    </w:p>
    <w:p w14:paraId="4C852F4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FDE7BDC">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C55F42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基本公共卫生服务补助资金项目是基于财政部、国家卫生健康委联合下发的《关于下达2024年基本公共卫生服务补助资金预算的通知》（财社〔2023〕153号）等文件要求设立的，旨在进一步强化基层医疗卫生服务能力，推动公共卫生服务均等化。随着我国慢性病负担日益加重，高血压、糖尿病等慢性病患者占比超过30%，而基层医疗机构在疾病预防、健康管理等方面仍存在短板，因此该项目的实施具有迫切的必要性，可通过资金直达机制优化资源配置，提升服务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后，预计可实现三大目标：一是将人均基本公共卫生服务经费标准提高，同比增长；二是扩大慢性阻塞性肺疾病等新增病种健康管理覆盖面，强化“平疫结合”能力；三是通过智能监管和绩效考评，确保资金安全高效使用，最终推动基层卫生院服务质效提升，增强群众健康获得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（1）项目名称：2024年基本公共卫生服务项目补助资金项目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一、资金用途①人员经费：用于基层医疗卫生机构从事基本公共卫生服务的在编及聘用人员的工资、绩效等支出，符合考核要求的结余部分可用于人员激励。②公用经费：包括办公费、印刷费、培训费、差旅费、专家劳务费、老年人健康体检早餐费等。③卫生材料支出：如消杀用品、试剂、注射器等耗材。④小型医疗设备购置：单台件不超过20万元的低值医用设备，以提升服务能力。⑤政府购买服务：若基层机构服务能力不足，可通过政府购买方式委托其他医疗机构提供公共卫生服务。二、资金覆盖范围①原12类基本公共卫生服务：居民健康档案管理、健康教育、预防接种 0-6岁儿童健康管理、孕产妇健康管理、老年人健康管理 高血压和2型糖尿病患者健康管理、严重精神障碍患者管理 肺结核患者健康管理、中医药健康管理、传染病和突发公共卫生事件报告与处理、卫生监督协管。②其他扩展服务：1、疾病预防控制：地方病防治、重大传染病防控（如登革热、霍乱）、疫苗冷链维护等。2、妇幼健康：产前筛查、新生儿疾病筛查、宫颈癌和乳腺癌检查等。3、食品安全与营养：食品污染监测、营养健康宣传等。4、职业病防治：重点职业病监测、放射防护等。5、健康促进：控烟履约、健康素养监测等。三、主要内容①资金分配方式：1、采用“因素法+绩效考核”分配，常住人口数、服务任务量、财力状况等为主要考量因素。2、绩效考核奖惩资金占比不低于10%，动态调整分配。②重点任务：1、强化慢性病管理（如高血压、糖尿病）、老年人健康服务、医养结合等。2、扩大新增病种（如慢性阻塞性肺疾病）健康管理覆盖面。3、推进家庭医生签约服务，补助标准为每人30元。③监管与绩效：1、资金全程监控，标注“中央直达资金”标识，确保专款专用。2、实施绩效评价，结果与下一年度资金分配挂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实施主体：呼图壁县大丰镇卫生院。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按照实施方案的要求，项目实施进展良好，达到了项目预期的目标。项目的实施提高了基本公共卫生服务水平，不断缩小城乡居民公共卫生差距。我县在实施基本公共卫生服务中，免费向城乡居民提供基本公共卫生服务,开展职业病检测，最大程度的保护放射工作人员、患者和公众的健康权益，同时推进妇幼卫生、老年服务健康、计划生育等方面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2024年1月开始实施，截止2024年12月已全部完成，通过本项目的实施，提升了基本公共卫生服务水平，缩小了城乡居民公共卫生差距；提高了群众对医院服务能力的认可，减轻相关企业和从业人员的负担，保证医院的正常运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呼图壁县大丰镇卫生院负责大丰镇各项医疗卫生工作，组织领导群众卫生运动，培养卫生技术人员，并对村卫生室进行指导工作。是农村医疗网点的重要工作，担负着医疗防疫、保健的重要任务，是直接解决农村看病难、看病贵的重要一关。是属于执行基层医疗卫生机构会计制度的一级预算单位。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呼图壁县大丰镇卫生院纳入2024年部门决算编制范围的有14个科室，分别是：护士站、门诊医生办公室、慢病门诊部、检验室、药房、防疫办公室、妇幼办公室、公共卫生科等科室。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编制人数为20人，其中：事业编制20人。实有在职人数20人，其中事业在职20人。离退休人员7人，其中：行政退休人员0人、事业退休7人。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本项目预算安排总额为112.51万元，资金来源为财政拨付，其中：财政资金112.51万元，其他资金0万元，2024年实际收到预算资金112.51万元，预算资金到位率为100%。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截至2024年12月31日，本项目实际支付资金112.51万元，预算执行率100%。本项目资金主要用于支付聘用人员工资及乡村医生随访费65.16万元，办公费2.40万元、基本公共卫生水费、电费、救护车维修费等项目44.95万元。</w:t>
      </w:r>
    </w:p>
    <w:p w14:paraId="2F91E7E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998A27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预算投入112.51万元计划完成免费向城乡居民提供基本公共卫生服务；开展对重点疾病及危害因素监测，有效控制疾病流行，为指定相关政策提供科学依据。助力国家脱贫攻坚，保持重点地方病防治措施全面落实；开展职业病监测，最大限度地保护放射工作人员、患者和公众的健康权益；同时推进妇幼卫生、健康服务。通过项目的实施，提高公民的健康水平，促进了医疗资源的合理利用和医疗服务体系的完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“开展业务指导次数”指标，预期指标值为“＞=10次”；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“老年人建档覆盖率”指标，预期指标值为“＞=70%”；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“开展业务指导完成率”指标，预期指标值为“＞=95%”；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“项目执行及时率”指标，预期指标值为“＞=100%”；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“工资标准”指标，预期指标值为“＜=3069元/月/人”；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“城乡居民公共卫生差距”指标，预期指标值为“显著缩小”；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“患者满意度”指标，预期指标值为“＞=90%”。</w:t>
      </w:r>
    </w:p>
    <w:p w14:paraId="59869E4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06AA7D4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8C2332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此次我单位根据《财政支出绩效评价管理暂行办法》（财预〔2020〕10号）文件要求实施评价工作，本次评价对象为2024年基本公共卫生服务项目补助资金项目，评价核心为项目资金、项目产出、项目效益。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(5)《财政部国家卫生健康委关于下达2024年基本公共卫生服务补助资金预算的通知》（财社〔2023〕153号），明确了资金使用范围和绩效目标要求；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（6）《国家基本公共卫生服务规范（第三版）》，规定了各项服务的具体内容和质量标准；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（7）《基本公共卫生服务补助资金管理办法》（财社〔2022〕31号），对资金管理、使用和绩效考核提出了具体要求；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（8）《关于做好2024年基本公共卫生服务项目工作的通知》（国卫基层发〔2023〕1号），细化了年度重点任务和考核指标；</w:t>
      </w:r>
    </w:p>
    <w:p w14:paraId="5D254BB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FB76BD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目标管理法、关键绩效指标法（KPI）、成本效益分析法、满意度调查法以及过程追踪法对项目进行评价，旨在通过综合分析影响绩效目标实现、实施效果的内外部因素，从而评价本项目绩效。三级指标分析环节：总体采用目标管理法、关键绩效指标法（KPI）、成本效益分析法、满意度调查法以及过程追踪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1、目标管理法：通过对比项目实际完成情况与预设绩效目标（如服务覆盖率、随访率等量化指标），评估目标达成程度，衡量项目实施效果。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2、关键绩效指标法（KPI）：选取核心指标（如电子健康档案建档率、慢性病规范管理率等）进行量化考核，反映项目重点任务的完成质量。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3、成本效益分析法：评估资金投入与产出效益的比例关系，分析公共卫生服务的经济性和资源利用效率。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4、满意度调查法：通过问卷调查或访谈收集服务对象（如居民、医务人员）的满意度反馈，衡量服务质量和社会效益。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5、过程追踪法：动态监测项目实施各环节（如资金拨付、服务开展等），确保流程合规和及时纠偏。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878591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949395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柴云（评价小组组长）：主要负责项目策划和监督，全面负责项目绩效评价办稿的最终质量，对评估人员出具的最终报告质量进行复核，确保评估结果的客观性；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孙秋芳（评价小组组员）：主要负责资料的收集，取证、数据统计分析；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刘琳涵（评价小组组员）：主要负责项目报告的制定，指标的研判，数据分析及报告撰写。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经调研了解，该项目主要受益群体包括居民。我们根据绩效评价目标和绩效指标体系，设计满意度调查问卷进行问卷调查，其中居民受益对象共选取样本20人，共发放问卷20份，最终收回20份。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2FE947A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CE0CE3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居民健康档案管理工作，公共卫生，并开展村卫生指导等工作；开展村卫生指导10次，老年人建档覆盖率达到77.65%等产出目标。通过实施该项目，使辖区内健康危害因素、健康问题得到改善，促进了医疗资源的合理利用和医疗服务体系的完善，缩小了城乡居民公共卫生差距。但在实施过程中也存在一些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1.基层服务能力不足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全科医生和公共卫生专业人员配备不足；专业技术能力有待提升；医疗设备陈旧，信息化建设滞后。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2.重点人群管理不到位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慢性病患者随访规范性不足；孕产妇和儿童健康管理服务覆盖不全；老年人健康体检项目执行不完善。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3.资金使用效益不高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资金分配与绩效考核衔接不紧密；部分资金使用进度滞后；资金使用透明度有待提高。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4.健康宣教效果不佳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健康教育活动形式单一；居民参与积极性不高；健康知识知晓率提升不明显。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5.信息化应用水平低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电子健康档案利用率不高；移动医疗设备配备不足；健康数据共享机制不健全。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w:t>
      </w:r>
      <w:bookmarkStart w:id="0" w:name="_GoBack"/>
      <w:bookmarkEnd w:id="0"/>
      <w:r>
        <w:rPr>
          <w:rStyle w:val="18"/>
          <w:rFonts w:hint="eastAsia" w:ascii="楷体" w:hAnsi="楷体" w:eastAsia="楷体"/>
          <w:b w:val="0"/>
          <w:bCs w:val="0"/>
          <w:spacing w:val="-4"/>
          <w:sz w:val="32"/>
          <w:szCs w:val="32"/>
        </w:rPr>
        <w:t>客观评价，本项目共设置三级指标数量18个，实现三级指标数量18个，总体完成率为100.0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%。最终评分结果：总分为</w:t>
      </w:r>
      <w:r>
        <w:rPr>
          <w:rStyle w:val="18"/>
          <w:rFonts w:hint="eastAsia" w:ascii="楷体" w:hAnsi="楷体" w:eastAsia="楷体"/>
          <w:b w:val="0"/>
          <w:bCs w:val="0"/>
          <w:spacing w:val="-4"/>
          <w:sz w:val="32"/>
          <w:szCs w:val="32"/>
          <w:lang w:val="en-US" w:eastAsia="zh-CN"/>
        </w:rPr>
        <w:t>99.20</w:t>
      </w:r>
      <w:r>
        <w:rPr>
          <w:rStyle w:val="18"/>
          <w:rFonts w:hint="eastAsia" w:ascii="楷体" w:hAnsi="楷体" w:eastAsia="楷体"/>
          <w:b w:val="0"/>
          <w:bCs w:val="0"/>
          <w:spacing w:val="-4"/>
          <w:sz w:val="32"/>
          <w:szCs w:val="32"/>
        </w:rPr>
        <w:t>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项目效益类指标共设置2个，满分指标1个，得分率50%。</w:t>
      </w:r>
    </w:p>
    <w:p w14:paraId="1D0293B1">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0CD9D6F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E523C25">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家颁发的《中华人民共和国基本医疗卫生与健康促进法》中的“明确国家建立健全基本公共卫生服务制度，要求基层医疗卫生机构提供均等化的公共卫生服务（如健康教育、传染病防治等），该项目资金直接支持相关服务开展”内容，符合国家法律法规；本项目立项符合《国家基本公共卫生服务规范（第三版）》中：“明确14类基本公共卫生服务内容（如居民健康档案、慢性病管理等）”内容，符合国民经济发展规划和政策；本项目立项符合《呼图壁县大丰镇卫生院配置内设机构和人员编制规定》中职责范围中的“基本公共卫生服务、健康管理与疾病防控、医疗防疫职能、保健任务、村卫生室指导、会计制度适配性”，属于我单位履职所需；根据《财政资金直接支付申请书》，本项目资金性质为“公共财政预算”功能分类为“基本公共卫生服务”经济分类为“其他工资福利支出、办公费、印刷费、水费、电费、邮电费、取暖费、维修（护）费、专业材料费、其他交通费、信息网络及软件购置更新”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提前下达2024年中央财政基本公共卫生服务补助资金预算的通知》（财社〔2023〕211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预算投入112.51万元计划完成免费向城乡居民提供基本公共卫生服务；开展对重点疾病及危害因素监测，有效控制疾病流行，为指定相关政策提供科学依据。助力国家脱贫攻坚，保持重点地方病防治措施全面落实；开展职业病监测，最大限度地保护放射工作人员、患者和公众的健康权益；同时推进妇幼卫生、健康服务。通过项目的实施，提高公民的健康水平，促进了医疗资源的合理利用和医疗服务体系的完善”；本项目实际工作内容为：完成居民健康档案管理工作，进行全民体检工作，并开展村卫生指导等工作，开展村卫生指导10次，老年人建档覆盖率达到77.65%。通过实施该项目，使辖区内健康危害因素、健康问题得到改善，促进了医疗资源的合理利用和医疗服务体系的完善，缩小了城乡居民公共卫生差距；绩效目标与实际工作内容一致，两者具有相关性;本项目预算申请资金112.51万元，预算确定资金量与实际工作任务相匹配。本项目按照绩效目标完成了数量指标、质量指标、时效指标、成本指标，使辖区内健康危害因素、健康问题得到改善，还促进了医疗资源的合理利用和医疗服务体系的完善，缩小了城乡居民公共卫生差距，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参照《基本公共卫生服务补助资金管理办法》（财政部、国家卫生健康委联合发布）、国家基本公共卫生服务项目规范、中央与地方财政事权和支出责任划分改革方案等规定的支出范围与标准得出，即预算编制较科学且经过论证；可确保资金精准用于基本公共卫生服务，提升民族地区群众健康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1、资金用途①人员经费：用于基层医疗卫生机构从事基本公共卫生服务的在编及聘用人员的工资、绩效等支出，符合考核要求的结余部分可用于人员激励。②公用经费：包括办公费、印刷费、培训费、差旅费、专家劳务费、老年人健康体检早餐费等。；二、资金覆盖范围①原12类基本公共卫生服务：居民健康档案管理、健康教育、预防接种 0-6岁儿童健康管理、孕产妇健康管理、老年人健康管理 高血压和2型糖尿病患者健康管理、严重精神障碍患者管理 肺结核患者健康管理、中医药健康管理、传染病和突发公共卫生事件报告与处理、卫生监督协管。②其他扩展服务：疾病预防控制、妇幼健康、食品安全与营养等。项目实际内容为通过2024年基本公共卫生服务补助资金项目的实施，完成了10次村卫生室的业务指导，实现了老年人建档91.2%的覆盖率的产出目标，发挥了提升基层医疗服务能力、增强重点人群健康管理水平、促进公共卫生服务均等化的显著效益，缩小了城乡居民公共卫生的差距。预算申请与《2024年基本公共卫生服务项目补助资金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112.51万元，我单位在预算申请中严格按照单位标准和数量进行核算，其中：聘用人员工资及乡村医生随访费65.16万元，办公费2.4万元、印刷费6.9万元、水费5万元、电费4.97万元、邮电费（网络费）2.6万元、取暖费4.5元、公共卫生设备系统更新维修（维）护费17.3万元、专用材料费3.06万元、救护车维修加油费0.62万元、，数量10项，合计112.51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基本公共卫生服务项目补助资金项目资金的请示》和《2024年基本公共卫生服务项目补助资金项目实施方案》为依据进行资金分配，预算资金分配依据充分。根据《关于提前下达2024年中央财政基本公共卫生服务补助资金预算的通知》（财社〔2023〕211号）补助资金资金下达文件》显示，本项目实际到位资金112.51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29600CDF">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6F8049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112.51万元，其中：本级财政安排资金112.51万元，其他资金0万元，实际到位资金112.51万元，资金到位率=（实际到位资金/预算资金）×100.00%=（112.51/112.51）*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本项目实际支出资金112.51万元，预算执行率=（实际支出资金/实际到位资金）×100.00%=（112.51/112.51）*100.00%=100%。得分=预算执行率*分值=112.51%*5=5分。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大丰镇卫生院资金管理办法》《2024年基本公共卫生服务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2024年基本公共卫生服务资金管理办法》《2024年基本公共卫生服务收支业务管理制度》《2024年基本公共卫生服务政府采购业务管理制度》《2024年基本公共卫生服务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技术鉴定等资料齐全并及时进行了归档。项目资金支出严格按照自治区、地区、市以及本单位资金管理办法执行，项目启动实施后，为了加快本项目的实施，成立了2024年基本公共卫生服务项目工作领导小组，由党组书记丁会江任组长，负责项目的组织工作；柴云任副组长，负责项目的实施工作；组员包括：孙秋芳和娄新萍，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69E299D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F61532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“开展业务指导次数”指标：预期指标值为“＞=10次”，实际完成指标值为=10次，指标完成率为100.0%。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“老年人建档覆盖率”指标：预期指标值为“＞=70%”，实际完成指标值为=77.65%，指标完成率为110%。偏差率为-10%，偏差原因主要为：本年我单位增加了老年人信息采集。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综上所述，本指标满分为5.0分，根据评分标准得4.5分。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“开展业务指导完成率”指标：预期指标值为“＞=95%”，实际完成指标值为=95%，指标完成率为100.0%。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“项目执行及时率”指标：预期指标值为“＞=100%”，实际完成指标值为=100%，指标完成率为100%。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“工资标准”指标：预期指标值为“＜=3069元/月/人”，实际完成指标值为=3069元/月/人，指标完成率为100%。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23DF449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613ED11">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“城乡居民公共卫生差距”指标：预期指标值为“显著缩小”，实际完成指标值为“达到预期指标”，指标完成率为100.0%。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020AEF4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“患者满意度”指标：预期指标值为“＞=90%”，实际完成指标值为=96.67%，指标完成率为107.41%。偏差原因为：本年增加了老年人入户信息采集，满意度提高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综上所述，本指标满分为10.0分，根据评分标准得9.26分。</w:t>
      </w:r>
    </w:p>
    <w:p w14:paraId="4CACF459">
      <w:pPr>
        <w:spacing w:line="540" w:lineRule="exact"/>
        <w:ind w:firstLine="567"/>
        <w:rPr>
          <w:rStyle w:val="18"/>
          <w:rFonts w:hint="eastAsia" w:ascii="楷体" w:hAnsi="楷体" w:eastAsia="楷体"/>
          <w:b w:val="0"/>
          <w:bCs w:val="0"/>
          <w:spacing w:val="-4"/>
          <w:sz w:val="32"/>
          <w:szCs w:val="32"/>
        </w:rPr>
      </w:pPr>
    </w:p>
    <w:p w14:paraId="701063E6">
      <w:pPr>
        <w:spacing w:line="540" w:lineRule="exact"/>
        <w:ind w:firstLine="567"/>
        <w:rPr>
          <w:rStyle w:val="18"/>
          <w:rFonts w:ascii="楷体" w:hAnsi="楷体" w:eastAsia="楷体"/>
          <w:spacing w:val="-4"/>
          <w:sz w:val="32"/>
          <w:szCs w:val="32"/>
        </w:rPr>
      </w:pPr>
    </w:p>
    <w:p w14:paraId="2AD6741D">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1104E3C0">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组织方面，卫生院建立了由主要领导挂帅、多科室协同的工作机制，通过明确职责分工、定期召开推进会等方式，确保项目有序推进。注重发挥村卫生室网底作用，形成乡村两级联动服务模式，同时加强人员培训，提升服务团队专业能力，为项目实施提供有力组织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管理方面，创新采用信息化手段实现服务全过程监管，建立标准化服务流程和质量控制体系。通过细化任务清单、强化绩效考核、实施动态监测等措施，确保各项服务规范开展。特别注重重点人群健康管理，建立分类服务机制，实现精准化健康服务，有效提升服务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资金管理方面，严格执行专项资金管理制度，实行专账核算、专人管理。建立资金使用审批流程和内控制度，确保资金使用合规安全。创新采用"预算-执行-分析-调整"闭环管理模式，定期开展资金使用效益分析，提高资金使用效率。同时主动接受审计监督，确保每一分资金都用在刀刃上，切实发挥资金最大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一、问题：老年人建档覆盖率超额完成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1、考核机制优化：将老年人建档率纳入卫生院绩效考核核心指标、建档数据作为享受居家养老服务的前置条件。2、居民配合度高：居民对公共卫生服务认知强、健康信息更新意愿强。3、重点人群精准突破；为失能老人提供上门建档、建立空巢老人"健康联络人"制度。4、加强人员培训：开展老年人电子建档专题培训、提升服务能力。</w:t>
      </w:r>
    </w:p>
    <w:p w14:paraId="4832099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17DAFE7E">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一、问题：老年人建档覆盖率超额完成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建议及措施：扎实推进老年人档案规范化建设，提升老年人档案管理水平，做好老年人档案的归纳与整理。及时整理、收集、汇总，健全老年人档案资料，确保老年人档案资料完整齐全。</w:t>
      </w:r>
    </w:p>
    <w:p w14:paraId="55EB0CC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56FC9EE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653031CC">
      <w:pPr>
        <w:spacing w:line="540" w:lineRule="exact"/>
        <w:ind w:firstLine="567"/>
        <w:rPr>
          <w:rStyle w:val="18"/>
          <w:rFonts w:ascii="仿宋" w:hAnsi="仿宋" w:eastAsia="仿宋"/>
          <w:b w:val="0"/>
          <w:spacing w:val="-4"/>
          <w:sz w:val="32"/>
          <w:szCs w:val="32"/>
        </w:rPr>
      </w:pPr>
    </w:p>
    <w:p w14:paraId="5AF22CB0">
      <w:pPr>
        <w:spacing w:line="540" w:lineRule="exact"/>
        <w:ind w:firstLine="567"/>
        <w:rPr>
          <w:rStyle w:val="18"/>
          <w:rFonts w:ascii="仿宋" w:hAnsi="仿宋" w:eastAsia="仿宋"/>
          <w:b w:val="0"/>
          <w:spacing w:val="-4"/>
          <w:sz w:val="32"/>
          <w:szCs w:val="32"/>
        </w:rPr>
      </w:pPr>
    </w:p>
    <w:p w14:paraId="318E20DD">
      <w:pPr>
        <w:spacing w:line="540" w:lineRule="exact"/>
        <w:ind w:firstLine="567"/>
        <w:rPr>
          <w:rStyle w:val="18"/>
          <w:rFonts w:ascii="仿宋" w:hAnsi="仿宋" w:eastAsia="仿宋"/>
          <w:b w:val="0"/>
          <w:spacing w:val="-4"/>
          <w:sz w:val="32"/>
          <w:szCs w:val="32"/>
        </w:rPr>
      </w:pPr>
    </w:p>
    <w:p w14:paraId="5F65AB57">
      <w:pPr>
        <w:spacing w:line="540" w:lineRule="exact"/>
        <w:ind w:firstLine="567"/>
        <w:rPr>
          <w:rStyle w:val="18"/>
          <w:rFonts w:ascii="仿宋" w:hAnsi="仿宋" w:eastAsia="仿宋"/>
          <w:b w:val="0"/>
          <w:spacing w:val="-4"/>
          <w:sz w:val="32"/>
          <w:szCs w:val="32"/>
        </w:rPr>
      </w:pPr>
    </w:p>
    <w:p w14:paraId="5259A11A">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CF9142E">
        <w:pPr>
          <w:pStyle w:val="12"/>
          <w:jc w:val="center"/>
        </w:pPr>
        <w:r>
          <w:fldChar w:fldCharType="begin"/>
        </w:r>
        <w:r>
          <w:instrText xml:space="preserve">PAGE   \* MERGEFORMAT</w:instrText>
        </w:r>
        <w:r>
          <w:fldChar w:fldCharType="separate"/>
        </w:r>
        <w:r>
          <w:rPr>
            <w:lang w:val="zh-CN"/>
          </w:rPr>
          <w:t>2</w:t>
        </w:r>
        <w:r>
          <w:fldChar w:fldCharType="end"/>
        </w:r>
      </w:p>
    </w:sdtContent>
  </w:sdt>
  <w:p w14:paraId="49162CE5">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 w:val="7F451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11840</Words>
  <Characters>12576</Characters>
  <Lines>4</Lines>
  <Paragraphs>1</Paragraphs>
  <TotalTime>13</TotalTime>
  <ScaleCrop>false</ScaleCrop>
  <LinksUpToDate>false</LinksUpToDate>
  <CharactersWithSpaces>12607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2025-08-11T12:01:23Z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