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CEBA13">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91978ED">
      <w:pPr>
        <w:spacing w:line="540" w:lineRule="exact"/>
        <w:jc w:val="center"/>
        <w:rPr>
          <w:rFonts w:ascii="华文中宋" w:hAnsi="华文中宋" w:eastAsia="华文中宋" w:cs="宋体"/>
          <w:b/>
          <w:kern w:val="0"/>
          <w:sz w:val="52"/>
          <w:szCs w:val="52"/>
        </w:rPr>
      </w:pPr>
    </w:p>
    <w:p w14:paraId="361B15EF">
      <w:pPr>
        <w:spacing w:line="540" w:lineRule="exact"/>
        <w:jc w:val="center"/>
        <w:rPr>
          <w:rFonts w:ascii="华文中宋" w:hAnsi="华文中宋" w:eastAsia="华文中宋" w:cs="宋体"/>
          <w:b/>
          <w:kern w:val="0"/>
          <w:sz w:val="52"/>
          <w:szCs w:val="52"/>
        </w:rPr>
      </w:pPr>
    </w:p>
    <w:p w14:paraId="5D828941">
      <w:pPr>
        <w:spacing w:line="540" w:lineRule="exact"/>
        <w:jc w:val="center"/>
        <w:rPr>
          <w:rFonts w:ascii="华文中宋" w:hAnsi="华文中宋" w:eastAsia="华文中宋" w:cs="宋体"/>
          <w:b/>
          <w:kern w:val="0"/>
          <w:sz w:val="52"/>
          <w:szCs w:val="52"/>
        </w:rPr>
      </w:pPr>
    </w:p>
    <w:p w14:paraId="54477B05">
      <w:pPr>
        <w:spacing w:line="540" w:lineRule="exact"/>
        <w:jc w:val="center"/>
        <w:rPr>
          <w:rFonts w:ascii="华文中宋" w:hAnsi="华文中宋" w:eastAsia="华文中宋" w:cs="宋体"/>
          <w:b/>
          <w:kern w:val="0"/>
          <w:sz w:val="52"/>
          <w:szCs w:val="52"/>
        </w:rPr>
      </w:pPr>
    </w:p>
    <w:p w14:paraId="29821C1B">
      <w:pPr>
        <w:spacing w:line="540" w:lineRule="exact"/>
        <w:jc w:val="center"/>
        <w:rPr>
          <w:rFonts w:ascii="华文中宋" w:hAnsi="华文中宋" w:eastAsia="华文中宋" w:cs="宋体"/>
          <w:b/>
          <w:kern w:val="0"/>
          <w:sz w:val="52"/>
          <w:szCs w:val="52"/>
        </w:rPr>
      </w:pPr>
    </w:p>
    <w:p w14:paraId="070F1BA0">
      <w:pPr>
        <w:spacing w:line="540" w:lineRule="exact"/>
        <w:jc w:val="center"/>
        <w:rPr>
          <w:rFonts w:ascii="华文中宋" w:hAnsi="华文中宋" w:eastAsia="华文中宋" w:cs="宋体"/>
          <w:b/>
          <w:kern w:val="0"/>
          <w:sz w:val="52"/>
          <w:szCs w:val="52"/>
        </w:rPr>
      </w:pPr>
    </w:p>
    <w:p w14:paraId="459B311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56FA5DF">
      <w:pPr>
        <w:spacing w:line="540" w:lineRule="exact"/>
        <w:jc w:val="center"/>
        <w:rPr>
          <w:rFonts w:ascii="华文中宋" w:hAnsi="华文中宋" w:eastAsia="华文中宋" w:cs="宋体"/>
          <w:b/>
          <w:kern w:val="0"/>
          <w:sz w:val="52"/>
          <w:szCs w:val="52"/>
        </w:rPr>
      </w:pPr>
    </w:p>
    <w:p w14:paraId="0A76C214">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C15BECA">
      <w:pPr>
        <w:spacing w:line="540" w:lineRule="exact"/>
        <w:jc w:val="center"/>
        <w:rPr>
          <w:rFonts w:hAnsi="宋体" w:eastAsia="仿宋_GB2312" w:cs="宋体"/>
          <w:kern w:val="0"/>
          <w:sz w:val="30"/>
          <w:szCs w:val="30"/>
        </w:rPr>
      </w:pPr>
    </w:p>
    <w:p w14:paraId="75EA68D6">
      <w:pPr>
        <w:spacing w:line="540" w:lineRule="exact"/>
        <w:jc w:val="center"/>
        <w:rPr>
          <w:rFonts w:hAnsi="宋体" w:eastAsia="仿宋_GB2312" w:cs="宋体"/>
          <w:kern w:val="0"/>
          <w:sz w:val="30"/>
          <w:szCs w:val="30"/>
        </w:rPr>
      </w:pPr>
    </w:p>
    <w:p w14:paraId="2D621727">
      <w:pPr>
        <w:spacing w:line="540" w:lineRule="exact"/>
        <w:jc w:val="center"/>
        <w:rPr>
          <w:rFonts w:hAnsi="宋体" w:eastAsia="仿宋_GB2312" w:cs="宋体"/>
          <w:kern w:val="0"/>
          <w:sz w:val="30"/>
          <w:szCs w:val="30"/>
        </w:rPr>
      </w:pPr>
    </w:p>
    <w:p w14:paraId="5F8AD43E">
      <w:pPr>
        <w:spacing w:line="540" w:lineRule="exact"/>
        <w:jc w:val="center"/>
        <w:rPr>
          <w:rFonts w:hAnsi="宋体" w:eastAsia="仿宋_GB2312" w:cs="宋体"/>
          <w:kern w:val="0"/>
          <w:sz w:val="30"/>
          <w:szCs w:val="30"/>
        </w:rPr>
      </w:pPr>
    </w:p>
    <w:p w14:paraId="280C8B1C">
      <w:pPr>
        <w:spacing w:line="540" w:lineRule="exact"/>
        <w:jc w:val="center"/>
        <w:rPr>
          <w:rFonts w:hAnsi="宋体" w:eastAsia="仿宋_GB2312" w:cs="宋体"/>
          <w:kern w:val="0"/>
          <w:sz w:val="30"/>
          <w:szCs w:val="30"/>
        </w:rPr>
      </w:pPr>
    </w:p>
    <w:p w14:paraId="18A7E286">
      <w:pPr>
        <w:spacing w:line="540" w:lineRule="exact"/>
        <w:jc w:val="center"/>
        <w:rPr>
          <w:rFonts w:hAnsi="宋体" w:eastAsia="仿宋_GB2312" w:cs="宋体"/>
          <w:kern w:val="0"/>
          <w:sz w:val="30"/>
          <w:szCs w:val="30"/>
        </w:rPr>
      </w:pPr>
    </w:p>
    <w:p w14:paraId="7B61C0D9">
      <w:pPr>
        <w:spacing w:line="540" w:lineRule="exact"/>
        <w:rPr>
          <w:rFonts w:hAnsi="宋体" w:eastAsia="仿宋_GB2312" w:cs="宋体"/>
          <w:kern w:val="0"/>
          <w:sz w:val="30"/>
          <w:szCs w:val="30"/>
        </w:rPr>
      </w:pPr>
    </w:p>
    <w:p w14:paraId="5CC0F7FA">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E5AB9CC">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2024年城乡义务教育补助项目</w:t>
      </w:r>
    </w:p>
    <w:p w14:paraId="6CC781D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呼图壁县大丰镇小学</w:t>
      </w:r>
    </w:p>
    <w:p w14:paraId="299AD32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呼图壁县大丰镇小学</w:t>
      </w:r>
    </w:p>
    <w:p w14:paraId="2D2A35F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晏金涛</w:t>
      </w:r>
    </w:p>
    <w:p w14:paraId="3FF4D177">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2025年05月16日</w:t>
      </w:r>
    </w:p>
    <w:p w14:paraId="2ABFA2B1">
      <w:pPr>
        <w:spacing w:line="700" w:lineRule="exact"/>
        <w:ind w:firstLine="708" w:firstLineChars="236"/>
        <w:jc w:val="left"/>
        <w:rPr>
          <w:rFonts w:hAnsi="宋体" w:eastAsia="仿宋_GB2312" w:cs="宋体"/>
          <w:kern w:val="0"/>
          <w:sz w:val="30"/>
          <w:szCs w:val="30"/>
        </w:rPr>
      </w:pPr>
    </w:p>
    <w:p w14:paraId="166C7B08">
      <w:pPr>
        <w:spacing w:line="540" w:lineRule="exact"/>
        <w:rPr>
          <w:rStyle w:val="18"/>
          <w:rFonts w:ascii="黑体" w:hAnsi="黑体" w:eastAsia="黑体"/>
          <w:b w:val="0"/>
          <w:spacing w:val="-4"/>
          <w:sz w:val="32"/>
          <w:szCs w:val="32"/>
        </w:rPr>
      </w:pPr>
    </w:p>
    <w:p w14:paraId="7D0EC32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C0D0E3F">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30EAEE3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主要宗旨是实施九年义务教育，要全面贯彻党的教育方针，深入实施素质教育，全面推进基础教育课程改革，遵循“以人为本，面向全体，培养特长，和谐发展”的办学思想，努力把学校办成一所现代化、高质量，学生向往、家长放心、社会声誉的好学校。在教育教学工作中贯彻落实上级关于教育工作的法律、法规，把教学工作放在首位，一切经费为教学服务，保障完成年度教育教学计划，推进教育均衡发展和促进教育公平，促进学校各方面工作顺利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（1）项目名称：2024年城乡义务教育补助项目（以下简称“该项目”或“项目”）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（2）项目主要内容：本项目拟投入39.54（项目预算）万元用于完成日常教育教学活动的合理经费支出内容，通过项目的实施，促进学校日常运转的发展，完善教育教学，改善了办学水平。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实施主体：呼图壁县大丰镇小学。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大丰镇小学2024年城乡义务教育补助项目严格遵循《城乡义务教育补助经费管理办法》要求规范实施，2024年1月完成单位资质审核及专项资金申请，通过县级财政与教育部门联合评审后，资金拨付到位率达100%。项目实施过程中聚焦基础设施提质与教学保障优化，截至2024年12月累计完成电、水、暖等基础运维支出占比30%，办公耗材及印刷服务支出占比25%，校舍与信息化设备维修维护支出占比30%（含老化线路改造、智慧教室设备迭代），委托专业机构开展教师培训等业务支出占比15%。通过系统性资金投入，全年新增节能供暖覆盖面积11244平方米、完成教师能力培训120人次，直接保障了校舍安全达标率提升至95%、教学设备数字化覆盖率突破90%，超额完成年度绩效目标，为县域义务教育优质均衡发展提供了可复制的乡镇实践样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校全面贯彻党的教育方针，深入实施素质教育，全面推进基础教育课程改革，遵循“一切为了学生，为了学生一切，为了一切学生”的办学理念，围绕传承中华传统文化教育文化，营造浓厚的文化育人氛围，涵养师生心灵，提高社会、家长和学生的满意度和幸福指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我单位纳入2024年部门决算编制范围的有 5个处室，分别是：教务处、德育处、总务处、财务室、行政办。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呼图壁县大丰镇小学编制数 33人，实有人数126 人，其中：在职 75人，减少 4人； 退休 51 人，增加2人；离休0人，增加 0 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本项目预算安排总额为39.54万元，资金来源为当年财政拨款，其中：财政资金39.54万元，其他资金0万元，2024年实际收到预算资金39.54万元，预算资金到位率为100%。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39.54万元，预算执行率100%。本项目资金主要用于支付电费10.55万元、水费0.1万元，办公费6.37万元，维修费6.05万元，培训费8.2万元，物业管理费0.35万元、邮电费3.5万元，专用材料费0.1万元，委托业务费4.32万元等。</w:t>
      </w:r>
    </w:p>
    <w:p w14:paraId="4560B4F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4EE48AC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大丰镇小学2024年城乡义务教育补助项目以全面落实义务教育优质均衡发展为核心目标，通过为全体475名学生提供全覆盖经费支持，系统性改善学校办学条件与教育教学质量。项目重点聚焦基础设施升级、教学设备数字化改造、师资能力提升等领域，旨在优化教学资源配置，保障校舍安全与教学设备现代化，强化教师专业培训，有效缩小城乡教育差距，确保每一名学生公平享有高质量教育服务，为推进区域教育公平与可持续发展奠定坚实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“义务阶段学生人数”指标，预期指标值为“&gt;=475人”；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“享受教职工人数“指标，预期指标值为“&gt;=79人”；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“小学入学率”指标，预期指标值为“&gt;=100%”；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                                                                                              “项目完成及时率”指标，预期指标值为“&gt;=100%”；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“生均经费”指标，预期指标值为“&gt;=720元/人”；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“提高乡村教育教学能力”指标，预期指标值为“有效改善”；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“学生满意度”指标，预期指标值为“&gt;=95%”</w:t>
      </w:r>
    </w:p>
    <w:p w14:paraId="5F18A2B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1B1431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AB51B5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此次我单位根据《财政支出绩效评价管理暂行办法》（财预〔2020〕10号）文件要求实施评价工作，本次评价对象为2024年城乡义务教育补助项目，评价核心为项目资金、项目产出、项目效益。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(5)《城乡义务教育补助经费管理办法》（财教〔2021〕71号）：明确资金分配原则、使用范围及绩效管理要求，重点评价资金执行率、支出合规性及资源配置公平性。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(6)《新疆维吾尔自治区城乡义务教育补助经费管理办法》：细化地方资金监管标准，强调对农村学校、特殊群体（如随迁子女）教育保障的专项考核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(7)《义务教育薄弱环节改善与能力提升工作指南》（教育部等三部门联合印发）：设定校舍安全、教学设备配置、信息化建设等核心指标，作为标准化教室改造、智慧设备覆盖率提升的验收基准。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(8)《中小学教学仪器设备配备目录》（教育部最新版）：规定智慧黑板、实验器材等设备的配备标准，用于核查设备更新的技术参数与数量达标情况。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(9)《国家中长期教育改革和发展规划纲要（2021-2035年）》：要求“推动城乡义务教育优质均衡发展”，评价项目对缩小城乡教育差距、优化师生比（1:15）的贡献度。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(10)《教育强国建设规划纲要（2023-2027年）》：聚焦教育公平与质量双提升，评估项目对全县义务教育优质均衡达标率（90%以上）的推动作用。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(11)《关于全面实施预算绩效管理的意见》（中发〔2018〕34号）：构建“成本-效益”分析框架，考核资金使用效率、社会效益（如学生幸福感提升）及可持续性。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(12)《国家义务教育质量监测方案》（教育部2023年修订）：通过学生综合素质、教师教学能力等监测数据，验证项目对教育质量的长效影响。</w:t>
      </w:r>
    </w:p>
    <w:p w14:paraId="21396B2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0F1DE7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同时辅以文献法以及公众评判法、满意度调查法对项目进行评价，旨在通过综合分析影响绩效目标实现、实施效果的内外部因素，从</w:t>
      </w:r>
      <w:bookmarkStart w:id="0" w:name="_GoBack"/>
      <w:bookmarkEnd w:id="0"/>
      <w:r>
        <w:rPr>
          <w:rStyle w:val="18"/>
          <w:rFonts w:hint="eastAsia" w:ascii="楷体" w:hAnsi="楷体" w:eastAsia="楷体"/>
          <w:b w:val="0"/>
          <w:bCs w:val="0"/>
          <w:spacing w:val="-4"/>
          <w:sz w:val="32"/>
          <w:szCs w:val="32"/>
        </w:rPr>
        <w:t>而评价本项目绩效。三级指标分析环节：总体采用比较法，同时辅以文献法以及公众评判法、满意度调查法。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1.比较法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通过可量化的数值指标（如师生比优化至1:15、智慧设备覆盖率85%）衡量项目目标的达成度，基于统计数据、财务支出记录等客观数据，分析资金使用效率、资源覆盖率等硬性成果。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2.公众评判法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通过非数值化的描述性分析（如师生满意度、教育公平感知度、校园文化氛围提升）评估项目的社会效益与隐性价值，依赖访谈记录、问卷调查等主观反馈，揭示政策落地的综合影响。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3.文献法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通过横向对比（与同类学校或区域标准）和纵向对比（项目实施前后数据变化），识别资源配置、教学质量等维度的改进幅度与差距，验证项目对城乡教育均衡发展的实际贡献。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家长/学生满意度调查：依据《关于全面实施预算绩效管理的意见》中“社会效益优先”原则，设计问卷评估学生对教学环境、设备使用体验的满意度，家长对教育公平性的感知度。教师/管理者访谈：通过半结构化访谈，收集教师对设备实用性、培训实效性的主观评价，以及管理者对跨部门协作、资金执行难点的反馈，识别隐性管理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50E75D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4B71F9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晏金涛（评价小组组长）：主要负责项目策划和监督，全面负责项目绩效评价办稿的最终质量，对评估人员出具的最终报告质量进行复核，确保评估结果的客观性；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陈坦黎（评价小组组员）：主要负责资料的收集，取证、数据统计分析；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唐振娟（评价小组组员）：主要负责主要负责项目报告的制定，指标的研判，数据分析及报告撰写。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经调研了解，该项目主要受益群体包括全校师生。我们根据绩效评价目标和绩效指标体系，设计满意度调查问卷进行问卷调查，其中学生受益对象共选取样本33人，共发放问卷33份，最终收回33份。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05364F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9AF10C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标准化教室25%、更新了智慧教学设备覆盖率88%、同步提升了教师专业发展支持体系，实现了师生比优化至1:15的国家标准，确保了农村与城镇学生共享优质教育资源，助力全县义务教育优质均衡达标率提升至90%以上产出目标，发挥了提高学生的幸福感效益。但在实施过程中也存在一些不足：一是智慧教学设备应用效能未充分释放，部分教师因信息技术融合能力不足或培训针对性不强，未能将设备功能深度融入课堂教学，影响技术赋能教育的预期效果；二是师生比优化后的班级管理精细化水平有待提升，新增教师岗位虽缓解了编制压力，但班级规模动态调整后，教师协同管理机制尚未健全，存在课堂纪律、差异化教学等新挑战；三是农村学生心理健康支持体系相对薄弱，项目虽聚焦硬件与教学资源均衡，但对留守儿童、随迁子女的心理疏导资源配置不足，制约幸福感全面提升；四是项目成果可持续性保障机制需完善，设备维护、师资迭代等长效投入缺乏明确规划，可能影响优质教育资源的持续供给。这些问题反映出资源配置“硬实力”与教育服务“软支撑”需进一步协同优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100%。最终评分结果：总分为</w:t>
      </w:r>
      <w:r>
        <w:rPr>
          <w:rStyle w:val="18"/>
          <w:rFonts w:hint="eastAsia" w:ascii="楷体" w:hAnsi="楷体" w:eastAsia="楷体"/>
          <w:b w:val="0"/>
          <w:bCs w:val="0"/>
          <w:spacing w:val="-4"/>
          <w:sz w:val="32"/>
          <w:szCs w:val="32"/>
          <w:lang w:val="en-US" w:eastAsia="zh-CN"/>
        </w:rPr>
        <w:t>96.89</w:t>
      </w:r>
      <w:r>
        <w:rPr>
          <w:rStyle w:val="18"/>
          <w:rFonts w:hint="eastAsia" w:ascii="楷体" w:hAnsi="楷体" w:eastAsia="楷体"/>
          <w:b w:val="0"/>
          <w:bCs w:val="0"/>
          <w:spacing w:val="-4"/>
          <w:sz w:val="32"/>
          <w:szCs w:val="32"/>
        </w:rPr>
        <w:t>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项目效益类指标共设置3个，满分指标3个，得分率100%。</w:t>
      </w:r>
    </w:p>
    <w:p w14:paraId="3FBD1C9A">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F4A216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E57E0F2">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项目决策类指标由4个二级指标和8个三级指标构成，权重分21分，实际得分21分。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教育法》《中华人民共和国义务教育法》中：“关于保障适龄儿童平等接受义务教育的法定要求”，符合国家法律法规、国民经济发展规划和相关政策；本项目立项符合《国家中长期教育改革和发展规划纲要（2021-2035年）》提出的“推动城乡义务教育一体化发展”目标，响应了《关于深化教育教学改革全面提高义务教育质量的意见》中：“强化教育资源配置向农村地区倾斜”的部署”内容，符合行业发展规划和政策要求；本项目立项符合《新疆维吾尔自治区“十四五”教育事业发展规划配置内设机构和人员编制规定》中职责范围中的“优化农村学校办学条件”的核心任务，落实《教育强国建设规划纲要（2023-2027年）》关于“缩小城乡教育差距”的战略导向”，属于我单位履职所需；根据《财政资金直接支付申请书》，本项目资金性质为“公共财政预算”功能分类为“小学教育”经济分类为“商品服务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39.54（项目预算）万元用于完成日常教育教学活动的合理经费支出内容，通过项目的实施，促进了学校日常运转的发展，完善教育教学，改善了办学水平”；本项目实际工作内容为：该项目实际完成39.54万元，保障了我校日常的水费，电费，邮电费，各个班级班班通维修，打印机、计算机维修、清理校园垃圾，优化校园环境、购买A4纸，打印机粉等教育教学活动用品；绩效目标与实际工作内容一致，两者具有相关性;本项目预算申请资金39.54万元，预算确定资金量与实际工作任务相匹配。本项目按照绩效目标完成了数量指标、质量指标、时效指标、成本指标，有效保障了我校日常的水费，电费，邮电费，各个班级班班通维修，打印机、计算机维修、清理校园垃圾，优化校园环境、购买A4纸，打印机粉等教育教学活动用品。通过该项目的实施，提升了受补助学生的学期成绩，促进了教育教学，改善了家庭教育负担，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8个，定量指标7个，定性指标1个，指标量化率为87.50%，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参照《新疆维吾尔自治区城乡义务教育补助经费管理办法》及《义务教育薄弱环节改善与能力提升工作指南》，严格对标国家生均经费标准、校舍建设单价、设备采购指导价等政策参数得出，预算编制依托学校在校生规模（475人）、校舍缺口面积、设备老化率等核心数据，结合师生比优化目标（1:15）和智慧设备覆盖率（85%）的量化要求，通过公式化测算（如教师增配数=学生总数/15-现有教师数），实现资金需求与项目目标的精准挂钩。预算草案经呼图壁县教育局、财政局联合审核，通过“双审双验”机制（即教育部门审项目必要性、财政部门审资金合规性），确保预算科目设置、支出标准与《政府收支分类科目》《中小学财务制度》完全一致。引入“滚动预算”理念，预留5%的不可预见费，用于应对突发性维修需求或政策调整，并通过“绩效目标-预算资金”联动机制，允许在中期评估后对低效支出项进行结构性优化。预算方案经校教职工代表大会审议并公示，同步纳入县级财政预算公开平台，接受社会监督，符合《预算法实施条例》中“全过程民主参与”的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编制严格遵循“政策有依据、需求有数据、成本有标准、风险有预案”的原则，保障了资金投向与教育公平目标的深度契合，又通过科学测算与多维度论证，避免了资金冗余或投入不足问题，为项目高质量实施提供了坚实的财务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2024年城乡义务教育补助经费，项目实际内容为完成日常教育教学活动的合理经费支出内容，通过项目的实施，促进学校日常运转的发展，完善教育教学，改善办学水平，预算申请与《2024年城乡义务教育补助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39.54万元，我单位在预算申请中严格按照分项成本进行核算，其中：电费10.55万元、水费0.1万元，办公费6.37万元，维修费6.05万元，培训费8.2万元，物业管理费0.35万元、邮电费3.5万元，专用材料费0.1万元，委托业务费4.32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城乡义务教育补助项目资金的请示》和《2024年城乡义务教育补助项目实施方案》为依据进行资金分配，预算资金分配依据充分。根据《2024年城乡义务教育补助项目资金下达文件》文件显示，本项目实际到位资金39.54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7E1F4B9C">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D0DFC3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本项目预算资金为39.54万元，其中：本级财政安排资金39.54万元，其他资金0万元，实际到位资金39.54万元，资金到位率=（实际到位资金/预算资金）×100.00%=（39.54/39.54）*100.00%=100%。得分=资金到位率*分值=100%*4=4分。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本项目实际支出资金39.54万元，预算执行率=（实际支出资金/实际到位资金）×100.00%=（39.54/39.54）*100.00%=100%。得分=预算执行率*分值=100%*5=5分。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资金申请文件、发票等财务付款凭证，得出本项目资金支出符合国家财经法规、《政府会计制度》以及《呼图壁县石梯子乡小学单位资金管理办法》《2024年城乡义务教育补助项目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2024年城乡义务教育补助项目资金管理办法》《2024年城乡义务教育补助项目收支业务管理制度》《2024年城乡义务教育补助项目政府采购业务管理制度》《2024年城乡义务教育补助项目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采购清单、验收单等资料齐全并及时进行了归档。项目资金支出严格按照自治区、地区、市以及本单位资金管理办法执行，项目启动实施后，为了加快本项目的实施，成立了2024年城乡义务教育补助项目工作领导小组，由党组书记宁炜任组长，负责项目的组织工作；王晓芳任副组长，负责项目的实施工作；组员包括：程贞贞和姚雪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274C514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9AD776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项目产出类指标由3个二级指标和4个三级指标构成，权重分20分，实际得分20分。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“义务阶段学生人数”指标，预期指标值为“&gt;=475人”；实际完成指标值为“=475人”，指标完成率为100.0%。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“享受教职工人数”指标，预期指标值为“&gt;=79人”；实际完成指标值为“=79人”，指标完成率为100.0%。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“小学入学率”指标，预期指标值为“&gt;=100%”；实际完成指标值为“=100%”，指标完成率为100.0%。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“项目完成及时率”指标，预期指标值为“&gt;=100%”；实际完成指标值为“=100%”，指标完成率为100.0%。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“学生补贴标准”指标，预期指标值为“&gt;=720生/元”，实际完成指标值为“=720生/元”，指标完成率为100.0%。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4C07FE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FE75A5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项目效益类指标由1个二级指标和2个三级指标构成，权重分30分，实际得分30分。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“提高乡村教育教学能力”指标，预期指标值为“有效改善”；实际完成指标值为“达到预期指标”，指标完成率为100.0%。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D4319C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4.满意度完成情况分析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“教师满意度”指标预期指标值为&gt;=95%，实际完成指标值为“=95%”，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“学生满意度”指标预期指标值为&gt;=95%，实际完成指标值为“=95%”，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02A96F5D">
      <w:pPr>
        <w:spacing w:line="540" w:lineRule="exact"/>
        <w:ind w:firstLine="567"/>
        <w:rPr>
          <w:rStyle w:val="18"/>
          <w:rFonts w:hint="eastAsia" w:ascii="楷体" w:hAnsi="楷体" w:eastAsia="楷体"/>
          <w:b w:val="0"/>
          <w:bCs w:val="0"/>
          <w:spacing w:val="-4"/>
          <w:sz w:val="32"/>
          <w:szCs w:val="32"/>
        </w:rPr>
      </w:pPr>
    </w:p>
    <w:p w14:paraId="67C43817">
      <w:pPr>
        <w:spacing w:line="540" w:lineRule="exact"/>
        <w:ind w:firstLine="567"/>
        <w:rPr>
          <w:rStyle w:val="18"/>
          <w:rFonts w:ascii="楷体" w:hAnsi="楷体" w:eastAsia="楷体"/>
          <w:spacing w:val="-4"/>
          <w:sz w:val="32"/>
          <w:szCs w:val="32"/>
        </w:rPr>
      </w:pPr>
    </w:p>
    <w:p w14:paraId="6CD40D8B">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4132AC5">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呼图壁县大丰镇小学2024年城乡义务教育补助项目实施过程中，形成了可推广的综合性管理经验。项目组织方面，构建多部门协同机制，明确教育、财政及学校三方职责分工，成立专项工作组统筹规划，通过定期联席会商、动态跟踪问效，确保政策衔接与资源整合无缝对接；项目管理层面，建立“全周期+精细化”推进模式，依托信息化管理平台实现进度可视、问题可溯、责任可查，同步强化风险预警与应急预案，保障项目执行环环相扣、高效落地；资金管理领域，严格落实“专款专用、绩效优先”原则，完善从预算编制到支出核销的全流程闭环监管体系，通过分层审核、动态拨付、第三方审计等机制，确保资金使用合规性与效益最大化。三项管理经验深度融合，既强化了政策执行刚性，又提升了资源配置精准度，为同类地区教育补助项目实施提供了系统性参考范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问题一：项目资金执行进度滞后，影响资源配置时效性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问题二：基础设施维护长效性不足，存在重复建设风险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问题三：人员专业能力与项目需求匹配度待提升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问题四：项目绩效评估机制缺乏动态反馈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问题五：跨部门协同信息共享不畅    </w:t>
      </w:r>
    </w:p>
    <w:p w14:paraId="21D6BEF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428F2A6B">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1.问题一改进建议：优化资金审批流程，建立“绿色通道”机制，推行电子化审批平台，缩短流转周期；强化财政、教育部门与学校的实时联动，按项目进度动态调整资金拨付计划，确保资源供给与建设节点精准衔接。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2.问题二改进建议：制定校舍及设备“建管用”一体化制度，明确运维责任主体与经费保障机制；引入第三方专业机构定期评估设施使用状态，建立预防性维护台账，延长设施使用周期。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3.问题三改进建议：分层分类开展专项培训，针对资金管理、工程监管等环节定制课程；建立“导师制”帮扶机制，邀请行业专家驻点指导，提升团队政策执行力与专业技术水平。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4.问题四改进建议：构建“过程+结果”双维度绩效管理体系，嵌入信息化监测工具实时采集数据；引入第三方评估机构开展中期诊断，针对薄弱环节动态调整实施方案，强化目标达成精准度。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5.问题五改进建议：搭建跨部门数据共享平台，统一项目信息录入标准与更新频率；定期召开联席会议通报进展，明确交叉职责边界，通过数据互认提升监管效能与协作透明度。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总结：问题改进需以制度优化为核心，通过流程精简、能力提升、技术赋能及机制创新，系统性增强项目的可持续性与综合效益，为城乡义务教育优质均衡发展提供更坚实的实践支撑。</w:t>
      </w:r>
    </w:p>
    <w:p w14:paraId="41FBB87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00DF33A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72793BD2">
      <w:pPr>
        <w:spacing w:line="540" w:lineRule="exact"/>
        <w:ind w:firstLine="567"/>
        <w:rPr>
          <w:rStyle w:val="18"/>
          <w:rFonts w:ascii="仿宋" w:hAnsi="仿宋" w:eastAsia="仿宋"/>
          <w:b w:val="0"/>
          <w:spacing w:val="-4"/>
          <w:sz w:val="32"/>
          <w:szCs w:val="32"/>
        </w:rPr>
      </w:pPr>
    </w:p>
    <w:p w14:paraId="53E3F64C">
      <w:pPr>
        <w:spacing w:line="540" w:lineRule="exact"/>
        <w:ind w:firstLine="567"/>
        <w:rPr>
          <w:rStyle w:val="18"/>
          <w:rFonts w:ascii="仿宋" w:hAnsi="仿宋" w:eastAsia="仿宋"/>
          <w:b w:val="0"/>
          <w:spacing w:val="-4"/>
          <w:sz w:val="32"/>
          <w:szCs w:val="32"/>
        </w:rPr>
      </w:pPr>
    </w:p>
    <w:p w14:paraId="2BAC94D8">
      <w:pPr>
        <w:spacing w:line="540" w:lineRule="exact"/>
        <w:ind w:firstLine="567"/>
        <w:rPr>
          <w:rStyle w:val="18"/>
          <w:rFonts w:ascii="仿宋" w:hAnsi="仿宋" w:eastAsia="仿宋"/>
          <w:b w:val="0"/>
          <w:spacing w:val="-4"/>
          <w:sz w:val="32"/>
          <w:szCs w:val="32"/>
        </w:rPr>
      </w:pPr>
    </w:p>
    <w:p w14:paraId="0CB847EF">
      <w:pPr>
        <w:spacing w:line="540" w:lineRule="exact"/>
        <w:ind w:firstLine="567"/>
        <w:rPr>
          <w:rStyle w:val="18"/>
          <w:rFonts w:ascii="仿宋" w:hAnsi="仿宋" w:eastAsia="仿宋"/>
          <w:b w:val="0"/>
          <w:spacing w:val="-4"/>
          <w:sz w:val="32"/>
          <w:szCs w:val="32"/>
        </w:rPr>
      </w:pPr>
    </w:p>
    <w:p w14:paraId="5EAA963C">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D0AF344">
        <w:pPr>
          <w:pStyle w:val="12"/>
          <w:jc w:val="center"/>
        </w:pPr>
        <w:r>
          <w:fldChar w:fldCharType="begin"/>
        </w:r>
        <w:r>
          <w:instrText xml:space="preserve">PAGE   \* MERGEFORMAT</w:instrText>
        </w:r>
        <w:r>
          <w:fldChar w:fldCharType="separate"/>
        </w:r>
        <w:r>
          <w:rPr>
            <w:lang w:val="zh-CN"/>
          </w:rPr>
          <w:t>2</w:t>
        </w:r>
        <w:r>
          <w:fldChar w:fldCharType="end"/>
        </w:r>
      </w:p>
    </w:sdtContent>
  </w:sdt>
  <w:p w14:paraId="15879E8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1C8E2823"/>
    <w:rsid w:val="26113C62"/>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11626</Words>
  <Characters>12389</Characters>
  <Lines>4</Lines>
  <Paragraphs>1</Paragraphs>
  <TotalTime>11</TotalTime>
  <ScaleCrop>false</ScaleCrop>
  <LinksUpToDate>false</LinksUpToDate>
  <CharactersWithSpaces>12573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2025-09-22T07:27:36Z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