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52417">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1F02CE20">
      <w:pPr>
        <w:spacing w:line="540" w:lineRule="exact"/>
        <w:jc w:val="center"/>
        <w:rPr>
          <w:rFonts w:ascii="华文中宋" w:hAnsi="华文中宋" w:eastAsia="华文中宋" w:cs="宋体"/>
          <w:b/>
          <w:kern w:val="0"/>
          <w:sz w:val="52"/>
          <w:szCs w:val="52"/>
        </w:rPr>
      </w:pPr>
    </w:p>
    <w:p w14:paraId="70F408C0">
      <w:pPr>
        <w:spacing w:line="540" w:lineRule="exact"/>
        <w:jc w:val="center"/>
        <w:rPr>
          <w:rFonts w:ascii="华文中宋" w:hAnsi="华文中宋" w:eastAsia="华文中宋" w:cs="宋体"/>
          <w:b/>
          <w:kern w:val="0"/>
          <w:sz w:val="52"/>
          <w:szCs w:val="52"/>
        </w:rPr>
      </w:pPr>
    </w:p>
    <w:p w14:paraId="645904CA">
      <w:pPr>
        <w:spacing w:line="540" w:lineRule="exact"/>
        <w:jc w:val="center"/>
        <w:rPr>
          <w:rFonts w:ascii="华文中宋" w:hAnsi="华文中宋" w:eastAsia="华文中宋" w:cs="宋体"/>
          <w:b/>
          <w:kern w:val="0"/>
          <w:sz w:val="52"/>
          <w:szCs w:val="52"/>
        </w:rPr>
      </w:pPr>
    </w:p>
    <w:p w14:paraId="4AB00EA6">
      <w:pPr>
        <w:spacing w:line="540" w:lineRule="exact"/>
        <w:jc w:val="center"/>
        <w:rPr>
          <w:rFonts w:ascii="华文中宋" w:hAnsi="华文中宋" w:eastAsia="华文中宋" w:cs="宋体"/>
          <w:b/>
          <w:kern w:val="0"/>
          <w:sz w:val="52"/>
          <w:szCs w:val="52"/>
        </w:rPr>
      </w:pPr>
    </w:p>
    <w:p w14:paraId="59AB850E">
      <w:pPr>
        <w:spacing w:line="540" w:lineRule="exact"/>
        <w:jc w:val="center"/>
        <w:rPr>
          <w:rFonts w:ascii="华文中宋" w:hAnsi="华文中宋" w:eastAsia="华文中宋" w:cs="宋体"/>
          <w:b/>
          <w:kern w:val="0"/>
          <w:sz w:val="52"/>
          <w:szCs w:val="52"/>
        </w:rPr>
      </w:pPr>
    </w:p>
    <w:p w14:paraId="4A38DDF0">
      <w:pPr>
        <w:spacing w:line="540" w:lineRule="exact"/>
        <w:jc w:val="center"/>
        <w:rPr>
          <w:rFonts w:ascii="华文中宋" w:hAnsi="华文中宋" w:eastAsia="华文中宋" w:cs="宋体"/>
          <w:b/>
          <w:kern w:val="0"/>
          <w:sz w:val="52"/>
          <w:szCs w:val="52"/>
        </w:rPr>
      </w:pPr>
    </w:p>
    <w:p w14:paraId="30D7B166">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2DC64F55">
      <w:pPr>
        <w:spacing w:line="540" w:lineRule="exact"/>
        <w:jc w:val="center"/>
        <w:rPr>
          <w:rFonts w:ascii="华文中宋" w:hAnsi="华文中宋" w:eastAsia="华文中宋" w:cs="宋体"/>
          <w:b/>
          <w:kern w:val="0"/>
          <w:sz w:val="52"/>
          <w:szCs w:val="52"/>
        </w:rPr>
      </w:pPr>
    </w:p>
    <w:p w14:paraId="143E7D64">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47881412">
      <w:pPr>
        <w:spacing w:line="540" w:lineRule="exact"/>
        <w:jc w:val="center"/>
        <w:rPr>
          <w:rFonts w:hAnsi="宋体" w:eastAsia="仿宋_GB2312" w:cs="宋体"/>
          <w:kern w:val="0"/>
          <w:sz w:val="30"/>
          <w:szCs w:val="30"/>
        </w:rPr>
      </w:pPr>
    </w:p>
    <w:p w14:paraId="01367CFD">
      <w:pPr>
        <w:spacing w:line="540" w:lineRule="exact"/>
        <w:jc w:val="center"/>
        <w:rPr>
          <w:rFonts w:hAnsi="宋体" w:eastAsia="仿宋_GB2312" w:cs="宋体"/>
          <w:kern w:val="0"/>
          <w:sz w:val="30"/>
          <w:szCs w:val="30"/>
        </w:rPr>
      </w:pPr>
    </w:p>
    <w:p w14:paraId="34048894">
      <w:pPr>
        <w:spacing w:line="540" w:lineRule="exact"/>
        <w:jc w:val="center"/>
        <w:rPr>
          <w:rFonts w:hAnsi="宋体" w:eastAsia="仿宋_GB2312" w:cs="宋体"/>
          <w:kern w:val="0"/>
          <w:sz w:val="30"/>
          <w:szCs w:val="30"/>
        </w:rPr>
      </w:pPr>
    </w:p>
    <w:p w14:paraId="68EDC680">
      <w:pPr>
        <w:spacing w:line="540" w:lineRule="exact"/>
        <w:jc w:val="center"/>
        <w:rPr>
          <w:rFonts w:hAnsi="宋体" w:eastAsia="仿宋_GB2312" w:cs="宋体"/>
          <w:kern w:val="0"/>
          <w:sz w:val="30"/>
          <w:szCs w:val="30"/>
        </w:rPr>
      </w:pPr>
    </w:p>
    <w:p w14:paraId="546A994A">
      <w:pPr>
        <w:spacing w:line="540" w:lineRule="exact"/>
        <w:jc w:val="center"/>
        <w:rPr>
          <w:rFonts w:hAnsi="宋体" w:eastAsia="仿宋_GB2312" w:cs="宋体"/>
          <w:kern w:val="0"/>
          <w:sz w:val="30"/>
          <w:szCs w:val="30"/>
        </w:rPr>
      </w:pPr>
    </w:p>
    <w:p w14:paraId="609CF54D">
      <w:pPr>
        <w:spacing w:line="540" w:lineRule="exact"/>
        <w:jc w:val="center"/>
        <w:rPr>
          <w:rFonts w:hAnsi="宋体" w:eastAsia="仿宋_GB2312" w:cs="宋体"/>
          <w:kern w:val="0"/>
          <w:sz w:val="30"/>
          <w:szCs w:val="30"/>
        </w:rPr>
      </w:pPr>
    </w:p>
    <w:p w14:paraId="6B72B6A0">
      <w:pPr>
        <w:spacing w:line="540" w:lineRule="exact"/>
        <w:rPr>
          <w:rFonts w:hAnsi="宋体" w:eastAsia="仿宋_GB2312" w:cs="宋体"/>
          <w:kern w:val="0"/>
          <w:sz w:val="30"/>
          <w:szCs w:val="30"/>
        </w:rPr>
      </w:pPr>
    </w:p>
    <w:p w14:paraId="31107C2F">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4964549B">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工业园区拨付企业奖励资金</w:t>
      </w:r>
    </w:p>
    <w:p w14:paraId="3E421E0A">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呼图壁县工业园区管理委员会</w:t>
      </w:r>
    </w:p>
    <w:p w14:paraId="5A07C998">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呼图壁县工业园区管理委员会</w:t>
      </w:r>
    </w:p>
    <w:p w14:paraId="1C24352E">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宋瑞杰</w:t>
      </w:r>
    </w:p>
    <w:p w14:paraId="4F59511E">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2025年06月18日</w:t>
      </w:r>
    </w:p>
    <w:p w14:paraId="4B85F74F">
      <w:pPr>
        <w:spacing w:line="700" w:lineRule="exact"/>
        <w:ind w:firstLine="708" w:firstLineChars="236"/>
        <w:jc w:val="left"/>
        <w:rPr>
          <w:rFonts w:hAnsi="宋体" w:eastAsia="仿宋_GB2312" w:cs="宋体"/>
          <w:kern w:val="0"/>
          <w:sz w:val="30"/>
          <w:szCs w:val="30"/>
        </w:rPr>
      </w:pPr>
    </w:p>
    <w:p w14:paraId="5E37CF43">
      <w:pPr>
        <w:spacing w:line="540" w:lineRule="exact"/>
        <w:rPr>
          <w:rStyle w:val="18"/>
          <w:rFonts w:ascii="黑体" w:hAnsi="黑体" w:eastAsia="黑体"/>
          <w:b w:val="0"/>
          <w:spacing w:val="-4"/>
          <w:sz w:val="32"/>
          <w:szCs w:val="32"/>
        </w:rPr>
      </w:pPr>
    </w:p>
    <w:p w14:paraId="220D037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0392F662">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6D10207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业园区拨付企业奖励金项目根据《关于鼓励2023年呼图壁县高质量发展突出企业和招商引资考核优秀单位、优化营商环境优秀单位的决定》及自治区人民政府《关于加强自治区招商引资工作的意见》（新政办发《2021》12号）第二项第一条：支持各地设立招商引资专项资金，根据投资项目带来的新增地方财力、新增固定资产等评价指标对招商引资落地项目给予支出奖励。通过该项目实施不仅能带动企业产业升级、就业增长和财政收入增加，工业园区也可实现“招大引强”与“高质量发展”的双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（1）项目名称：工业园区拨付企业奖励资金项目（以下简称“该项目”或“项目”）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2022年以来新安特钢、锐源通化工及格莱美特等企业在进一步扩大生产规模，节能降耗；积极推广应用新技术、新工艺、新装备、新材料；进行产品技术换代、延伸产业链等方面贡献突出，项目建设为我县带来新增固定资产投资、新增地方财政收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实施主体：呼图壁县工业园区管理委员会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为鼓励企业创新发展、提升产业能级，工业园区于2024年初启动企业奖励金拨付工作，严格按照政策标准和评审流程推进。截至2024年第二季度，已完成首批企业申报材料的审核工作，共筛选出符合条件的企业3家，涵盖钢铁制造、生化工企业、活性炭等重点产业。2024年5月底前，园区完成奖励金的核算与公示，累计拨付奖励资金达956.08万元，有效缓解了企业的资金压力，并带动企业新增研发投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通过该项目的实施，企业技术创新能力显著增强，园区内高新技术企业数量持续增长，同时带动就业岗位增加约200个，园区经济活力进一步提升。后续园区将持续跟踪资金使用效益，确保政策红利最大化。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(1).负责编制园区国土空间规划和产业发展规划，健全完善规划体系，经批准后组织贯彻实施。</w:t>
      </w:r>
      <w:bookmarkStart w:id="0" w:name="_GoBack"/>
      <w:bookmarkEnd w:id="0"/>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负责工业园区经济运行和发展、招商引资、对外经济技术合作工作，制定招商引资优惠政策并负责监督实施；按照权限、程序审批和审核投资项目；负责协调相关部门为入园企业提供金融、法律、公证、产权交易、劳动用工管理等中介服务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(3).按照权限对园区固定资产投资项目进行管理，负责园区内基础设施、公用设施的建设和管理；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(4).负责协调园区内有关部门派驻机构的工作；协调推动园区产业转型升级，提高发展质量，维护园区企业合法权益；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(5).负责入园在建工程的建设与管理；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(6).协助县人民政府有关部门或按照授权依法履行园区内生态环境保护工作职责；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(7).制定相应的生产安全事故应急</w:t>
      </w:r>
      <w:r>
        <w:rPr>
          <w:rStyle w:val="18"/>
          <w:rFonts w:hint="eastAsia" w:ascii="楷体" w:hAnsi="楷体" w:eastAsia="楷体"/>
          <w:b w:val="0"/>
          <w:bCs w:val="0"/>
          <w:spacing w:val="-4"/>
          <w:sz w:val="32"/>
          <w:szCs w:val="32"/>
          <w:lang w:val="en-US" w:eastAsia="zh-CN"/>
        </w:rPr>
        <w:t>就</w:t>
      </w:r>
      <w:r>
        <w:rPr>
          <w:rStyle w:val="18"/>
          <w:rFonts w:hint="eastAsia" w:ascii="楷体" w:hAnsi="楷体" w:eastAsia="楷体"/>
          <w:b w:val="0"/>
          <w:bCs w:val="0"/>
          <w:spacing w:val="-4"/>
          <w:sz w:val="32"/>
          <w:szCs w:val="32"/>
        </w:rPr>
        <w:t>援预</w:t>
      </w:r>
      <w:r>
        <w:rPr>
          <w:rStyle w:val="18"/>
          <w:rFonts w:hint="eastAsia" w:ascii="楷体" w:hAnsi="楷体" w:eastAsia="楷体"/>
          <w:b w:val="0"/>
          <w:bCs w:val="0"/>
          <w:spacing w:val="-4"/>
          <w:sz w:val="32"/>
          <w:szCs w:val="32"/>
          <w:lang w:val="en-US" w:eastAsia="zh-CN"/>
        </w:rPr>
        <w:t>案</w:t>
      </w:r>
      <w:r>
        <w:rPr>
          <w:rStyle w:val="18"/>
          <w:rFonts w:hint="eastAsia" w:ascii="楷体" w:hAnsi="楷体" w:eastAsia="楷体"/>
          <w:b w:val="0"/>
          <w:bCs w:val="0"/>
          <w:spacing w:val="-4"/>
          <w:sz w:val="32"/>
          <w:szCs w:val="32"/>
        </w:rPr>
        <w:t>，协助县人民政府有关部门或按照授权依法履行安全生产事故应急</w:t>
      </w:r>
      <w:r>
        <w:rPr>
          <w:rStyle w:val="18"/>
          <w:rFonts w:hint="eastAsia" w:ascii="楷体" w:hAnsi="楷体" w:eastAsia="楷体"/>
          <w:b w:val="0"/>
          <w:bCs w:val="0"/>
          <w:spacing w:val="-4"/>
          <w:sz w:val="32"/>
          <w:szCs w:val="32"/>
          <w:lang w:val="en-US" w:eastAsia="zh-CN"/>
        </w:rPr>
        <w:t>救援</w:t>
      </w:r>
      <w:r>
        <w:rPr>
          <w:rStyle w:val="18"/>
          <w:rFonts w:hint="eastAsia" w:ascii="楷体" w:hAnsi="楷体" w:eastAsia="楷体"/>
          <w:b w:val="0"/>
          <w:bCs w:val="0"/>
          <w:spacing w:val="-4"/>
          <w:sz w:val="32"/>
          <w:szCs w:val="32"/>
        </w:rPr>
        <w:t>工作职责；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(8).负责园区国民经济和社会事业的各项统计工作；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(9).完成县党委、县人民政府交办的其他事项。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呼图壁县工业园区管理委员会无下属预算单位，下设4个处室，分别是：产业发展局、生态建设环境保护局、安全生产监督管理局、综合办公室。无机构变动。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呼图壁县工业园区管理委员会编制数23，实有人数22人，其中：在职22人，增加1人，减少1人； 退休0人，减少0人；离休0人，增加0人。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本项目预算安排总额为956.08万元，资金来源为本级财政资金，其中：财政资金956.08万元，其他资金0万元，2024年实际收到预算资金956.08万元，预算资金到位率为100%。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截至2024年12月31日，本项目实际支付资金956.08万元，预算执行率100%。本项目资金主要用于支付新疆新安特钢有限公司费用573.83万元、锐源通化工费用99.14万元，格莱美特费用283.11万元。</w:t>
      </w:r>
    </w:p>
    <w:p w14:paraId="26C5A8B4">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6AB53CA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了更好的激发企业创新活力，鼓励企业加大研发投入，推动技术改造和数字化转型。支持高新技术企业、专精特新企业落地或扩大生产，促进科技成果产业化。通过审批及评审，决定企业在扩大生产规模，节能降耗；积极推广应用新技术、新工艺、新装备、新材料；进行产品技术换代、延伸产业链等方面贡献突出，项目建设为我县带来新增固定资产投资、新增地方财政收入的企业给予奖励。计划奖励新疆新安特钢有限公司573.83万元、奖励锐源通化工99.14万元、奖励格莱美特283.11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“奖励单位”指标，预期指标值为“&gt;=3家”；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“奖励单位评选严格率”指标，预期指标值为“=100%”；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“奖励下达及时率”指标，预期指标值为“=100%”；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“奖励新疆新安特钢有限公司费用”指标，预期指标值为“&lt;=574万元”；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“奖励呼图壁县锐源通化工有限责任公司费用”指标，预期指标值为“&lt;=100万元”；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“格莱美特奖励款”指标，预期指标值为“&lt;=183.11万元”；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“提高园区招商引资能力”指标，预期指标值为“有效提高”；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“企业满意度”指标，预期指标值为“=100%”。</w:t>
      </w:r>
    </w:p>
    <w:p w14:paraId="6E63B3A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5B6F4829">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3353B6A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此次我单位根据《财政支出绩效评价管理暂行办法》（财预〔2020〕10号）文件要求实施评价工作，本次评价对象为工业园区拨付企业奖励资金项目，评价核心为项目资金、项目产出、项目效益。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p>
    <w:p w14:paraId="35CFD0C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6091DA1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成本效益分析法、标杆对比法以及社会投资回报率法对项目进行评价，旨在通过综合分析影响绩效目标实现、实施效果的内外部因素，从而评价本项目绩效。三级指标分析环节：成本效益分析法、标杆对比法以及社会投资回报率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成本效益分析法：通过比较项目的总成本与总收益，评估奖励金拨付的经济合理性，判断投入是否产生足够的正向回报。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标杆对比法：将受奖励企业的绩效与行业标杆或未受奖励同类企业对比，分析奖励金的实际激励作用。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社会投资回报率法：量化奖励金项目的社会价值，如就业率提升、环境改善等，衡量其非经济性公共效益。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46E79385">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2F1C45D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郭志远（评价小组组长）：主要负责项目策划和监督，全面负责项目绩效评价办稿的最终质量，对评估人员出具的最终报告质量进行复核，确保评估结果的客观性；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崔丽娜（评价小组组员）：主要负责资料的收集，取证、数据统计分析；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卢荟（评价小组组员）：主要负责主要负责项目报告的制定，指标的研判，数据分析及报告撰写。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2024年3月2日-3月15日，评价工作进入实施阶段。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新安特钢有限公司、锐源通化工有限公司、格莱美特有限公司。我们根据绩效评价目标和绩效指标体系，设计满意度调查问卷进行问卷调查，其中三个企业的受益对象共选取样本31人，共发放问卷31份，最终收回31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2024年3月16日-3月21日，评价小组按照绩效评价的原则和规范，对取得的资料进行审查核实，对采集的数据进行分析，按照绩效评价指标评分表逐项进行打分、分析、汇总各方评价结果。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2024年3月21-3月25日，评价小组撰写绩效评价报告，按照新疆维吾尔自治区财政绩效管理信息系统绩效评价模块中统一格式和文本框架撰写绩效评价报告并提交审核。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7132D6B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569DA9D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奖励单位3家，奖励单位评选严格率100%，奖励下达及时率100%等产出目标，发挥了园区提高招商引资能力的效益。但在实施过程中也存在一些不足：企业参与度不均衡，尽管园区在政策宣传方面做了大量工作，但在实际实施过程中，仍出现了企业参与度不均衡的问题。部分企业对政策理解不深，或因自身条件限制，未能及时提交申请材料，导致错过了奖励资金的申请机会。此外，一些中小企业由于缺乏专业人才，在申请过程中遇到了较多困难，影响了其参与积极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个，实现三级指标数量1个，总体完成率为100%。最终评分结果：总分为</w:t>
      </w:r>
      <w:r>
        <w:rPr>
          <w:rStyle w:val="18"/>
          <w:rFonts w:hint="eastAsia" w:ascii="楷体" w:hAnsi="楷体" w:eastAsia="楷体"/>
          <w:b w:val="0"/>
          <w:bCs w:val="0"/>
          <w:spacing w:val="-4"/>
          <w:sz w:val="32"/>
          <w:szCs w:val="32"/>
          <w:lang w:val="en-US" w:eastAsia="zh-CN"/>
        </w:rPr>
        <w:t>9</w:t>
      </w:r>
      <w:r>
        <w:rPr>
          <w:rStyle w:val="18"/>
          <w:rFonts w:hint="eastAsia" w:ascii="楷体" w:hAnsi="楷体" w:eastAsia="楷体"/>
          <w:b w:val="0"/>
          <w:bCs w:val="0"/>
          <w:spacing w:val="-4"/>
          <w:sz w:val="32"/>
          <w:szCs w:val="32"/>
        </w:rPr>
        <w:t>7分，绩效评级为“良好”。综合评价结论如下：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项目产出类指标共设置3个，满分指标3个，得分率100%；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项目成本类指标共设置3个，满分指标2个，得分率66.67%；</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项目效益类指标共设置1个，满分指标1个，得分率100%。</w:t>
      </w:r>
    </w:p>
    <w:p w14:paraId="44B32DD2">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602CD0C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37FE49FD">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自治区人民政府《关于加强自治区招商引资工作的意见》（新政办发《2021》12号）第二项第一条：支持各地设立招商引资专项资金，根据投资项目带来的新增地方财力、新增固定资产等评价指标对招商引资落地项目给予支出奖励。符合国家法律法规、国民经济发展规划和相关政策；本项目立项符合《中华人民共和国中小企业促进法》中：“地方政府应通过资金支持、政策扶持等方式鼓励中小企业创新发展（如第四章“财税支持”条款）。”内容，符合行业发展规划和政策要求；本项目立项符合《呼图壁县工业园区管理委员会配置内设机构和人员编制规定》中职责范围中的“制定招商引资优惠政策并负责监督实施”，属于我单位履职所需；根据《财政资金直接支付申请书》，本项目资金性质为“公共财政预算”功能分类为“产业发展”经济分类为“费用补贴”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申请奖励新安573.83万元，奖励锐源通99.14万元，奖励格莱美特283.11万元，以促进日后与企业间的合作亲密度。”；本项目实际工作内容为：奖励新安573.83万元，奖励锐源通99.14万元，奖励格莱美特283.11万元；绩效目标与实际工作内容一致，两者具有相关性;本项目预算申请资金956.08万元，预算确定资金量与实际工作任务相匹配。本项目按照绩效目标完成了数量指标、质量指标、时效指标、成本指标，提高了园区招商引资能力，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8个，定量指标7个，定性指标1个，指标量化率为87.5%，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按照《呼图壁县工业园区改扩建项目履约达效奖励实施办法》，实施工业园区内“老企业”改扩建项目履约达效奖励，对固定资产投资达1000万元至3000万元的改扩建项目，一次性奖励50万元；固定资产投资达3000万元以上至5000万元的改扩建项目，一次性奖励100万元；固定资产投资达5000万元以上至1亿元的改扩建项目，一次性奖励120万元；固定资产投资达1亿元以上至3亿元的改扩建项目，一次性奖励360万元；固定资产投资达3亿元以上至5亿元的改扩建项目，一次性奖励600万元；固定资产投资达5亿元以上至10亿元的改扩建项目，一次性奖励1200万元。新疆新安特钢有限公司自2022年开始建设已累计完成固定资产投资64603万元，应奖励资金1200万元，奖励资金分三年兑现，其中2023年兑现700万元，2024年兑现300万元，2025年兑现200万元。2024年，经县委、县人民政府会议研究，因该项目固定资产投资未上报完毕，决定兑付第一笔奖励资金700万元，待项目完成竣工决算后，予以兑现剩余资金。2024年8月，县财政局拨付第一笔奖励资金573.83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呼图壁县锐源通化工有限责任公司，自2022年开始建设累计完成固定资产投资10299万元，应奖励资金120万元。2024年，经县委、县人民政府会议研究决定兑付奖励资金120万元，2024年8月，县财政局拨付奖励资金99.14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疆格莱美特活性炭有限公司对碳化炉进行干熄焦改造，建设VOCs处理装置项目，环保投入567万元，根据财政部《关于修改&lt;大气污染纺织资金管理办法&gt;的通知（财资环〔2022〕106号）等规定，按照企业环保投入的50%返还企业，所以应返还格莱美特企业283.11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956.08万元，我单位在预算申请中严格按照分项成本进行核算，其中：新安573.83万元，奖励锐源通99.14万元，奖励格莱美特283.11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工业园区拨付企业奖励资金的请示》和《工业园区拨付企业奖励资金项目实施方案》为依据进行资金分配，预算资金分配依据充分。根据《工业园区拨付企业奖励资金下达文件》文件显示，本项目实际到位资金956.08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2555EC00">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62A6D11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956.08万元，其中：本级财政安排资金956.08万元，其他资金0万元，实际到位资金956.08万元，资金到位率=（实际到位资金/预算资金）×100.00%=（956.08/956.08）*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本项目实际支出资金956.08万元，预算执行率=（实际支出资金/实际到位资金）×100.00%=（956.08/956.08）*100.00%=100%。得分=预算执行率*分值=100%*5=5分。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工业园区资金管理办法》《呼图壁县工业园区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工业园区管理委员会资金管理办法》《呼图壁县工业园区管理委员会收支业务管理制度》《呼图壁县政府采购业务管理制度》《呼图壁县工业园区管理委员会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验收报告、技术鉴定等资料齐全并及时进行了归档。项目资金支出严格按照自治区、地区、市以及本单位资金管理办法执行，项目启动实施后，为了加快本项目的实施，成立了工业园区拨付企业奖励资金项目工作领导小组，由党工委副书记郭志远任组长，负责项目的组织工作；杨洋任副组长，负责项目的实施工作；组员包括：宋瑞杰和卢荟，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44218BE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42B5DE4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项目产出类指标由3个二级指标和3个三级指标构成，权重分20.0分，实际得分20分。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“奖励单位”指标：预期指标值为“=3家”，实际完成指标值为“=3家”，指标完成率为100.0%。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综上所述，本指标满分为8分，根据评分标准得8分。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“奖励单位评选严格率”指标：预期指标值为“=100%”，实际完成指标值为“=100%”，指标完成率为100%。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综上所述，本指标满分为6分，根据评分标准得6分。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“奖励下达及时率”指标：预期指标值为“=100%”，实际完成指标值为“=100%”，指标完成率为100%。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综上所述，本指标满分为6分，根据评分标准得6分。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项目成本情况指标由1个二级指标和3个三级指标构成，权重分10.0分，实际得分8.0分。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“奖励新疆新安特钢有限公司费用”指标：预期指标值为“=574万元”，实际完成指标值为“=574万元”，指标完成率为100%。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“奖励呼图壁县锐源通化工有限责任公司费用”指标：预期指标值为“=100万元”，实际完成指标值为“=100万元”，指标完成率为100%。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“奖励格莱美特有限公司费用”指标：预期指标值为“&lt;=183.11万元”，实际完成指标值为“=283.11万元”，指标完成率为160.07%。（偏差率为60.7，偏差原因主要为：基础设施建设投资额增大。）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35C7B22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2C621892">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项目效益类指标由1个二级指标和2个三级指标构成，权重分30.0分，实际得分30.0分。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“提高园区招商引资能力”指标：预期指标值为“有效提高”，实际完成指标值为“达到预期指标”，指标完成率为100%。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6D48544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“企业满意度”指标：预期指标值为“=100%”，实际完成指标值为“=100%”，指标完成率为100%。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p>
    <w:p w14:paraId="69E17F3E">
      <w:pPr>
        <w:spacing w:line="540" w:lineRule="exact"/>
        <w:ind w:firstLine="567"/>
        <w:rPr>
          <w:rStyle w:val="18"/>
          <w:rFonts w:hint="eastAsia" w:ascii="楷体" w:hAnsi="楷体" w:eastAsia="楷体"/>
          <w:b w:val="0"/>
          <w:bCs w:val="0"/>
          <w:spacing w:val="-4"/>
          <w:sz w:val="32"/>
          <w:szCs w:val="32"/>
        </w:rPr>
      </w:pPr>
    </w:p>
    <w:p w14:paraId="661B5CCB">
      <w:pPr>
        <w:spacing w:line="540" w:lineRule="exact"/>
        <w:ind w:firstLine="567"/>
        <w:rPr>
          <w:rStyle w:val="18"/>
          <w:rFonts w:ascii="楷体" w:hAnsi="楷体" w:eastAsia="楷体"/>
          <w:spacing w:val="-4"/>
          <w:sz w:val="32"/>
          <w:szCs w:val="32"/>
        </w:rPr>
      </w:pPr>
    </w:p>
    <w:p w14:paraId="3C17B394">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6AD70610">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一、项目组织方面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组织过程中，注重统筹协调和部门联动，形成高效的工作机制。园区成立专项工作小组，明确各部门职责分工，确保政策宣传、企业申报、材料审核等环节紧密衔接。同时，加强与企业的沟通对接，通过培训会、线上指导等方式提升企业申报效率，确保政策覆盖的广泛性和精准性。此外，注重引入第三方专业机构参与评审，增强项目遴选的公正性和科学性，为奖励金的精准拨付奠定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二、项目管理方面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坚持规范化和标准化，建立全流程监管体系。从申报指南制定到资金拨付，严格执行“公开、公平、公正”原则，确保各环节透明可追溯。采用信息化手段优化流程，通过线上平台实现材料提交、初审、复核等环节的高效运转，减少人为干预风险。同时，建立动态跟踪机制，定期汇总项目进度，及时发现并解决执行中的问题，确保资金拨付与企业实际发展需求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三、资金管理方面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管理以安全性和效益性为核心，实行专账核算、专款专用。园区严格按照财政资金管理办法，规范资金审批和拨付程序，确保每一笔奖励金流向清晰、用途合规。强化绩效导向，将资金拨付与企业实际贡献、发展潜力挂钩，提高财政资金使用效率。此外，通过定期审计和抽查等方式加强事后监管，防范资金挪用或闲置风险，确保奖励金真正发挥激励企业创新发展的作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问题1：奖励金申请流程复杂，企业参与度低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原因分析：申请材料要求过多，审批环节冗长，导致企业申报积极性不高。流程缺乏标准化指引，部分企业因不熟悉政策而放弃申请。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问题2：奖励金分配标准不透明，公平性受质疑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原因分析：评审标准未完全公开，部分企业认为存在主观性。缺乏量化评估体系，导致奖励对象选择依据不足。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问题3：政策覆盖面窄，中小企业受益有限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原因分析：奖励门槛过高，倾向于大型企业或成熟项目。对创新型中小企业的扶持政策不足。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七、有关建议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1.简化申报材料，推行“一表制”或线上申报系统，减少重复提交。制定清晰的申报指南，提供政策解读培训或咨询服务，提高企业知晓率。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 公开评审细则，明确产业导向、经济效益等核心指标权重。引入第三方评估机构或专家评审，确保结果客观公正。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增设专项扶持资金，降低中小企业申报门槛。针对科技型、初创型企业制定差异化奖励标准。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问题1：奖励金申请流程复杂，企业参与度低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原因分析：申请材料要求过多，审批环节冗长，导致企业申报积极性不高。流程缺乏标准化指引，部分企业因不熟悉政策而放弃申请。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问题2：奖励金分配标准不透明，公平性受质疑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原因分析：评审标准未完全公开，部分企业认为存在主观性。缺乏量化评估体系，导致奖励对象选择依据不足。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问题3：政策覆盖面窄，中小企业受益有限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原因分析：奖励门槛过高，倾向于大型企业或成熟项目。对创新型中小企业的扶持政策不足。</w:t>
      </w:r>
    </w:p>
    <w:p w14:paraId="45FA605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6C92A925">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1.简化申报材料，推行“一表制”或线上申报系统，减少重复提交。制定清晰的申报指南，提供政策解读培训或咨询服务，提高企业知晓率。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 公开评审细则，明确产业导向、经济效益等核心指标权重。引入第三方评估机构或专家评审，确保结果客观公正。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增设专项扶持资金，降低中小企业申报门槛。针对科技型、初创型企业制定差异化奖励标准。</w:t>
      </w:r>
    </w:p>
    <w:p w14:paraId="3B82C08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7177138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八、其他需要说明的问题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57515917">
      <w:pPr>
        <w:spacing w:line="540" w:lineRule="exact"/>
        <w:ind w:firstLine="567"/>
        <w:rPr>
          <w:rStyle w:val="18"/>
          <w:rFonts w:ascii="仿宋" w:hAnsi="仿宋" w:eastAsia="仿宋"/>
          <w:b w:val="0"/>
          <w:spacing w:val="-4"/>
          <w:sz w:val="32"/>
          <w:szCs w:val="32"/>
        </w:rPr>
      </w:pPr>
    </w:p>
    <w:p w14:paraId="379BA3D9">
      <w:pPr>
        <w:spacing w:line="540" w:lineRule="exact"/>
        <w:ind w:firstLine="567"/>
        <w:rPr>
          <w:rStyle w:val="18"/>
          <w:rFonts w:ascii="仿宋" w:hAnsi="仿宋" w:eastAsia="仿宋"/>
          <w:b w:val="0"/>
          <w:spacing w:val="-4"/>
          <w:sz w:val="32"/>
          <w:szCs w:val="32"/>
        </w:rPr>
      </w:pPr>
    </w:p>
    <w:p w14:paraId="2C41997E">
      <w:pPr>
        <w:spacing w:line="540" w:lineRule="exact"/>
        <w:ind w:firstLine="567"/>
        <w:rPr>
          <w:rStyle w:val="18"/>
          <w:rFonts w:ascii="仿宋" w:hAnsi="仿宋" w:eastAsia="仿宋"/>
          <w:b w:val="0"/>
          <w:spacing w:val="-4"/>
          <w:sz w:val="32"/>
          <w:szCs w:val="32"/>
        </w:rPr>
      </w:pPr>
    </w:p>
    <w:p w14:paraId="7B19187F">
      <w:pPr>
        <w:spacing w:line="540" w:lineRule="exact"/>
        <w:ind w:firstLine="567"/>
        <w:rPr>
          <w:rStyle w:val="18"/>
          <w:rFonts w:ascii="仿宋" w:hAnsi="仿宋" w:eastAsia="仿宋"/>
          <w:b w:val="0"/>
          <w:spacing w:val="-4"/>
          <w:sz w:val="32"/>
          <w:szCs w:val="32"/>
        </w:rPr>
      </w:pPr>
    </w:p>
    <w:p w14:paraId="260D2CE9">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AB3A711">
        <w:pPr>
          <w:pStyle w:val="12"/>
          <w:jc w:val="center"/>
        </w:pPr>
        <w:r>
          <w:fldChar w:fldCharType="begin"/>
        </w:r>
        <w:r>
          <w:instrText xml:space="preserve">PAGE   \* MERGEFORMAT</w:instrText>
        </w:r>
        <w:r>
          <w:fldChar w:fldCharType="separate"/>
        </w:r>
        <w:r>
          <w:rPr>
            <w:lang w:val="zh-CN"/>
          </w:rPr>
          <w:t>2</w:t>
        </w:r>
        <w:r>
          <w:fldChar w:fldCharType="end"/>
        </w:r>
      </w:p>
    </w:sdtContent>
  </w:sdt>
  <w:p w14:paraId="345C56E8">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62D3FEC"/>
    <w:rsid w:val="0856517C"/>
    <w:rsid w:val="0BFB189F"/>
    <w:rsid w:val="0F58071E"/>
    <w:rsid w:val="11BD75F7"/>
    <w:rsid w:val="13BE561A"/>
    <w:rsid w:val="15392994"/>
    <w:rsid w:val="18FE139B"/>
    <w:rsid w:val="2A4512E1"/>
    <w:rsid w:val="3029612C"/>
    <w:rsid w:val="32A221C5"/>
    <w:rsid w:val="33F20F2A"/>
    <w:rsid w:val="34C44675"/>
    <w:rsid w:val="3B5B5607"/>
    <w:rsid w:val="3CE21B3C"/>
    <w:rsid w:val="46AD611F"/>
    <w:rsid w:val="4D2606A1"/>
    <w:rsid w:val="51830480"/>
    <w:rsid w:val="53A616BE"/>
    <w:rsid w:val="54662BFB"/>
    <w:rsid w:val="62051CA5"/>
    <w:rsid w:val="6C3A69EF"/>
    <w:rsid w:val="7A721677"/>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11155</Words>
  <Characters>11952</Characters>
  <Lines>4</Lines>
  <Paragraphs>1</Paragraphs>
  <TotalTime>20</TotalTime>
  <ScaleCrop>false</ScaleCrop>
  <LinksUpToDate>false</LinksUpToDate>
  <CharactersWithSpaces>12000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青青</cp:lastModifiedBy>
  <cp:lastPrinted>2018-12-31T10:56:00Z</cp:lastPrinted>
  <dcterms:modified xsi:type="dcterms:W3CDTF">2025-09-22T08:53:15Z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86A4BE803B594D54BB30BEB283D7FDDD_13</vt:lpwstr>
  </property>
  <property fmtid="{D5CDD505-2E9C-101B-9397-08002B2CF9AE}" pid="4" name="KSOTemplateDocerSaveRecord">
    <vt:lpwstr>eyJoZGlkIjoiMGQwNTUwY2Y3NzNhN2YyMWYyN2ZiODRmYTBmNDUyN2UiLCJ1c2VySWQiOiI1NDgxMDgyMTUifQ==</vt:lpwstr>
  </property>
</Properties>
</file>