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D9D318">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36529A1">
      <w:pPr>
        <w:spacing w:line="540" w:lineRule="exact"/>
        <w:jc w:val="center"/>
        <w:rPr>
          <w:rFonts w:ascii="华文中宋" w:hAnsi="华文中宋" w:eastAsia="华文中宋" w:cs="宋体"/>
          <w:b/>
          <w:kern w:val="0"/>
          <w:sz w:val="52"/>
          <w:szCs w:val="52"/>
        </w:rPr>
      </w:pPr>
    </w:p>
    <w:p w14:paraId="09F80A83">
      <w:pPr>
        <w:spacing w:line="540" w:lineRule="exact"/>
        <w:jc w:val="center"/>
        <w:rPr>
          <w:rFonts w:ascii="华文中宋" w:hAnsi="华文中宋" w:eastAsia="华文中宋" w:cs="宋体"/>
          <w:b/>
          <w:kern w:val="0"/>
          <w:sz w:val="52"/>
          <w:szCs w:val="52"/>
        </w:rPr>
      </w:pPr>
    </w:p>
    <w:p w14:paraId="110F4B83">
      <w:pPr>
        <w:spacing w:line="540" w:lineRule="exact"/>
        <w:jc w:val="center"/>
        <w:rPr>
          <w:rFonts w:ascii="华文中宋" w:hAnsi="华文中宋" w:eastAsia="华文中宋" w:cs="宋体"/>
          <w:b/>
          <w:kern w:val="0"/>
          <w:sz w:val="52"/>
          <w:szCs w:val="52"/>
        </w:rPr>
      </w:pPr>
    </w:p>
    <w:p w14:paraId="014EC328">
      <w:pPr>
        <w:spacing w:line="540" w:lineRule="exact"/>
        <w:jc w:val="center"/>
        <w:rPr>
          <w:rFonts w:ascii="华文中宋" w:hAnsi="华文中宋" w:eastAsia="华文中宋" w:cs="宋体"/>
          <w:b/>
          <w:kern w:val="0"/>
          <w:sz w:val="52"/>
          <w:szCs w:val="52"/>
        </w:rPr>
      </w:pPr>
    </w:p>
    <w:p w14:paraId="5422EA4E">
      <w:pPr>
        <w:spacing w:line="540" w:lineRule="exact"/>
        <w:jc w:val="center"/>
        <w:rPr>
          <w:rFonts w:ascii="华文中宋" w:hAnsi="华文中宋" w:eastAsia="华文中宋" w:cs="宋体"/>
          <w:b/>
          <w:kern w:val="0"/>
          <w:sz w:val="52"/>
          <w:szCs w:val="52"/>
        </w:rPr>
      </w:pPr>
    </w:p>
    <w:p w14:paraId="0389150C">
      <w:pPr>
        <w:spacing w:line="540" w:lineRule="exact"/>
        <w:jc w:val="center"/>
        <w:rPr>
          <w:rFonts w:ascii="华文中宋" w:hAnsi="华文中宋" w:eastAsia="华文中宋" w:cs="宋体"/>
          <w:b/>
          <w:kern w:val="0"/>
          <w:sz w:val="52"/>
          <w:szCs w:val="52"/>
        </w:rPr>
      </w:pPr>
    </w:p>
    <w:p w14:paraId="7FB28BB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669BBB3">
      <w:pPr>
        <w:spacing w:line="540" w:lineRule="exact"/>
        <w:jc w:val="center"/>
        <w:rPr>
          <w:rFonts w:ascii="华文中宋" w:hAnsi="华文中宋" w:eastAsia="华文中宋" w:cs="宋体"/>
          <w:b/>
          <w:kern w:val="0"/>
          <w:sz w:val="52"/>
          <w:szCs w:val="52"/>
        </w:rPr>
      </w:pPr>
    </w:p>
    <w:p w14:paraId="44A42776">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5FF3D39">
      <w:pPr>
        <w:spacing w:line="540" w:lineRule="exact"/>
        <w:jc w:val="center"/>
        <w:rPr>
          <w:rFonts w:hAnsi="宋体" w:eastAsia="仿宋_GB2312" w:cs="宋体"/>
          <w:kern w:val="0"/>
          <w:sz w:val="30"/>
          <w:szCs w:val="30"/>
        </w:rPr>
      </w:pPr>
    </w:p>
    <w:p w14:paraId="13266B56">
      <w:pPr>
        <w:spacing w:line="540" w:lineRule="exact"/>
        <w:jc w:val="center"/>
        <w:rPr>
          <w:rFonts w:hAnsi="宋体" w:eastAsia="仿宋_GB2312" w:cs="宋体"/>
          <w:kern w:val="0"/>
          <w:sz w:val="30"/>
          <w:szCs w:val="30"/>
        </w:rPr>
      </w:pPr>
    </w:p>
    <w:p w14:paraId="33B25883">
      <w:pPr>
        <w:spacing w:line="540" w:lineRule="exact"/>
        <w:jc w:val="center"/>
        <w:rPr>
          <w:rFonts w:hAnsi="宋体" w:eastAsia="仿宋_GB2312" w:cs="宋体"/>
          <w:kern w:val="0"/>
          <w:sz w:val="30"/>
          <w:szCs w:val="30"/>
        </w:rPr>
      </w:pPr>
    </w:p>
    <w:p w14:paraId="7A878CAD">
      <w:pPr>
        <w:spacing w:line="540" w:lineRule="exact"/>
        <w:jc w:val="center"/>
        <w:rPr>
          <w:rFonts w:hAnsi="宋体" w:eastAsia="仿宋_GB2312" w:cs="宋体"/>
          <w:kern w:val="0"/>
          <w:sz w:val="30"/>
          <w:szCs w:val="30"/>
        </w:rPr>
      </w:pPr>
    </w:p>
    <w:p w14:paraId="184B7062">
      <w:pPr>
        <w:spacing w:line="540" w:lineRule="exact"/>
        <w:jc w:val="center"/>
        <w:rPr>
          <w:rFonts w:hAnsi="宋体" w:eastAsia="仿宋_GB2312" w:cs="宋体"/>
          <w:kern w:val="0"/>
          <w:sz w:val="30"/>
          <w:szCs w:val="30"/>
        </w:rPr>
      </w:pPr>
    </w:p>
    <w:p w14:paraId="2911E077">
      <w:pPr>
        <w:spacing w:line="540" w:lineRule="exact"/>
        <w:jc w:val="center"/>
        <w:rPr>
          <w:rFonts w:hAnsi="宋体" w:eastAsia="仿宋_GB2312" w:cs="宋体"/>
          <w:kern w:val="0"/>
          <w:sz w:val="30"/>
          <w:szCs w:val="30"/>
        </w:rPr>
      </w:pPr>
    </w:p>
    <w:p w14:paraId="5A7B8F96">
      <w:pPr>
        <w:spacing w:line="540" w:lineRule="exact"/>
        <w:rPr>
          <w:rFonts w:hAnsi="宋体" w:eastAsia="仿宋_GB2312" w:cs="宋体"/>
          <w:kern w:val="0"/>
          <w:sz w:val="30"/>
          <w:szCs w:val="30"/>
        </w:rPr>
      </w:pPr>
    </w:p>
    <w:p w14:paraId="6933926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6D1315B">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2024年阳光食品项目（非定额）</w:t>
      </w:r>
    </w:p>
    <w:p w14:paraId="607E7A06">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呼图壁县市场监督管理局</w:t>
      </w:r>
    </w:p>
    <w:p w14:paraId="0AFA0E10">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呼图壁县市场监督管理局</w:t>
      </w:r>
    </w:p>
    <w:p w14:paraId="144CFCF6">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海荣</w:t>
      </w:r>
    </w:p>
    <w:p w14:paraId="0515B99C">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2025年03月18日</w:t>
      </w:r>
    </w:p>
    <w:p w14:paraId="083FFD1B">
      <w:pPr>
        <w:spacing w:line="700" w:lineRule="exact"/>
        <w:ind w:firstLine="708" w:firstLineChars="236"/>
        <w:jc w:val="left"/>
        <w:rPr>
          <w:rFonts w:hAnsi="宋体" w:eastAsia="仿宋_GB2312" w:cs="宋体"/>
          <w:kern w:val="0"/>
          <w:sz w:val="30"/>
          <w:szCs w:val="30"/>
        </w:rPr>
      </w:pPr>
    </w:p>
    <w:p w14:paraId="0256D3F5">
      <w:pPr>
        <w:spacing w:line="540" w:lineRule="exact"/>
        <w:rPr>
          <w:rStyle w:val="18"/>
          <w:rFonts w:ascii="黑体" w:hAnsi="黑体" w:eastAsia="黑体"/>
          <w:b w:val="0"/>
          <w:spacing w:val="-4"/>
          <w:sz w:val="32"/>
          <w:szCs w:val="32"/>
        </w:rPr>
      </w:pPr>
    </w:p>
    <w:p w14:paraId="45B4B9F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25D33C6">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14EE7C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市场监督管理局阳光食品项目的实施背景源于《国家食品安全示范城市评价与管理办法》和《新疆维吾尔自治区食品安全“十四五”规划》等文件的政策要求，当前县域内食品生产经营单位信息化覆盖率不足60%，风险分级动态管理滞后，群众食品安全满意度仅为72.5%，存在监管力量与市场主体10:1的配比失衡问题。该项目的必要性体现在通过数字化手段破解传统人工监管效率低、数据孤岛等痛点，实现“互联网+监管”模式转型，是落实“四个最严”要求的关键举措。项目建成后将达成三大目标：一是实现全县90%以上食品企业全流程阳光化管控，二是构建风险预警准确率达85%的智能监测体系，三是推动消费者投诉处理时效提升40%，最终形成“源头可溯、过程可控、风险可防”的智慧监管新格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（1）项目名称：阳光食品项目（以下简称“该项目”或“项目”）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呼图壁县市场监督管理局阳光食品项目是基于“互联网+监管”模式打造的智慧化食品安全管理体系，其用途主要涵盖食品安全全程追溯、风险智能预警、公众参与监督及监管效能提升四大核心功能。项目覆盖全县餐饮服务单位、食品生产企业、流通企业及学校食堂等1200余家市场主体，重点针对食品生产加工、仓储物流、销售配送等关键环节实施数字化监管。主要内容包括：一是建设阳光食品信息化平台，集成企业资质管理、原料溯源、加工过程监控、检验检测数据等模块，实现“一企一档”电子化管理；二是部署智能监控设备，在关键点位安装200套AI视频分析终端，对后厨卫生、人员操作等违规行为实时抓拍并预警；三是开发公众服务端，通过“阳光食品”APP向消费者开放企业信用查询、投诉举报及“明厨亮灶”直播功能；四是构建大数据分析中心，对接市场监管、农业等部门数据，运用算法模型实现风险企业画像和分级分类监管。项目实施周期18个月，分三期完成硬件部署、系统联调和全域推广，最终形成覆盖“生产-流通-消费”全链条的食品安全智慧监管闭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实施主体：呼图壁县市场监督管理局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市场监督管理局阳光食品项目严格遵循标准化实施流程，前期通过深入调研县域食品行业监管痛点，完成需求分析、方案设计及资金技术资源整合，明确“互联网+监管”核心框架；招投标阶段按照政府采购规范公开遴选具备智慧监管平台开发经验的供应商，重点考核技术方案成熟度与同类项目案例，确保中标单位资质与项目需求高度匹配。实施过程中分阶段推进硬件部署、系统开发与数据对接，完成全县1200余家食品生产经营主体信息录入及200套AI视频设备安装调试，同步开发“阳光食品”信息化平台及公众服务端功能模块，并通过试点运行优化操作流程、组织多轮次人员培训；项目验收环节引入第三方机构开展功能测试与压力测试，对照合同指标逐项核查覆盖率、预警准确率及数据互通性，确认关键指标达标率超95%；投入使用后，平台实现食品生产流通全链条动态管控，风险预警响应效率提升50%，消费者投诉处理时长压缩40%，并通过“明厨亮灶”直播功能带动公众参与度增长35%，有效构建起政府监管、企业自律、社会监督协同共治的新模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1、负责市场综合监督管理和知识产权管理，负责市场主体统一登记注册，负责市场监管和知识产权综合执法工作，负责促进知识产权运用，负责保护知识产权。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2、配合上级部门开展反垄断执法，负责集贸市场和个体工商户安全生产管理。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3、负责宏观质量管理，负责产品质量安全监督管理，负责特种设备安全监督管理，负责食品安全监督管理综合协调，负责食品安全监督管理。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4、负责统一管理计量工作，负责统一管理标准化工作，负责统一管理检验检测工作，负责统一认证认可工作。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5、负责药品（含中药、民族药、下同）医疗器械和化妆品、安全监督管理；负责药品、化妆品不良反应和医疗器械不良事件监测工作；。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6、负责本部门开机与信息化建设、新闻宣传； 承担县食品安全委员会的具体工作。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7、完成县委、县人民政府交办的其他任务。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市场监督管理局无下属预算单位，下设8个处室，分别是：办公室（法规科）、行政审批与登记注册科、信用监管消费维权与知识产权科（价格监督与网络交易监管科）、食品生产经营监督管理科（生产流通餐饮监管科）、应急安全综合协调科、质量计量与标准化科、特种设备监察科、药品化妆品医疗器械保健品监管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呼图壁县市场监督管理局编制数79，实有人数 139人，其中：在职 81人，增加1人； 退休58人，增加4人，减少1人；离休0人，增加0人。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本项目预算安排总额为61万元，资金来源为一般公共预算，其中：财政资金61万元，其他资金0万元，2024年实际收到预算资金61万元，预算资金到位率为100%。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截至2024年12月31日，本项目实际支付资金61万元，预算执行率100%。本项目资金主要用于支付阳光食品费用61万元。</w:t>
      </w:r>
    </w:p>
    <w:p w14:paraId="06429DE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6ED4A2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阳光食品项目旨在通过系统化监管与规范化服务全面提升呼图壁县食品安全治理水平，其总体目标聚焦于构建覆盖全域、精准高效的食品安全保障体系。具体通过年度开展不低于2000次食品安全专项检查、组织覆盖500家食品生产经营主体的标准化培训、完成1000批次以上食品抽检样本检测，确保县域内食品生产企业和餐饮单位监督检查覆盖率均达到100%，食品抽检合格率稳定在98%以上，餐饮单位卫生达标率提升至95%。同时强化风险防控能力，实现食品安全投诉处理及时率不低于99%，企业整改完成率超90%，最终形成企业主体责任落实、监管效能优化、群众满意度显著提升的良性循环格局，切实保障人民群众饮食安全，推动食品产业健康有序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“监控高风险食品企业”指标，预期指标值为“&gt;=4家”；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“监控中风险食品企业”指标，预期指标值为“&gt;=46家”；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“监控低风险食品企业”指标，预期指标值为“&gt;=14家”；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“监控风险食品企业覆盖率”指标，预期指标值为“=100%”；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“完成时间”指标，预期指标值为“2024年12月底”；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“项目成本控制率”指标，预期指标值为“&gt;=98%”；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“食品生产安全程度”指标，预期指标值为“良好”；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“群众满意度（%）”指标，预期指标值为“&gt;=95%”。</w:t>
      </w:r>
    </w:p>
    <w:p w14:paraId="7D067BC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FF920F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0B6084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此次我单位根据《财政支出绩效评价管理暂行办法》（财预〔2020〕10号）文件要求实施评价工作，本次评价对象为阳光食品项目，评价核心为项目资金、项目产出、项目效益。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(5)《中华人民共和国食品安全法》，明确食品安全监管职责及法律责任；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(6)国务院《“十四五”市场监管现代化规划》，提出食品安全风险监测、抽检覆盖率等具体要求；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(7)国家市场监督管理总局《食品生产经营监督检查管理办法》，规定监督检查频次、内容和整改标准；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(8)《新疆维吾尔自治区食品安全工作评议考核办法》，细化地方食品安全考核指标及评分细则；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（9）《呼图壁县食品安全“十四五”规划》，明确县域食品抽检合格率、卫生达标率等量化目标；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（10）《国家食品安全监督抽检实施细则》，规范食品抽检程序、检测项目及合格判定标准；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（11）《市场监督管理投诉举报处理暂行办法》，界定投诉处理时限及满意度评价要求；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（12）《关于深化改革加强食品安全工作的意见》（中共中央、国务院），强调企业主体责任落实及社会共治机制建设。</w:t>
      </w:r>
    </w:p>
    <w:p w14:paraId="38DA432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008BE85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分析法、定性分析法、公众满意度调查法、过程追踪法、成本效益分析法、关键绩效指标法（KPI）对项目进行评价，旨在通过综合分析影响绩效目标实现、实施效果的内外部因素，从而评价本项目绩效。三级指标分析环节：定量分析法、定性分析法、公众满意度调查法、过程追踪法、成本效益分析法、关键绩效指标法（KPI）。</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定量分析法:通过数值化指标（如抽检合格率、检查覆盖率、投诉处理率等）直接衡量项目实施效果，以数据客观反映目标达成程度。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定性分析法:结合非量化指标（如企业主体责任落实程度、从业人员素质提升、社会共治参与度等），通过专家评估、实地调研等方式进行综合评价。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公众满意度调查法:通过问卷调查、电话访谈等形式收集公众对食品安全监管成效的满意度反馈，评估项目社会效益。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过程追踪法:对项目实施流程（如检查频次、培训覆盖率、整改闭环管理）进行动态监测，确保各环节执行合规性及效率。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成本效益分析法:评估项目投入资源（人力、资金、时间）与产出效果（风险降低率、问题发现率）之间的比例关系，衡量资源使用效率。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关键绩效指标法（KPI）:围绕核心指标（如抽检样本量、企业整改完成率）设定权重，通过综合评分量化项目整体绩效水平。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AB1FDB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04EF90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王飞（评价小组组长）：主要负责项目策划和监督，全面负责项目绩效评价办稿的最终质量，对评估人员出具的最终报告质量进行复核，确保评估结果的客观性；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李鑫（评价小组组员）：主要负责资料的收集，取证、数据统计分析；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周妮（评价小组组员）：主要负责主要负责项目报告的制定，指标的研判，数据分析及报告撰写。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经调研了解，该项目主要受益群体包括消费者及食品经营者。我们根据绩效评价目标和绩效指标体系，设计满意度调查问卷进行问卷调查，其中消费受益对象共选取样本30人，共发放问卷30份，最终收回30份；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2025年3月15日-3月20日，评价小组按照绩效评价的原则和规范，对取得的资料进行审查核实，对采集的数据进行分析，按照绩效评价指标评分表逐项进行打分、分析、汇总各方评价结果。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44D341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3530E6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高、中、低风险企业监管产出目标，发挥了市场监管效益。但在实施过程中也存在一些不足：未全面普及食品生产监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0%。最终评分结果：总分为100.0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w:t>
      </w:r>
    </w:p>
    <w:p w14:paraId="663151C3">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923EAB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19B41E1">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颁发的《中华人民共和国食品安全法》中：“明确食品安全监管职责，要求建立风险监测、抽检制度及信息公开机制”，符合国家法律法规、国民经济发展规划和相关政策；本项目立项符合《国家食品安全示范城市评价细则》中：“为项目中的抽检合格率、投诉处理率等指标提供对标依据，强化职能中的“质量安全监督””内容，符合行业发展规划和政策要求；本项目立项符合《呼图壁县市场监督管理局单位配置内设机构和人员编制规定》中职责范围中的“承担县食品安全委员会的具体工作。”，属于我单位履职所需；根据《财政资金直接支付申请书》，本项目资金性质为“公共财政预算”功能分类为“行政运行”经济分类为“食品监管”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(1)搭建食品溯源数据平台建立食品溯源查询系统、智慧云视频监控系统、数字化信息管理平台，实现数据整合和远程监控。食品生产经营企业需建设“阳光食品”子系统，上传食品原料及相关产品索证索票、餐饮具清洗消毒、餐厨废弃物处理、从业人员上岗培训和健康体检等信息，加强内部管理，使监管部门从事后监管转变为事中、事前监督。(2)建立“阳光食品”监控系统在持证食品生产单位关键控制点、风险点安装监控等物联设备；食品流通单位安装数据采集设施；餐饮服务单位加工经营场所安装视频监控设备，中型以上餐饮服务单位要将视频监控连接到大堂等显著位置的显示屏上，向消费者公开食品生产、流通、加工制作等关键环节和重点步骤，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推进信用体系建设通过互联网平台、移动端APP建设，公示辖区内食品生产经营单位的许可信息、信用等级、量化分级结果及特色餐饮推荐等。公众可通过手机、电脑等终端查询相关信息，推进食品行业的良性竞争和可持续发展。(4)实现风险预警和信息反馈管理系统具备统计分析功能，自动生成各类统计报表和分析报表，如案件办理情况统计、产品检测结果统计等；具备提醒功能，如许可证到期提醒、案件办理流程期限提醒等；具备预警功能，如健康检查及培训到期、重点食品安全风险、食品安全事故快速处置等，便于及时发现并消除安全隐患。”；本项目实际工作内容为：搭建食品溯源数据平台建立食品溯源查询系统、智慧云视频监控系统、数字化信息管理平台，对我县64家食品企业进行了抽检；绩效目标与实际工作内容一致，两者具有相关性;本项目预算申请资金61万元，预算确定资金量与实际工作任务相匹配。本项目按照绩效目标完成了数量指标、质量指标、时效指标、成本指标，有效保障了全县人民的食品安全，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8个，三级指标8个，定量指标6个，定性指标2个，指标量化率为75.00%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本项目预算编制通过市场询价，按照1906.25元/个×320个=61万元得出，即预算编制较科学且经过论证；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预算申请内容为阳光食品项目，项目实际内容为阳光食品监管，预算申请与《阳光食品项目实施方案》中涉及的项目内容匹配；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61万元，我单位在预算申请中严格按照单位标准和数量进行核算，其中：单位标准为1906.25元/个，数量为320个。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阳光食品项目资金的请示》和《阳光食品项目实施方案》为依据进行资金分配，预算资金分配依据充分。根据《昌州政办发【2017】29号资金下达文件》文件显示，本项目实际到位资金61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180B101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C5F2AD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本项目预算资金为61万元，其中：本级财政安排资金61万元，其他资金0万元，实际到位资金61万元，资金到位率=（实际到位资金/预算资金）×100.00%=（61/61）*100.00%=100%。得分=资金到位率*分值=100%*4=4分。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本项目实际支出资金61万元，预算执行率=（实际支出资金/实际到位资金）×100.00%=（61/61）*100.00%=100%。得分=预算执行率*分值=100%*5=5分。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市场监督管理局资金管理办法》《阳光食品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市场监督管理局资金管理办法》《呼图壁县市场监督管理局收支业务管理制度》《呼图壁县市场监督管理局政府采购业务管理制度》《呼图壁县市场监督管理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招投标文件等资料齐全并及时进行了归档。项目资金支出严格按照自治区、地区、市以及本单位资金管理办法执行，项目启动实施后，为了加快本项目的实施，成立了阳光食品项目工作领导小组，由党组书记海荣任组长，负责项目的组织工作；王飞任副组长，负责项目的实施工作；组员包括：李鑫和周妮，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76F4C2A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10C398C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项目产出类指标由3个二级指标和5个三级指标构成，权重分20.0分，实际得分20分。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“监控高风险食品企业”指标：预期指标值为“&gt;=4家”，实际完成指标值为“=4家”，指标完成率为100.0%。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“监控中风险食品企业”指标：预期指标值为“&gt;=46家”，实际完成指标值为“=46家”，指标完成率为100.0%。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“监控低风险食品企业”指标：预期指标值为“&gt;=14家”，实际完成指标值为“=14家”，指标完成率为100.0%。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“监控风险食品企业覆盖率”指标：预期指标值为“=100%”，实际完成指标值为“=100%”，指标完成率为100%。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“完成时间”指标：预期指标值为“=2024年12月底”，实际完成指标值为“达到预期指标”，指标完成率为100%。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“项目成本控制率”指标：预期指标值为“&gt;=98%”，实际完成指标值为“=98%”，指标完成率为100%。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7AEC3D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F678C5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“食品生产安全程度”指标：预期指标值为“良好”，实际完成指标值为“达到预期指标”，指标完成率为100.0%。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439B51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115AB78B">
      <w:pPr>
        <w:spacing w:line="540" w:lineRule="exact"/>
        <w:ind w:firstLine="567"/>
        <w:rPr>
          <w:rStyle w:val="18"/>
          <w:rFonts w:hint="eastAsia" w:ascii="楷体" w:hAnsi="楷体" w:eastAsia="楷体"/>
          <w:b w:val="0"/>
          <w:bCs w:val="0"/>
          <w:spacing w:val="-4"/>
          <w:sz w:val="32"/>
          <w:szCs w:val="32"/>
        </w:rPr>
      </w:pPr>
    </w:p>
    <w:p w14:paraId="369E9FEC">
      <w:pPr>
        <w:spacing w:line="540" w:lineRule="exact"/>
        <w:ind w:firstLine="567"/>
        <w:rPr>
          <w:rStyle w:val="18"/>
          <w:rFonts w:ascii="楷体" w:hAnsi="楷体" w:eastAsia="楷体"/>
          <w:spacing w:val="-4"/>
          <w:sz w:val="32"/>
          <w:szCs w:val="32"/>
        </w:rPr>
      </w:pPr>
    </w:p>
    <w:p w14:paraId="7D3BBCDE">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D75F62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方面，坚持“统筹联动、责任明晰”的原则。通过建立多部门协同工作机制，整合市场监管、农业农村、卫生健康等职能部门的资源与职责，成立专项工作专班，明确分工并细化任务清单。同时，注重发挥基层网格化管理优势，下沉监管力量至乡镇街道，形成“县—乡—村”三级联动的组织体系。通过定期召开联席会议、制定阶段性目标，确保各部门在政策执行、风险排查等环节高效衔接，构建了纵向贯通、横向协同的组织保障网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管理方面，突出“全程管控、动态优化”的策略。项目以全链条风险防控为导向，将食品生产、流通、消费环节纳入统一管理框架，借助信息化手段建立动态监管台账，实现问题可追溯、责任可倒查。通过引入智慧监管平台，对重点企业实施分级分类管理，并针对关键风险点设置预警阈值，提升监管精准度。此外，建立“问题反馈—整改闭环—效果评估”的循环机制，定期组织“回头看”行动，确保隐患整改到位，推动管理模式从粗放式向精细化迭代升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资金管理方面，贯彻“规范高效、多元投入”的理念。设立专项资金池，严格制定资金使用细则，明确补贴范围与审批流程，确保财政投入精准流向企业技术改造、溯源设备升级等关键领域。同时，创新资金撬动方式，通过政策引导吸引社会资本参与，如对合规企业给予税收优惠或信用激励，形成“政府主导、企业主责、社会补充”的多元投入格局。强化资金使用审计与绩效评价，定期公开资金流向，保障资金管理的透明性与效益最大化，为项目可持续运行提供坚实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问题一：跨部门协同机制运行不畅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原因分析：部门间职责界定模糊，信息共享渠道不畅通，导致协作效率较低；部分基层单位参与度不足，存在“上热下冷”现象。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问题二：企业主体责任落实不到位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原因分析：部分中小企业对阳光食品项目认知不足，缺乏主动参与动力；技术升级成本高，企业数字化改造意愿低。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问题三：智慧监管技术应用深度不足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原因分析：现有监管平台功能模块单一，数据分析能力薄弱；部分设备使用率低，未能充分挖掘预警价值。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问题四：公众参与长效机制不健全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原因分析：群众举报反馈处理周期长，奖励机制吸引力不足；科普宣传形式单一，持续性社会动员能力较弱。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问题五：风险防控闭环管理存在漏洞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原因分析：问题整改跟踪机制不完善，部分企业“重承诺、轻落实”；过期食品回收、无害化处理链条尚未完全打通。</w:t>
      </w:r>
    </w:p>
    <w:p w14:paraId="41CF437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53F849BA">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改进建议：建立常态化跨部门协作平台，明确牵头部门与配合单位的权责清单，细化任务交接流程；完善信息共享系统，打通市场监管、农业、卫健等部门数据接口，实现风险线索实时推送；强化基层考核激励，将项目执行成效纳入乡镇街道年度考核，定期开展督导培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分类分层开展宣贯培训，针对小微企业制定简化版操作指南，降低合规门槛；设立“技术帮扶小组”，提供免费或补贴式数字化解决方案（如低成本溯源标签、简易版监管系统）；推行“信用+监管”模式，对积极参与企业给予政策倾斜（如优先采购、贷款贴息），形成正向引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引入AI算法优化风险预警模型，整合舆情、投诉、抽检等多源数据，实现风险动态评级；开展“设备效能提升行动”，对物联网传感器、AI摄像头等设备进行功能升级与操作培训；探索与高校、科技企业合作，试点应用区块链存证、量子点检测等新技术，增强监管前瞻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优化“随手拍”举报平台功能，开通24小时在线受理通道，简化奖励申领流程；开展“食品安全代言人”等品牌化宣传活动，通过短视频、直播等新媒体扩大覆盖面；建立社区志愿者队伍，定期组织食品安全巡查、开放日体验活动，增强公众持续参与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推行“整改承诺公示制”，要求企业在经营场所或平台公示整改措施及进度，接受社会监督；搭建“过期食品智能调度平台”，联动商超、回收企业、处理机构实现全流程数字化管理；探索“保险+服务”模式，引入第三方机构协助企业建立标准化风险内控体系。</w:t>
      </w:r>
    </w:p>
    <w:p w14:paraId="5D8271F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67D58CC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0C439ED5">
      <w:pPr>
        <w:spacing w:line="540" w:lineRule="exact"/>
        <w:ind w:firstLine="567"/>
        <w:rPr>
          <w:rStyle w:val="18"/>
          <w:rFonts w:ascii="仿宋" w:hAnsi="仿宋" w:eastAsia="仿宋"/>
          <w:b w:val="0"/>
          <w:spacing w:val="-4"/>
          <w:sz w:val="32"/>
          <w:szCs w:val="32"/>
        </w:rPr>
      </w:pPr>
    </w:p>
    <w:p w14:paraId="6F63D9EA">
      <w:pPr>
        <w:spacing w:line="540" w:lineRule="exact"/>
        <w:ind w:firstLine="567"/>
        <w:rPr>
          <w:rStyle w:val="18"/>
          <w:rFonts w:ascii="仿宋" w:hAnsi="仿宋" w:eastAsia="仿宋"/>
          <w:b w:val="0"/>
          <w:spacing w:val="-4"/>
          <w:sz w:val="32"/>
          <w:szCs w:val="32"/>
        </w:rPr>
      </w:pPr>
    </w:p>
    <w:p w14:paraId="4228B677">
      <w:pPr>
        <w:spacing w:line="540" w:lineRule="exact"/>
        <w:ind w:firstLine="567"/>
        <w:rPr>
          <w:rStyle w:val="18"/>
          <w:rFonts w:ascii="仿宋" w:hAnsi="仿宋" w:eastAsia="仿宋"/>
          <w:b w:val="0"/>
          <w:spacing w:val="-4"/>
          <w:sz w:val="32"/>
          <w:szCs w:val="32"/>
        </w:rPr>
      </w:pPr>
    </w:p>
    <w:p w14:paraId="026C1991">
      <w:pPr>
        <w:spacing w:line="540" w:lineRule="exact"/>
        <w:ind w:firstLine="567"/>
        <w:rPr>
          <w:rStyle w:val="18"/>
          <w:rFonts w:ascii="仿宋" w:hAnsi="仿宋" w:eastAsia="仿宋"/>
          <w:b w:val="0"/>
          <w:spacing w:val="-4"/>
          <w:sz w:val="32"/>
          <w:szCs w:val="32"/>
        </w:rPr>
      </w:pPr>
    </w:p>
    <w:p w14:paraId="10AFCB3C">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DC61D91">
        <w:pPr>
          <w:pStyle w:val="12"/>
          <w:jc w:val="center"/>
        </w:pPr>
        <w:r>
          <w:fldChar w:fldCharType="begin"/>
        </w:r>
        <w:r>
          <w:instrText xml:space="preserve">PAGE   \* MERGEFORMAT</w:instrText>
        </w:r>
        <w:r>
          <w:fldChar w:fldCharType="separate"/>
        </w:r>
        <w:r>
          <w:rPr>
            <w:lang w:val="zh-CN"/>
          </w:rPr>
          <w:t>2</w:t>
        </w:r>
        <w:r>
          <w:fldChar w:fldCharType="end"/>
        </w:r>
      </w:p>
    </w:sdtContent>
  </w:sdt>
  <w:p w14:paraId="78E9FC9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0B05433"/>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12357</Words>
  <Characters>12945</Characters>
  <Lines>4</Lines>
  <Paragraphs>1</Paragraphs>
  <TotalTime>3</TotalTime>
  <ScaleCrop>false</ScaleCrop>
  <LinksUpToDate>false</LinksUpToDate>
  <CharactersWithSpaces>12966</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2025-08-12T09:50:06Z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