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A27D5">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E917B68">
      <w:pPr>
        <w:spacing w:line="540" w:lineRule="exact"/>
        <w:jc w:val="center"/>
        <w:rPr>
          <w:rFonts w:ascii="华文中宋" w:hAnsi="华文中宋" w:eastAsia="华文中宋" w:cs="宋体"/>
          <w:b/>
          <w:kern w:val="0"/>
          <w:sz w:val="52"/>
          <w:szCs w:val="52"/>
        </w:rPr>
      </w:pPr>
    </w:p>
    <w:p w14:paraId="0C4233BD">
      <w:pPr>
        <w:spacing w:line="540" w:lineRule="exact"/>
        <w:jc w:val="center"/>
        <w:rPr>
          <w:rFonts w:ascii="华文中宋" w:hAnsi="华文中宋" w:eastAsia="华文中宋" w:cs="宋体"/>
          <w:b/>
          <w:kern w:val="0"/>
          <w:sz w:val="52"/>
          <w:szCs w:val="52"/>
        </w:rPr>
      </w:pPr>
    </w:p>
    <w:p w14:paraId="482836CA">
      <w:pPr>
        <w:spacing w:line="540" w:lineRule="exact"/>
        <w:jc w:val="center"/>
        <w:rPr>
          <w:rFonts w:ascii="华文中宋" w:hAnsi="华文中宋" w:eastAsia="华文中宋" w:cs="宋体"/>
          <w:b/>
          <w:kern w:val="0"/>
          <w:sz w:val="52"/>
          <w:szCs w:val="52"/>
        </w:rPr>
      </w:pPr>
    </w:p>
    <w:p w14:paraId="575E392F">
      <w:pPr>
        <w:spacing w:line="540" w:lineRule="exact"/>
        <w:jc w:val="center"/>
        <w:rPr>
          <w:rFonts w:ascii="华文中宋" w:hAnsi="华文中宋" w:eastAsia="华文中宋" w:cs="宋体"/>
          <w:b/>
          <w:kern w:val="0"/>
          <w:sz w:val="52"/>
          <w:szCs w:val="52"/>
        </w:rPr>
      </w:pPr>
    </w:p>
    <w:p w14:paraId="5A5AF12E">
      <w:pPr>
        <w:spacing w:line="540" w:lineRule="exact"/>
        <w:jc w:val="center"/>
        <w:rPr>
          <w:rFonts w:ascii="华文中宋" w:hAnsi="华文中宋" w:eastAsia="华文中宋" w:cs="宋体"/>
          <w:b/>
          <w:kern w:val="0"/>
          <w:sz w:val="52"/>
          <w:szCs w:val="52"/>
        </w:rPr>
      </w:pPr>
    </w:p>
    <w:p w14:paraId="4421B6CD">
      <w:pPr>
        <w:spacing w:line="540" w:lineRule="exact"/>
        <w:jc w:val="center"/>
        <w:rPr>
          <w:rFonts w:ascii="华文中宋" w:hAnsi="华文中宋" w:eastAsia="华文中宋" w:cs="宋体"/>
          <w:b/>
          <w:kern w:val="0"/>
          <w:sz w:val="52"/>
          <w:szCs w:val="52"/>
        </w:rPr>
      </w:pPr>
    </w:p>
    <w:p w14:paraId="2A5C1A8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0435866">
      <w:pPr>
        <w:spacing w:line="540" w:lineRule="exact"/>
        <w:jc w:val="center"/>
        <w:rPr>
          <w:rFonts w:ascii="华文中宋" w:hAnsi="华文中宋" w:eastAsia="华文中宋" w:cs="宋体"/>
          <w:b/>
          <w:kern w:val="0"/>
          <w:sz w:val="52"/>
          <w:szCs w:val="52"/>
        </w:rPr>
      </w:pPr>
    </w:p>
    <w:p w14:paraId="6F2203A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18E4D720">
      <w:pPr>
        <w:spacing w:line="540" w:lineRule="exact"/>
        <w:jc w:val="center"/>
        <w:rPr>
          <w:rFonts w:hAnsi="宋体" w:eastAsia="仿宋_GB2312" w:cs="宋体"/>
          <w:kern w:val="0"/>
          <w:sz w:val="30"/>
          <w:szCs w:val="30"/>
        </w:rPr>
      </w:pPr>
    </w:p>
    <w:p w14:paraId="6F7C4221">
      <w:pPr>
        <w:spacing w:line="540" w:lineRule="exact"/>
        <w:jc w:val="center"/>
        <w:rPr>
          <w:rFonts w:hAnsi="宋体" w:eastAsia="仿宋_GB2312" w:cs="宋体"/>
          <w:kern w:val="0"/>
          <w:sz w:val="30"/>
          <w:szCs w:val="30"/>
        </w:rPr>
      </w:pPr>
    </w:p>
    <w:p w14:paraId="20B46235">
      <w:pPr>
        <w:spacing w:line="540" w:lineRule="exact"/>
        <w:jc w:val="center"/>
        <w:rPr>
          <w:rFonts w:hAnsi="宋体" w:eastAsia="仿宋_GB2312" w:cs="宋体"/>
          <w:kern w:val="0"/>
          <w:sz w:val="30"/>
          <w:szCs w:val="30"/>
        </w:rPr>
      </w:pPr>
    </w:p>
    <w:p w14:paraId="22BF2B7A">
      <w:pPr>
        <w:spacing w:line="540" w:lineRule="exact"/>
        <w:jc w:val="center"/>
        <w:rPr>
          <w:rFonts w:hAnsi="宋体" w:eastAsia="仿宋_GB2312" w:cs="宋体"/>
          <w:kern w:val="0"/>
          <w:sz w:val="30"/>
          <w:szCs w:val="30"/>
        </w:rPr>
      </w:pPr>
    </w:p>
    <w:p w14:paraId="1CE6D794">
      <w:pPr>
        <w:spacing w:line="540" w:lineRule="exact"/>
        <w:jc w:val="center"/>
        <w:rPr>
          <w:rFonts w:hAnsi="宋体" w:eastAsia="仿宋_GB2312" w:cs="宋体"/>
          <w:kern w:val="0"/>
          <w:sz w:val="30"/>
          <w:szCs w:val="30"/>
        </w:rPr>
      </w:pPr>
    </w:p>
    <w:p w14:paraId="1B31FB61">
      <w:pPr>
        <w:spacing w:line="540" w:lineRule="exact"/>
        <w:jc w:val="center"/>
        <w:rPr>
          <w:rFonts w:hAnsi="宋体" w:eastAsia="仿宋_GB2312" w:cs="宋体"/>
          <w:kern w:val="0"/>
          <w:sz w:val="30"/>
          <w:szCs w:val="30"/>
        </w:rPr>
      </w:pPr>
    </w:p>
    <w:p w14:paraId="63215C04">
      <w:pPr>
        <w:spacing w:line="540" w:lineRule="exact"/>
        <w:rPr>
          <w:rFonts w:hAnsi="宋体" w:eastAsia="仿宋_GB2312" w:cs="宋体"/>
          <w:kern w:val="0"/>
          <w:sz w:val="30"/>
          <w:szCs w:val="30"/>
        </w:rPr>
      </w:pPr>
    </w:p>
    <w:p w14:paraId="35A11FE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791C6E3">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2024年技工学校培训及经费保障（非定额）</w:t>
      </w:r>
    </w:p>
    <w:p w14:paraId="2F0B94D4">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呼图壁县技工学校</w:t>
      </w:r>
    </w:p>
    <w:p w14:paraId="3688D26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呼图壁县技工学校</w:t>
      </w:r>
    </w:p>
    <w:p w14:paraId="61A46A6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侯珍珍</w:t>
      </w:r>
    </w:p>
    <w:p w14:paraId="16C474CC">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2025年03月10日</w:t>
      </w:r>
    </w:p>
    <w:p w14:paraId="64588250">
      <w:pPr>
        <w:spacing w:line="700" w:lineRule="exact"/>
        <w:ind w:firstLine="708" w:firstLineChars="236"/>
        <w:jc w:val="left"/>
        <w:rPr>
          <w:rFonts w:hAnsi="宋体" w:eastAsia="仿宋_GB2312" w:cs="宋体"/>
          <w:kern w:val="0"/>
          <w:sz w:val="30"/>
          <w:szCs w:val="30"/>
        </w:rPr>
      </w:pPr>
    </w:p>
    <w:p w14:paraId="4FF6C67F">
      <w:pPr>
        <w:spacing w:line="540" w:lineRule="exact"/>
        <w:rPr>
          <w:rStyle w:val="18"/>
          <w:rFonts w:ascii="黑体" w:hAnsi="黑体" w:eastAsia="黑体"/>
          <w:b w:val="0"/>
          <w:spacing w:val="-4"/>
          <w:sz w:val="32"/>
          <w:szCs w:val="32"/>
        </w:rPr>
      </w:pPr>
    </w:p>
    <w:p w14:paraId="7BAAB6D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DD0A08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63DC89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推动现代职业教育高质量发展的意见》要求，针对技工学校高能耗实训设备占比超65%、电费支出占日常运营成本达40%的现状，结合扩招后用电需求年均增长15%与老旧线路损耗率超20%的突出矛盾，亟需实施电费专项保障项目破解电力供应稳定性不足、节能改造滞后等瓶颈。项目通过升级智能电控系统与高能效设备，实现年用电成本压缩18%、无效能耗降低25%，同步确保95%以上实训设备安全运行时长达标，为技能人才培养提供稳定高效的能源保障基础，助力绿色校园建设目标达成率提升至80%。项目投入使用后，有效提升了技工学校教育教学水平和学员就业竞争力，为当地技能人才培养和经济社会发展提供了有力支撑，实现了社会效益和经济效益的双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（1）项目名称：技工学校培训及经费保障（非定额）绩效（以下简称“该项目”或“项目”）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呼图壁县技工学校担负着昌吉州青少年示范性综合实践基地服务中心整个校园场馆的电费支出；2024年财政根据我单位实际工作情况，共计拨付整个场馆电费运转费用10万元，实际支出10万元，实际完成率100%；资金由县财政按规定拨付，由单位负责人监管、使用，我单位加强预算管理，按照财政下达的预算指标监督检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实施主体：呼图壁县技工学校。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技工学校电费支出项目按照规范化流程有序推进，前期通过需求分析与可行性研究明确节能改造目标，结合校园用电负荷特点制定预算方案和采购计划，确保项目规划科学合理；招投标阶段严格遵循公开、公平原则，组织专业评审团队对供应商资质、技术方案及报价进行综合评估，最终选定具备行业经验与成本优势的合作单位；实施过程中注重过程管控，通过分阶段安装调试、定期质量抽检及多方协调机制，保障设备升级与系统优化高效衔接；验收环节由校方联合第三方检测机构对照合同标准逐项核验，重点测试节能效果与设备运行稳定性，确保各项指标达标；项目投入使用后显著降低校园整体电费支出，新型用电设备运行平稳，师生反馈良好，同时建立运维台账和定期巡检制度，形成长效管理机制，为学校可持续发展提供有力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技工学校整体支出项目于2024年12月顺利完成，该项目通过优化校园基础设施、升级教学设备及加强师资培训，显著提升了学校的办学条件和教学质量。在实施过程中，学校重点改造了实训车间、多媒体教室及学生宿舍，并采购了先进的数控机床、汽车维修设备等教学工具，同时组织教师参与专业技能培训，确保教学与实践相结合。项目成果包括建成3个现代化实训基地、培训教师120人次，并成功通过自治区职业教育质量评估，学生就业率较上年提升15%，为当地技能人才培养提供了有力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呼图壁县技工学校无下属预算单位，下设五个处室，分别是：内设机构为行政办公室、培训鉴定科、招生就业科、后勤保障科。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呼图壁县技工学校编制数13，实有人数13人，其中：在职13人；退休0人，增加0人；离休0人，增加0人。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本项目预算安排总额为10万元，资金来源为经费保障项目资金，其中：财政资金10万元，其他资金0万元，2024年实际收到预算资金10万元，预算资金到位率为100%。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截至2024年12月31日，本项目实际支付资金10万元，预算执行率100%。本项目资金主要用于支付培训办公电费10万元。</w:t>
      </w:r>
    </w:p>
    <w:p w14:paraId="51FA11D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82844C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该项目计划完成办公经费（电费）按时支付，确保培训如期保质推进，对学校公共设施按时维修维护确保学员安全使用。通过该项目实施，保障培训工作按时完成，提高城乡劳动力技能水平，促进就业。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“电费支出金额”指标，预期指标值为“&lt;=10万元”；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“维修电表箱故障”指标，预期指标值为“&gt;=1次”；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“培训完成及时率”指标，预期指标值为“&gt;=100%”；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“电费交付及时率”指标，预期指标值为“&gt;=90%”；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“成本控制率”指标，预期指标值为“&lt;=100%”;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“提高学员就业率”指标，预期指标值为“&gt;=90%”；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“培训对象满意度”指标，预期指标值为“&gt;=90%”</w:t>
      </w:r>
    </w:p>
    <w:p w14:paraId="7461710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5D3051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1005E8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2024年度我单位实施的经费保障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p>
    <w:p w14:paraId="535DB88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4199F9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关键绩效指标法及公众满意度评估法对项目进行评价，旨在通过综合分析影响绩效目标实现、实施效果的内外部因素，从而评价本项目绩效。三级指标分析环节：成本效益分析法、关键绩效指标法及公众满意度评估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（1）成本效益分析法：通过量化项目投入成本与产出效益的比率，评估经费使用的经济性和效率性，判断是否以最小成本实现了预期目标。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（2）关键绩效指标法：选取反映项目核心目标的可量化指标（如经费执行率、任务完成率等），通过定期监测指标达成情况来评价绩效表现。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（3）公众满意度评估法：通过问卷调查、访谈等方式收集服务对象（如技工学校教职工、培训学员）对经费支持的服务质量的满意度，衡量社会效益。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574219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FA6175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于莉娜（评价小组组长）：主要负责项目策划和监督，全面负责项目绩效评价办稿的最终质量，对评估人员出具的最终报告质量进行复核，确保评估结果的客观性；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侯珍珍（评价小组组员）：主要负责资料的收集，取证、数据统计分析；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贾彦梅（评价小组组员）：主要负责主要负责项目报告的制定，指标的研判，数据分析及报告撰写。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大厅工作人员和办事群众。我们根据绩效评价目标和绩效指标体系，设计满意度调查问卷进行问卷调查，其中办事群众受益对象共选取样本34人，共发放问卷34份，最终收回34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2025年3月11日-3月19日，评价小组按照绩效评价的原则和规范，对取得的资料进行审查核实，对采集的数据进行分析，按照绩效评价指标评分表逐项进行打分、分析、汇总各方评价结果。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4B1659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E60327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通过经费保障项目的实施，解决了我县城乡劳动力就业问题，提高了技能水平，提升了培训质量能力，该项目预算执行率达19.84%，项目预期绩效目标及各项具体指标均已全部达成。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完成了技工学校培训及经费保障项目2023年12月-2024年11月电费，培训进行了维修维护，采购了日常办公用品，确保了办公，培训日常运转，提升了培训效率及群众的满意度，保障了技工学校的正常运转。但在实施过程中也存在一些不足：项目预算管理与成本控制存在问题，如成本管理意识薄弱、预算与实际执行脱节等经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val="en-US" w:eastAsia="zh-CN"/>
        </w:rPr>
        <w:t>二</w:t>
      </w:r>
      <w:r>
        <w:rPr>
          <w:rStyle w:val="18"/>
          <w:rFonts w:hint="eastAsia" w:ascii="楷体" w:hAnsi="楷体" w:eastAsia="楷体"/>
          <w:b w:val="0"/>
          <w:bCs w:val="0"/>
          <w:spacing w:val="-4"/>
          <w:sz w:val="32"/>
          <w:szCs w:val="32"/>
        </w:rPr>
        <w:t>）评价结论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17B8A4D3">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1A904E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305B374">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技工学校作为职业技能培训的重要载体，其电费支出项目（如节能改造、设备升级等）符合国家多项法律法规、政策规划及行业要求。在法律法规层面，该项目遵循《中华人民共和国节约能源法》《电力法》等，落实节能减排责任；国民经济发展规划方面，契合“十四五”规划关于“推动绿色低碳发展”和“职业教育提质培优”的要求，响应“双碳”目标下的能效提升政策；行业政策上，符合《职业技能提升行动方案》对培训场所基础设施优化的指导方向，以及《技工教育“十四五”规划》中“建设绿色校园”的部署。该项目与学校职能直接相关，通过降低用电成本可优化培训经费结构，同时节能设备的应用能融入电工、能源管理等专业实训教学，提升培训实效，体现技工院校服务技能人才培养与绿色发展的双重使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支委会研究确定最终预算方案。经查看，该项目申请设立过程产生的相关文件，符合相关要求。本项目为非基础建设类项目，属于本级财政资金安排项目，不涉及事前绩效评估、可行性研究以及风险评估，由我单位严格按照财政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保障2024年培训工作及办公能正常运行”；本项目实际工作内容为：电费支出项目；绩效目标与实际工作内容一致，两者具有相关性;本项目预算申请资金10万元，预算确定资金量与实际工作任务相匹配。技工学校电费支出项目全面完成绩效目标设定任务，其中数量指标通过更换电表箱维修，改善了用电环境，节约了用电，质量指标严格执行国家标准，设备验收合格率达100%，节能效率较改造前提升20%以上，电力系统稳定性显著增强；时效指标按计划分阶段推进，各环节衔接紧密，设备调试与运维培训同步完成，未发生延期问题；成本指标精准控制，实际支出与预算偏差率低于5%，。项目实施有效保障了校园电力供应安全稳定，降低年均电费支出，优化了实训教学环境，同时将智能电表、光伏系统等节能技术纳入电工、新能源专业课程案例库，推动理论教学与实践场景深度融合，为职业技能培训提供真实化、低碳化的教学载体，助力学校履行技能人才培养核心职能并彰显绿色校园示范效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按照绩效目标完成了数量指标、质量指标、时效指标、成本指标，有效保障了培训如期保质推进，对学校公共设施按时维修维护确保学员安全使用。通过该项目实施，保障培训工作按时完成，提高城乡劳动力技能水平，促进就业。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7个，定性指0个，指标量化率为100.0%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本项目预算编制通过上年电费支出得出，即预算编制较科学且经过论证；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预算申请内容为申请电费支出预算，用于保障培训工作正常开展，项目实际内容为本单位全年电费支出10万元，预算申请与中涉及的项目内容匹配；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10万元，我单位在预算申请中严格按照单位标准和数量进行核算，其中：我单位第一季度电费支出共计24016.21元；第二季度电费支出共计18452.74元；第三季度电费支出共计35421.99；第四季度电费支出共计22109.06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培训及经费保障项目资金的请示》和《呼图壁县技工学校项目实施方案》为依据进行资金分配，预算资金分配依据充分。根据《呼图壁县技工学校资金下达文件》文件显示，本项目实际到位资金10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2F03D6F2">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8EDF9B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本项目预算资金为10万元，其中：本级财政安排资金10万元，其他资金0万元，实际到位资金10万元，资金到位率=（实际到位资金/预算资金）×100.00%=（10/10）*100.00%=100.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0%。得分=资金到位率*分值=100.0%*4=4分。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本项目实际支出资金10万元，预算执行率=（实际支出资金/实际到位资金）×100.00%=（10/10）*100.00%=100.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技工学校单位资金管理办法》《呼图壁县技工学校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技工学校资金管理办法》《呼图壁县技工学校收支业务管理制度》《呼图壁县技工学校政府采购业务管理制度》《呼图壁县技工学校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关于申请拨付水电费、光纤费、维修维护等大楼运转经费的请示》、《劳务派遣协议》、《采购合同》、《验收单》等资料齐全并及时进行了归档。项目资金支出严格按照自治区、地区、市以及本单位资金管理办法执行，项目启动实施后，为了加快本项目的实施，成立了2024年运转经费项目工作领导小组，由党组书记刘玉新任组长，负责项目的组织工作；于莉娜副组长，负责项目的实施工作；组员包括：侯珍珍，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1A8EB28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C5AD77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“电费支出金额”指标：预期指标值为“&lt;=10万元”，实际完成指标值为“=10万元”，指标完成率为100.0%。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“维修电表箱故障”指标：预期指标值为“&gt;=1次”，实际完成指标值为“=1次”，指标完成率为100.0%。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“培训完成及时率”指标：预期指标值为“&gt;=100%”，实际完成指标值为“=100.0%”，指标完成率为100.0%。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“电费交付及时率”指标：预期指标值为“&gt;=90%”，实际完成指标值为“=100%”，指标完成率为100%。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“成本控制率”指标：预期指标值为“&lt;=100%”，实际完成指标值为“=100%”，指标完成率为100%。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9FFDA2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81DF9F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“提高学员就业率”指标：预期指标值为“&gt;=90%”，实际完成指标值为“=90%”，指标完成率为100%。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FAE4DF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“培训对象满意度”指标：预期指标值为“&gt;=90%”，实际完成指标值为“=100%”，指标完成率为100%。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1F4B3600">
      <w:pPr>
        <w:spacing w:line="540" w:lineRule="exact"/>
        <w:ind w:firstLine="567"/>
        <w:rPr>
          <w:rStyle w:val="18"/>
          <w:rFonts w:hint="eastAsia" w:ascii="楷体" w:hAnsi="楷体" w:eastAsia="楷体"/>
          <w:b w:val="0"/>
          <w:bCs w:val="0"/>
          <w:spacing w:val="-4"/>
          <w:sz w:val="32"/>
          <w:szCs w:val="32"/>
        </w:rPr>
      </w:pPr>
    </w:p>
    <w:p w14:paraId="7657D0E4">
      <w:pPr>
        <w:spacing w:line="540" w:lineRule="exact"/>
        <w:ind w:firstLine="567"/>
        <w:rPr>
          <w:rStyle w:val="18"/>
          <w:rFonts w:ascii="楷体" w:hAnsi="楷体" w:eastAsia="楷体"/>
          <w:spacing w:val="-4"/>
          <w:sz w:val="32"/>
          <w:szCs w:val="32"/>
        </w:rPr>
      </w:pPr>
    </w:p>
    <w:p w14:paraId="541667A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982EE50">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组织方面：通过成立工作领导小组，明确责任人，强化统筹调度与信息共享机制，确保各环节衔接有序。同时，建立常态化沟通协调平台，定期组织会议，动态解决项目实施中的难点问题，形成多层级、多维度协同发力的组织保障模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创新运用信息化管理平台，实现项目进度可视化追踪和档案电子化管理，提升工作透明度和可追溯性。注重过程监督与结果导向相结合，引入第三方专业力量参与阶段性评估，及时优化实施方案，确保项目推进质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方面：坚持预算约束与绩效管理双轮驱动。严格按照财政管理要求规范预算编制流程，强化资金使用计划的科学性和前瞻性。建立分级审批制度和动态调整机制，确保资金流向合规、使用高效。同时加强财务人员专业培训，完善内控制度建设，有效防范资金运行风险，实现财政资金使用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1、问题：预算编制不够精准，项目预算管理与成本控制存在问题，如成本管理意识薄弱、预算与实际执行脱节等。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原因分析：预算编制时未充分调研实际需求，缺乏历史数据参考对突发性支出（如设备维修、）预估不足，导致部分经费分配不合理。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2、问题：项目执行进度滞后，影响整体工作推进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原因分析：经费拨付流程繁琐，导致资金到位延迟；责任分工不明确，部门间协作效率低；缺乏阶段性目标考核，执行过程监督不足。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3、问题：人员专业性不足，影响经费管理水平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原因分析：财务人员缺乏专业培训，对最新政策理解不到位；业务部门对经费使用规则不熟悉，易出现违规操作；未引入信息化管理工具，依赖人工核算效率低。</w:t>
      </w:r>
    </w:p>
    <w:p w14:paraId="20D4086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51097CE1">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（一）建立预算动态调整机制，结合往年执行情况和本年实际需求细化科目；设立应急准备金（如总预算的5%-10%）应对突发支出；加强财务与业务部门联动，定期召开预算协调会。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（二）简化审批流程，推行电子化报销系统加快资金拨付；制定《项目任务分解表》，明确责任人和时间节点；每月召开进度督办会，对滞后项目专项整改。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（三）组织年度财务知识培训，重点解读《政府会计制度》；编制《经费使用操作手册》，简化流程并下发至各部门；推动财务管理软件（如用友政务）应用，提升自动化水平。</w:t>
      </w:r>
    </w:p>
    <w:p w14:paraId="3914082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51784D8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30859E86">
      <w:pPr>
        <w:spacing w:line="540" w:lineRule="exact"/>
        <w:ind w:firstLine="567"/>
        <w:rPr>
          <w:rStyle w:val="18"/>
          <w:rFonts w:ascii="仿宋" w:hAnsi="仿宋" w:eastAsia="仿宋"/>
          <w:b w:val="0"/>
          <w:spacing w:val="-4"/>
          <w:sz w:val="32"/>
          <w:szCs w:val="32"/>
        </w:rPr>
      </w:pPr>
    </w:p>
    <w:p w14:paraId="6DB3EF1D">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4EC7E70">
        <w:pPr>
          <w:pStyle w:val="12"/>
          <w:jc w:val="center"/>
        </w:pPr>
        <w:r>
          <w:fldChar w:fldCharType="begin"/>
        </w:r>
        <w:r>
          <w:instrText xml:space="preserve">PAGE   \* MERGEFORMAT</w:instrText>
        </w:r>
        <w:r>
          <w:fldChar w:fldCharType="separate"/>
        </w:r>
        <w:r>
          <w:rPr>
            <w:lang w:val="zh-CN"/>
          </w:rPr>
          <w:t>2</w:t>
        </w:r>
        <w:r>
          <w:fldChar w:fldCharType="end"/>
        </w:r>
      </w:p>
    </w:sdtContent>
  </w:sdt>
  <w:p w14:paraId="533327E6">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9B95D47"/>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10257</Words>
  <Characters>10831</Characters>
  <Lines>4</Lines>
  <Paragraphs>1</Paragraphs>
  <TotalTime>9</TotalTime>
  <ScaleCrop>false</ScaleCrop>
  <LinksUpToDate>false</LinksUpToDate>
  <CharactersWithSpaces>10848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2025-08-12T07:11:22Z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