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BC30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D8C2027">
      <w:pPr>
        <w:spacing w:line="540" w:lineRule="exact"/>
        <w:jc w:val="center"/>
        <w:rPr>
          <w:rFonts w:ascii="华文中宋" w:hAnsi="华文中宋" w:eastAsia="华文中宋" w:cs="宋体"/>
          <w:b/>
          <w:kern w:val="0"/>
          <w:sz w:val="52"/>
          <w:szCs w:val="52"/>
        </w:rPr>
      </w:pPr>
    </w:p>
    <w:p w14:paraId="1E64AA04">
      <w:pPr>
        <w:spacing w:line="540" w:lineRule="exact"/>
        <w:jc w:val="center"/>
        <w:rPr>
          <w:rFonts w:ascii="华文中宋" w:hAnsi="华文中宋" w:eastAsia="华文中宋" w:cs="宋体"/>
          <w:b/>
          <w:kern w:val="0"/>
          <w:sz w:val="52"/>
          <w:szCs w:val="52"/>
        </w:rPr>
      </w:pPr>
    </w:p>
    <w:p w14:paraId="046F9AC7">
      <w:pPr>
        <w:spacing w:line="540" w:lineRule="exact"/>
        <w:jc w:val="center"/>
        <w:rPr>
          <w:rFonts w:ascii="华文中宋" w:hAnsi="华文中宋" w:eastAsia="华文中宋" w:cs="宋体"/>
          <w:b/>
          <w:kern w:val="0"/>
          <w:sz w:val="52"/>
          <w:szCs w:val="52"/>
        </w:rPr>
      </w:pPr>
    </w:p>
    <w:p w14:paraId="7CB2D8B1">
      <w:pPr>
        <w:spacing w:line="540" w:lineRule="exact"/>
        <w:jc w:val="center"/>
        <w:rPr>
          <w:rFonts w:ascii="华文中宋" w:hAnsi="华文中宋" w:eastAsia="华文中宋" w:cs="宋体"/>
          <w:b/>
          <w:kern w:val="0"/>
          <w:sz w:val="52"/>
          <w:szCs w:val="52"/>
        </w:rPr>
      </w:pPr>
    </w:p>
    <w:p w14:paraId="46289108">
      <w:pPr>
        <w:spacing w:line="540" w:lineRule="exact"/>
        <w:jc w:val="center"/>
        <w:rPr>
          <w:rFonts w:ascii="华文中宋" w:hAnsi="华文中宋" w:eastAsia="华文中宋" w:cs="宋体"/>
          <w:b/>
          <w:kern w:val="0"/>
          <w:sz w:val="52"/>
          <w:szCs w:val="52"/>
        </w:rPr>
      </w:pPr>
    </w:p>
    <w:p w14:paraId="4E300824">
      <w:pPr>
        <w:spacing w:line="540" w:lineRule="exact"/>
        <w:jc w:val="center"/>
        <w:rPr>
          <w:rFonts w:ascii="华文中宋" w:hAnsi="华文中宋" w:eastAsia="华文中宋" w:cs="宋体"/>
          <w:b/>
          <w:kern w:val="0"/>
          <w:sz w:val="52"/>
          <w:szCs w:val="52"/>
        </w:rPr>
      </w:pPr>
    </w:p>
    <w:p w14:paraId="3319755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9D294B7">
      <w:pPr>
        <w:spacing w:line="540" w:lineRule="exact"/>
        <w:jc w:val="center"/>
        <w:rPr>
          <w:rFonts w:ascii="华文中宋" w:hAnsi="华文中宋" w:eastAsia="华文中宋" w:cs="宋体"/>
          <w:b/>
          <w:kern w:val="0"/>
          <w:sz w:val="52"/>
          <w:szCs w:val="52"/>
        </w:rPr>
      </w:pPr>
    </w:p>
    <w:p w14:paraId="519BA26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D68064E">
      <w:pPr>
        <w:spacing w:line="540" w:lineRule="exact"/>
        <w:jc w:val="center"/>
        <w:rPr>
          <w:rFonts w:hAnsi="宋体" w:eastAsia="仿宋_GB2312" w:cs="宋体"/>
          <w:kern w:val="0"/>
          <w:sz w:val="30"/>
          <w:szCs w:val="30"/>
        </w:rPr>
      </w:pPr>
    </w:p>
    <w:p w14:paraId="3029974F">
      <w:pPr>
        <w:spacing w:line="540" w:lineRule="exact"/>
        <w:jc w:val="center"/>
        <w:rPr>
          <w:rFonts w:hAnsi="宋体" w:eastAsia="仿宋_GB2312" w:cs="宋体"/>
          <w:kern w:val="0"/>
          <w:sz w:val="30"/>
          <w:szCs w:val="30"/>
        </w:rPr>
      </w:pPr>
    </w:p>
    <w:p w14:paraId="7FEC892C">
      <w:pPr>
        <w:spacing w:line="540" w:lineRule="exact"/>
        <w:jc w:val="center"/>
        <w:rPr>
          <w:rFonts w:hAnsi="宋体" w:eastAsia="仿宋_GB2312" w:cs="宋体"/>
          <w:kern w:val="0"/>
          <w:sz w:val="30"/>
          <w:szCs w:val="30"/>
        </w:rPr>
      </w:pPr>
    </w:p>
    <w:p w14:paraId="02B9FBBA">
      <w:pPr>
        <w:spacing w:line="540" w:lineRule="exact"/>
        <w:jc w:val="center"/>
        <w:rPr>
          <w:rFonts w:hAnsi="宋体" w:eastAsia="仿宋_GB2312" w:cs="宋体"/>
          <w:kern w:val="0"/>
          <w:sz w:val="30"/>
          <w:szCs w:val="30"/>
        </w:rPr>
      </w:pPr>
    </w:p>
    <w:p w14:paraId="2CC3DAD9">
      <w:pPr>
        <w:spacing w:line="540" w:lineRule="exact"/>
        <w:jc w:val="center"/>
        <w:rPr>
          <w:rFonts w:hAnsi="宋体" w:eastAsia="仿宋_GB2312" w:cs="宋体"/>
          <w:kern w:val="0"/>
          <w:sz w:val="30"/>
          <w:szCs w:val="30"/>
        </w:rPr>
      </w:pPr>
    </w:p>
    <w:p w14:paraId="44FF391E">
      <w:pPr>
        <w:spacing w:line="540" w:lineRule="exact"/>
        <w:jc w:val="center"/>
        <w:rPr>
          <w:rFonts w:hAnsi="宋体" w:eastAsia="仿宋_GB2312" w:cs="宋体"/>
          <w:kern w:val="0"/>
          <w:sz w:val="30"/>
          <w:szCs w:val="30"/>
        </w:rPr>
      </w:pPr>
    </w:p>
    <w:p w14:paraId="35E5F382">
      <w:pPr>
        <w:spacing w:line="540" w:lineRule="exact"/>
        <w:rPr>
          <w:rFonts w:hAnsi="宋体" w:eastAsia="仿宋_GB2312" w:cs="宋体"/>
          <w:kern w:val="0"/>
          <w:sz w:val="30"/>
          <w:szCs w:val="30"/>
        </w:rPr>
      </w:pPr>
    </w:p>
    <w:p w14:paraId="47A6F44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0C4A1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2024年城乡义务教育补助项目</w:t>
      </w:r>
    </w:p>
    <w:p w14:paraId="29A72EA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呼图壁县教育局</w:t>
      </w:r>
    </w:p>
    <w:p w14:paraId="656A945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呼图壁县教育局</w:t>
      </w:r>
    </w:p>
    <w:p w14:paraId="084AE22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阿德力</w:t>
      </w:r>
    </w:p>
    <w:p w14:paraId="29AF850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2AE75A13">
      <w:pPr>
        <w:spacing w:line="700" w:lineRule="exact"/>
        <w:ind w:firstLine="708" w:firstLineChars="236"/>
        <w:jc w:val="left"/>
        <w:rPr>
          <w:rFonts w:hAnsi="宋体" w:eastAsia="仿宋_GB2312" w:cs="宋体"/>
          <w:kern w:val="0"/>
          <w:sz w:val="30"/>
          <w:szCs w:val="30"/>
        </w:rPr>
      </w:pPr>
    </w:p>
    <w:p w14:paraId="2EE4A799">
      <w:pPr>
        <w:spacing w:line="540" w:lineRule="exact"/>
        <w:rPr>
          <w:rStyle w:val="18"/>
          <w:rFonts w:ascii="黑体" w:hAnsi="黑体" w:eastAsia="黑体"/>
          <w:b w:val="0"/>
          <w:spacing w:val="-4"/>
          <w:sz w:val="32"/>
          <w:szCs w:val="32"/>
        </w:rPr>
      </w:pPr>
    </w:p>
    <w:p w14:paraId="4FA9AAC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6A2057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1FFCB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部关于下达2024年城乡义务教育补助经费的通知》（昌州财教〔2023〕90号），中央财政统筹80%的城乡义务教育补助经费（中央直达资金）用于支持全国义务段学校校舍维修改造，重点向中西部地区倾斜。该项目聚焦解决当前义务教育阶段校舍安全隐患问题，全国约15%的农村学校校舍存在结构安全隐患或设施老化问题，部分地区校舍抗震设防不达标比例达20%。通过实施校舍维修改造，可消除80%以上的D级危房，使农村学校校舍安全达标率提升至95%以上，</w:t>
      </w:r>
      <w:bookmarkStart w:id="0" w:name="_GoBack"/>
      <w:r>
        <w:rPr>
          <w:rStyle w:val="18"/>
          <w:rFonts w:hint="eastAsia" w:ascii="楷体" w:hAnsi="楷体" w:eastAsia="楷体"/>
          <w:b w:val="0"/>
          <w:bCs w:val="0"/>
          <w:spacing w:val="-4"/>
          <w:sz w:val="32"/>
          <w:szCs w:val="32"/>
        </w:rPr>
        <w:t>同</w:t>
      </w:r>
      <w:bookmarkEnd w:id="0"/>
      <w:r>
        <w:rPr>
          <w:rStyle w:val="18"/>
          <w:rFonts w:hint="eastAsia" w:ascii="楷体" w:hAnsi="楷体" w:eastAsia="楷体"/>
          <w:b w:val="0"/>
          <w:bCs w:val="0"/>
          <w:spacing w:val="-4"/>
          <w:sz w:val="32"/>
          <w:szCs w:val="32"/>
        </w:rPr>
        <w:t>时实现中央直达资金100%用于项目建设，确保项目完成率100%。项目实施后，将有效改善约4所农村学校的办学条件，为城乡义务教育优质均衡发展提供坚实保障。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（1）项目名称：2024年城乡义务教育补助经费（中央直达资金）（义务段学校校舍维修改造）项目（以下简称“该项目”或“项目”）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聚焦2024年城乡义务教育补助经费（中央直达资金）中用于义务段学校校舍维修改造的专项用途，严格遵循资金使用要求，重点用于解决农村及薄弱地区学校校舍安全隐患、设施老化及功能缺失问题。实施范围覆盖偏远农村地区义务教育阶段学校，优先支持脱贫县、乡村振兴重点县、边境县及受灾地区学校，具体涉及约4所存在校舍安全隐患或基础设施薄弱的农村、城镇薄弱学校。项目主要内容包括：对鉴定为C级的校舍进行抗震加固、墙体修缮、屋面防水等结构性维修，对存在消防、电气、排水等安全隐患的校舍实施设施改造，同步推进教学及生活用房功能优化（如实验室、食堂、宿舍等功能区域适应性改造），配套完善校园道路、绿化、照明等附属设施。实施过程中严格按照“一校一策”制定维修方案，优先保障教学及学生生活必需场所改造，确保中央直达资金精准用于校舍维修改造的材料采购、施工建设、质量检测等具体环节，严禁挪用或超范围使用，切实提升学校基础设施保障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实施主体：呼图壁县教育和科学技术局。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在2024年城乡义务教育补助经费（中央直达资金）（义务段学校校舍维修改造）项目实施中，前期组建专项工作小组，依据县域学校校舍勘察评估结果，结合中央资金使用要求，制定“一校一策”实施方案，确定维修改造清单并完成项目申报审批，确保中央直达资金足额到位。招投标环节严格遵循公开透明原则，通过规范流程选取具备资质的施工、监理单位，签订项目合同并明确质量标准、工期要求及安全责任。实施过程中，建立县、乡、校三级监管机制，施工单位按方案推进校舍结构加固、设施改造、功能区域优化及附属工程建设，监理单位全程跟踪质量，教育部门定期巡查协调解决材料供应、施工进度等问题，同步落实安全防护和环保措施，保障项目按计划推进。项目完工后，由教育、财政、住建等部门联合开展竣工验收，对发现的细节问题要求施工单位限期整改，确保所有改造内容达到设计标准和安全规范。目前改造后的校舍已全部交付学校投入使用，有效解决了县域内义务教育阶段学校校舍安全隐患、设施老化及功能缺失问题，办学条件得到显著改善，相关学校同步建立校舍日常维护管理制度，确保中央直达资金效益长期发挥，为师生营造安全舒适的教育教学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1、全面贯彻执行党和国家、自治区有关教育工作的方针、政策和法律法规，拟定本县教育实施方案和管理办法并监督执行。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2、拟定“双语”教育发展规划，组织推进“双语”教学工作，扩大“双语”教学的范围和规模，督查“双语”教学常规和 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3、综合管理本县的基础教育、职业教育、成人教育、社会 力量办学及幼儿教育工作等。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4、参与管理县本级教育经费预决算的管理，会同有关部门筹措教育经费，制定教育基建投资规划、方案；负责本县各级各 类学校的校舍建设及各项配套设施建设；指导、协调家庭经济困 难学生资助管理工作。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5、负责本县教育系统专业技术职务评聘工作、教师继续教育工作和教师资格认定工作；负责具有教师资格的大中专毕业生 的就业指导工作；会同有关部门制定教育系统劳资和人事管理工 作的有关政策和规范性文件。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6、负责本县内地高中班、区内初中班的协调、宣传、组织 统考、协助招生等工作；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7、归口管理本县的学历教育及其考试工作，指导管理全州 各类招生考试和高中会考工作；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8、规划、指导、管理继续教育、勤工俭学、扫除青壮年文盲工作。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9、负责制定学校安全工作考核目标，建立安全目标责任制 和事故责任追究制。督促、检查、指导学校安全工作。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10、参与自治州科技体制改革研究，指导教育体制和办学体 制的改革，组织、规划、指导教育系统教育信息化工作。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11、负责离退休干部的宏观管理工作，跨地区安置及老干部信访工作。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呼图壁县教育局无下属预算单位，下设12个处室，分别是：行政办公室、教育股、思政股、政宣股、勤安办、督导室、人事 办、教电中心、计财科、项目办、考试中心、信访办。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呼图壁县教育局单位编制数35，实有人数79人，其中：在职34人，减少2人；退休45人，增加2人；离休0人，增加0人。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万元，资金来源为中央财政直达资金，其中：财政资金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万元，其他资金0.0万元，2024年实际收到预算资金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万元，预算执行率100%。本项目资金主要用于支付呼图壁县第一小学校舍改造费用375万元、二十里店镇小学校舍维修费用89.5万元，五工台镇小学分校校舍维修费用145万元。</w:t>
      </w:r>
    </w:p>
    <w:p w14:paraId="3E0B93A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1134C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城乡义务教育补助经费（中央直达资金）用于农村学校校舍维修改造项目，总体目标是通过实施农村学校校舍维修改造，提升县域义务教育学校基础设施保障水平，改善办学条件。具体包括完成一定数量的农村学校校舍维修，覆盖多所受益学校，确保新建或改造校舍验收合格率及购置设备的质量合格率达到高标准，保障校舍改扩建和设施设备采购按时完成，切实提高校舍改扩建及时率和设施设备采购及时率。通过项目实施，有效解决农村学校校舍安全隐患、设施老化等问题，缩小城乡教育差距，推动呼图壁县域内义务教育均衡发展，为师生提供安全、舒适的教育教学环境，最终实现家长、学生和教师对学校办学条件改善的高度认可，提升社会对义务教育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“农村学校校舍维修数量”指标，预期指标值为“大于等于3所”；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“收益学校数量”指标，预期指标值为“大于等于4所”；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“新建或改造校舍验收合格率”指标，预期指标值为“大于等于100%”；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“购置设备的质量合格率”指标，预期指标值为“大于等于100%”；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“校舍的改扩建及时率”指标，预期指标值为“大于等于100%”；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“设施设备采购及时率”指标，预期指标值为“大于等于100%”；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“呼图壁县第一小学建造费”指标，预期指标值为“大于等于375万元”；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“推动呼图壁教育均衡发展”指标，预期指标值为“效果显著”；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“家长、学生满意度”指标，预期指标值为“大于等于90%”。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“教师满意度”指标，预期指标值为“大于等于90%”。</w:t>
      </w:r>
    </w:p>
    <w:p w14:paraId="2514A4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C5FE34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2CAFE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经费（中央直达资金）（义务段学校校舍维修改造）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3BE72E3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9AB77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目标比较法、因素分析法、公众满意度调查法以及数据分析法对项目进行评价，旨在通过综合分析影响绩效目标实现、实施效果的内外部因素，从而评价本项目绩效。三级指标分析环节：成本效益分析法，同时辅以目标比较法、因素分析法、公众满意度调查法以及数据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对比项目投入的资金成本与所产生的效益（如校舍维修后使用年限延长、安全隐患消除、教学环境改善等可量化或定性的效果），评估资金使用的经济性与有效性，判断资源是否实现最优配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目标比较法：以项目申报时设定的具体目标（如维修改造校舍面积、完成时限、质量标准、受益学生数量等）为基准，将实际完成情况与目标逐一对照，衡量项目是否达到预期产出和效果。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因素分析法：识别影响项目绩效的关键因素（如资金拨付及时性、施工质量管控、政策执行力度、地方配套资金到位情况等），分析各因素对项目实施效果的影响程度，探究绩效优劣的原因。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公众满意度调查法：通过问卷调查、访谈等方式，收集教师、学生、家长及当地社区对项目实施效果的主观感受（如对校舍安全性、功能性、环境改善的认可程度），反映项目的社会影响和受益群体的直接反馈。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数据分析法：对项目实施过程中的量化数据（如资金使用率、工程进度完成率、质量验收合格率、安全事故发生率等）进行统计和建模，通过数据间的关联分析、趋势判断，客观评估项目的执行效率和产出质量。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8D07A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64101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张红兵（评价小组组员）：主要负责资料的收集，取证、数据统计分析；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朱文文（评价小组组员）：主要负责主要负责项目报告的制定，指标的研判，数据分析及报告撰写。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家长、学生、教师。我们根据绩效评价目标和绩效指标体系，设计满意度调查问卷进行问卷调查，其中家长、学生受益对象共选取样本30人，共发放问卷30份，最终收回30份；教师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5481B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0C5EE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呼图壁县第一小学3000平方米地面硬化，新建大门、新建消防水池300立方及30平方米泵房、运动场维修，新增400箱变10KV外网；二十里店小学食堂排污管网改造及校园供水管网改造，安装厕所节水系统；五工台镇小学分校运动场维修、新建围墙、电采暖改造、排水管网维修、更换教室外门等维修改造项目，促进了城乡义务教育学校教育教学的发展，完善了学校校舍日常维修改造质量，改善了农村义务教育基本办学条件，扩大了城镇学位供给，提升了学校办学能力。但在实施过程中也存在一些不足：在资金管理、项目执行及区域均衡等问题仍需通过制度优化、技术赋能与监督强化加以解决。未来需进一步聚焦“精准投放、规范使用、长效维护”，确保中央直达资金真正惠及义务教育薄弱环节，为实现教育优质均衡发展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21个，实现三级指标数量21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11C89B8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E9F71E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14C40B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央财政义务教育补助经费管理办法》（财教〔2021〕56号）中：“明确补助经费用于“义务教育学校校舍及附属设施维修改造、抗震加固”，并规定“中央直达资金标识贯穿资金分配、拨付、使用全环节””，符合国家法律法规、国民经济发展规划和相关政策；本项目立项符合《中华人民共和国国民经济和社会发展第十四个五年规划和2035年远景目标纲要》中提出“推进义务教育优质均衡发展和城乡一体化，加强乡村教师队伍建设，改善乡村学校办学条件”的内容，符合行业发展规划和政策要求；本项目立项符合《呼图壁县教育局单位配置内设机构和人员编制规定》中职责范围中的“参与管理县本级教育经费预决算的管理，会同有关部门筹措教育经费，制定教育基建投资规划、方案；负责本县各级各 类学校的校舍建设及各项配套设施建设；指导、协调家庭经济困 难学生资助管理工作。”属于我单位履职所需；根据《财政资金直接支付申请书》，本项目资金性质为“公共财政预算”功能分类为“其他普通教育支出”经济分类为“大型修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中央财政义务教育补助经费管理办法》（财教〔2021〕56号）及《新疆维吾尔自治区义务教育阶段学校校舍维修改造专项资金管理办法》等文件要求，我单位上报上级资金分配计划及县域学校实际需求，经昌吉州发展和改革委员会审核，下发《关于呼图壁县2024年义务教育农村校舍安全保障长效机制校舍维修改造项目可行性研究报告批复》（呼发改投资〔2024〕118号）批复文件，本项目正式设立。经查看，该项目立项过程产生的相关文件，符合相关要求。本项目为基础建设类项目，属于经常性项目，不涉及事前绩效评估和风险评估，已委托海南原源千管理咨询有限公司编制《2024年义务教育农村校舍安全保障长效机制校舍维修改造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成呼图壁县第一小学3000平方米地面硬化，新建大门、新建消防水池300立方及30平方米泵房、运动场维修，新增400箱变10KV外网；二十里店小学食堂排污管网改造及校园供水管网改造，安装厕所节水系统；五工台镇小学分校运动场维修、新建围墙、电采暖改造、排水管网维修、更换教室外门等维修改造项目，通过项目的实施，促进城乡义务教育学校教育教学的发展，完善学校校舍日常维修改造质量，持续改善农村义务教育基本办学条件，有序扩大城镇学位供给，稳步提升学校办学能力。”；本项目实际工作内容为：该项目实际完成呼图壁县第一小学3000平方米地面硬化，新建大门、新建消防水池300立方及30平方米泵房、运动场维修，新增400箱变10KV外网；二十里店小学食堂排污管网改造及校园供水管网改造，安装厕所节水系统；五工台镇小学分校运动场维修、新建围墙、电采暖改造、排水管网维修、更换教室外门等维修改造项目，通过项目的实施，促进城乡义务教育学校教育教学的发展，完善学校校舍日常维修改造质量，持续改善农村义务教育基本办学条件，有序扩大城镇学位供给，稳步提升学校办学能力。；绩效目标与实际工作内容一致，两者具有相关性;本项目预算申请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促进了城乡义务教育学校教育教学的发展，完善了学校校舍日常维修改造质量，改善了农村义务教育基本办学条件，有序扩大城镇学位供给，提升了学校办学能力，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10个，定量指标9个，定性指标1个，指标量化率为90%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本项目预算编制通过“多轮询价+第三方论证”确保预算合理，即预算编制较科学且经过论证；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完成呼图壁县第一小学3000平方米地面硬化，新建大门、新建消防水池300立方及30平方米泵房、运动场维修，新增400箱变10KV外网；二十里店小学食堂排污管网改造及校园供水管网改造，安装厕所节水系统；五工台镇小学分校运动场维修、新建围墙、电采暖改造、排水管网维修、更换教室外门等维修改造项目，通过项目的实施，促进城乡义务教育学校教育教学的发展，完善学校校舍日常维修改造质量，持续改善农村义务教育基本办学条件，有序扩大城镇学位供给，稳步提升学校办学能力。项目实际内容为完成呼图壁县第一小学3000平方米地面硬化，新建大门、新建消防水池300立方及30平方米泵房、运动场维修，新增400箱变10KV外网；二十里店小学食堂排污管网改造及校园供水管网改造，安装厕所节水系统；五工台镇小学分校运动场维修、新建围墙、电采暖改造、排水管网维修、更换教室外门等维修改造项目，通过项目的实施，促进城乡义务教育学校教育教学的发展，完善学校校舍日常维修改造质量，持续改善农村义务教育基本办学条件，有序扩大城镇学位供给，稳步提升学校办学能力。预算申请与《2024年城乡义务教育补助经费（中央直达资金）（义务段学校校舍维修改造）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我单位在预算申请中严格按照分项成本进行核算，其中呼图壁县第一小学校舍改造费用375万元、二十里店镇小学校舍维修费用89.5万元，五工台镇小学分校校舍维修费用145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经费（中央直达资金）（义务段学校校舍维修改造）项目资金的请示》和《2024年城乡义务教育补助经费（中央直达资金）（义务段学校校舍维修改造）项目实施方案》为依据进行资金分配，预算资金分配依据充分。根据《2024年城乡义务教育补助经费（中央直达资金）（义务段学校校舍维修改造）资金下达文件》文件显示，本项目实际到位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1E2010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2CA91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609.50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细节以及单位资金管理办法》《呼图壁县教育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教育局资金管理办法》《呼图壁县教育局收支业务管理制度》《呼图壁县教育局政府采购业务管理制度》《呼图壁县教育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024年城乡义务教育补助经费（中央直达资金）（义务段学校校舍维修改造）项目工作领导小组，由党组书记李大江任组长，负责项目的组织工作；陈丽华任副组长，负责项目的实施工作；组员包括：安涛和张红兵，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4EDCA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FD0EC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项目产出类指标由3个二级指标和6个三级指标构成，权重分20.0分，实际得分20.0分。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“农村学校校舍维修数量”指标：预期指标值为“&gt;=3所”，实际完成指标值为“=3所”，指标完成率为100.0%。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“收益学校数量”指标：预期指标值为“&gt;=3所”，实际完成指标值为“=3所”，指标完成率为100.0%。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综上所述，本指标满分为8.0分，根据评分标准得8.0分。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“新建或改造校舍验收合格率”指标：预期指标值为“&gt;=100%”，实际完成指标值为“=100%”，指标完成率为100%。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“购置设备的质量合格率”指标：预期指标值为“&gt;=100%”，实际完成指标值为“=100%”，指标完成率为100%。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综上所述，本指标满分为8.0分，根据评分标准得8.0分。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“校舍的改扩建及时率”指标：预期指标值为“&gt;=100%”，实际完成指标值为“=100%”，指标完成率为100%。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“设施设备采购及时率”指标：预期指标值为“&gt;=100%”，实际完成指标值为“=100%”，指标完成率为100%。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“设备款”指标：预期指标值为“&lt;=119.5万元”，实际完成指标值为“=119.5万元”，指标完成率为100%。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“维修费”指标：预期指标值为“&lt;=490万元”，实际完成指标值为“=490万元”，指标完成率为100%。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FFCEA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C87CEF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“推动呼图壁教育均衡发展”指标：预期指标值为“效果显著”，实际完成指标值为“达到预期指标”，指标完成率为100.0%。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9DCFA1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“家长、学生满意度”指标：预期指标值为“&gt;=90%”，实际完成指标值为“=96.67%”，指标完成率为100%。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“教师满意度”指标：预期指标值为“&gt;=90%”，实际完成指标值为“=96.67%”，指标完成率为100%。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4584723A">
      <w:pPr>
        <w:spacing w:line="540" w:lineRule="exact"/>
        <w:ind w:firstLine="567"/>
        <w:rPr>
          <w:rStyle w:val="18"/>
          <w:rFonts w:hint="eastAsia" w:ascii="楷体" w:hAnsi="楷体" w:eastAsia="楷体"/>
          <w:b w:val="0"/>
          <w:bCs w:val="0"/>
          <w:spacing w:val="-4"/>
          <w:sz w:val="32"/>
          <w:szCs w:val="32"/>
        </w:rPr>
      </w:pPr>
    </w:p>
    <w:p w14:paraId="66D000AB">
      <w:pPr>
        <w:spacing w:line="540" w:lineRule="exact"/>
        <w:ind w:firstLine="567"/>
        <w:rPr>
          <w:rStyle w:val="18"/>
          <w:rFonts w:ascii="楷体" w:hAnsi="楷体" w:eastAsia="楷体"/>
          <w:spacing w:val="-4"/>
          <w:sz w:val="32"/>
          <w:szCs w:val="32"/>
        </w:rPr>
      </w:pPr>
    </w:p>
    <w:p w14:paraId="30E0430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C36F06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分层联动保障实施落地：建立“县级统筹—乡镇协同—学校落实”三级工作机制，县级教育局牵头成立专项工作小组，联合财政、住建等部门制定年度维修改造计划，聚焦义务教育薄弱环节精准筛选实施学校；乡镇政府负责协调施工场地、化解周边矛盾，为项目推进创造条件；学校作为具体执行主体，全程参与方案设计、施工监督，确保改造内容贴合实际需求。通过分层联动，形成“政策有解读、任务有分解、责任有落实”的组织体系，有效保障项目有序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规范流程强化质量管控：制定标准化项目管理流程，从前期勘察设计、招投标到施工监管、竣工验收各环节明确操作规范。引入第三方监理机构全程介入施工质量监督，建立“日常巡查+专项检查+不定期抽查”机制，重点把控隐蔽工程、材料质量等关键环节。同时，建立项目进度台账，定期召开推进会协调解决施工难题，确保项目按计划实施。通过规范化管理，实现项目质量与进度双可控，为校舍安全达标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闭环监管确保专款专用：严格落实中央直达资金管理要求，建立“专户存储、单独核算、专款专用”制度，依托财政直达资金监控系统实时追踪资金流向，严禁挪用、超范围支出。在预算编制阶段，通过市场询价、成本论证科学核定维修单价，细化工程量清单；资金拨付时，对照施工进度和验收结果分阶段支付，确保资金使用与项目进度匹配。同时，将绩效目标融入资金管理全过程，强化支出责任和效率意识，保障财政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1.项目管理层面：质量监管存在薄弱环节，少数项目出现维修细节不达标（如墙面粉刷平整度不足、排水管道坡度不符合要求），部分学校竣工验收后发现隐性质量问题。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原因分析：第三方监理机构履职不到位，存在检查频次不足、标准执行宽松等问题；学校作为使用主体，缺乏专业技术人员参与施工监督，隐患排查能力较弱。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2.长效机制层面：后期运维责任落实不到位，个别学校对新维修校舍的日常维护重视不足，出现设施设备过早损耗（如新增门窗因保养不当变形）。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原因分析：项目管理侧重建设阶段，忽视后期运维指导；学校缺乏明确的运维管理制度，师生爱护设施的意识薄弱。</w:t>
      </w:r>
    </w:p>
    <w:p w14:paraId="415BBF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B10314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严格监理机构准入标准，签订细化的监理合同，明确质量违约责任，加强对监理工作的日常考核；组织学校管理人员参加工程质量监管培训，邀请专业技术人员（如建筑工程师）组成志愿监督团队，协助学校开展日常质量巡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项目实施方案中增加运维管理条款，明确学校校长为第一责任人，将校舍维护纳入学校年度工作计划；开展“爱护校园设施”专题教育活动，定期组织运维技术培训（如水电设备保养、墙体保洁），建立设施损坏责任追究制度。</w:t>
      </w:r>
    </w:p>
    <w:p w14:paraId="563A30C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7F363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7124BECC">
      <w:pPr>
        <w:spacing w:line="540" w:lineRule="exact"/>
        <w:ind w:firstLine="567"/>
        <w:rPr>
          <w:rStyle w:val="18"/>
          <w:rFonts w:ascii="仿宋" w:hAnsi="仿宋" w:eastAsia="仿宋"/>
          <w:b w:val="0"/>
          <w:spacing w:val="-4"/>
          <w:sz w:val="32"/>
          <w:szCs w:val="32"/>
        </w:rPr>
      </w:pPr>
    </w:p>
    <w:p w14:paraId="1240D2EA">
      <w:pPr>
        <w:spacing w:line="540" w:lineRule="exact"/>
        <w:ind w:firstLine="567"/>
        <w:rPr>
          <w:rStyle w:val="18"/>
          <w:rFonts w:ascii="仿宋" w:hAnsi="仿宋" w:eastAsia="仿宋"/>
          <w:b w:val="0"/>
          <w:spacing w:val="-4"/>
          <w:sz w:val="32"/>
          <w:szCs w:val="32"/>
        </w:rPr>
      </w:pPr>
    </w:p>
    <w:p w14:paraId="590D3BE2">
      <w:pPr>
        <w:spacing w:line="540" w:lineRule="exact"/>
        <w:ind w:firstLine="567"/>
        <w:rPr>
          <w:rStyle w:val="18"/>
          <w:rFonts w:ascii="仿宋" w:hAnsi="仿宋" w:eastAsia="仿宋"/>
          <w:b w:val="0"/>
          <w:spacing w:val="-4"/>
          <w:sz w:val="32"/>
          <w:szCs w:val="32"/>
        </w:rPr>
      </w:pPr>
    </w:p>
    <w:p w14:paraId="657A5AF4">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385EA9">
        <w:pPr>
          <w:pStyle w:val="12"/>
          <w:jc w:val="center"/>
        </w:pPr>
        <w:r>
          <w:fldChar w:fldCharType="begin"/>
        </w:r>
        <w:r>
          <w:instrText xml:space="preserve">PAGE   \* MERGEFORMAT</w:instrText>
        </w:r>
        <w:r>
          <w:fldChar w:fldCharType="separate"/>
        </w:r>
        <w:r>
          <w:rPr>
            <w:lang w:val="zh-CN"/>
          </w:rPr>
          <w:t>2</w:t>
        </w:r>
        <w:r>
          <w:fldChar w:fldCharType="end"/>
        </w:r>
      </w:p>
    </w:sdtContent>
  </w:sdt>
  <w:p w14:paraId="29F8DF4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B0340FC"/>
    <w:rsid w:val="4D2606A1"/>
    <w:rsid w:val="51830480"/>
    <w:rsid w:val="53A616BE"/>
    <w:rsid w:val="54662BFB"/>
    <w:rsid w:val="62051CA5"/>
    <w:rsid w:val="6C3A69EF"/>
    <w:rsid w:val="740E3A5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13145</Words>
  <Characters>13918</Characters>
  <Lines>4</Lines>
  <Paragraphs>1</Paragraphs>
  <TotalTime>12</TotalTime>
  <ScaleCrop>false</ScaleCrop>
  <LinksUpToDate>false</LinksUpToDate>
  <CharactersWithSpaces>13952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2025-09-22T07:06:12Z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