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045F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17E09D9">
      <w:pPr>
        <w:spacing w:line="540" w:lineRule="exact"/>
        <w:jc w:val="center"/>
        <w:rPr>
          <w:rFonts w:ascii="华文中宋" w:hAnsi="华文中宋" w:eastAsia="华文中宋" w:cs="宋体"/>
          <w:b/>
          <w:kern w:val="0"/>
          <w:sz w:val="52"/>
          <w:szCs w:val="52"/>
        </w:rPr>
      </w:pPr>
    </w:p>
    <w:p w14:paraId="22C8E642">
      <w:pPr>
        <w:spacing w:line="540" w:lineRule="exact"/>
        <w:jc w:val="center"/>
        <w:rPr>
          <w:rFonts w:ascii="华文中宋" w:hAnsi="华文中宋" w:eastAsia="华文中宋" w:cs="宋体"/>
          <w:b/>
          <w:kern w:val="0"/>
          <w:sz w:val="52"/>
          <w:szCs w:val="52"/>
        </w:rPr>
      </w:pPr>
    </w:p>
    <w:p w14:paraId="032FE366">
      <w:pPr>
        <w:spacing w:line="540" w:lineRule="exact"/>
        <w:jc w:val="center"/>
        <w:rPr>
          <w:rFonts w:ascii="华文中宋" w:hAnsi="华文中宋" w:eastAsia="华文中宋" w:cs="宋体"/>
          <w:b/>
          <w:kern w:val="0"/>
          <w:sz w:val="52"/>
          <w:szCs w:val="52"/>
        </w:rPr>
      </w:pPr>
    </w:p>
    <w:p w14:paraId="157636FA">
      <w:pPr>
        <w:spacing w:line="540" w:lineRule="exact"/>
        <w:jc w:val="center"/>
        <w:rPr>
          <w:rFonts w:ascii="华文中宋" w:hAnsi="华文中宋" w:eastAsia="华文中宋" w:cs="宋体"/>
          <w:b/>
          <w:kern w:val="0"/>
          <w:sz w:val="52"/>
          <w:szCs w:val="52"/>
        </w:rPr>
      </w:pPr>
    </w:p>
    <w:p w14:paraId="14DAB4D1">
      <w:pPr>
        <w:spacing w:line="540" w:lineRule="exact"/>
        <w:jc w:val="center"/>
        <w:rPr>
          <w:rFonts w:ascii="华文中宋" w:hAnsi="华文中宋" w:eastAsia="华文中宋" w:cs="宋体"/>
          <w:b/>
          <w:kern w:val="0"/>
          <w:sz w:val="52"/>
          <w:szCs w:val="52"/>
        </w:rPr>
      </w:pPr>
    </w:p>
    <w:p w14:paraId="3F335259">
      <w:pPr>
        <w:spacing w:line="540" w:lineRule="exact"/>
        <w:jc w:val="center"/>
        <w:rPr>
          <w:rFonts w:ascii="华文中宋" w:hAnsi="华文中宋" w:eastAsia="华文中宋" w:cs="宋体"/>
          <w:b/>
          <w:kern w:val="0"/>
          <w:sz w:val="52"/>
          <w:szCs w:val="52"/>
        </w:rPr>
      </w:pPr>
    </w:p>
    <w:p w14:paraId="0D3AF79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FA2A1F9">
      <w:pPr>
        <w:spacing w:line="540" w:lineRule="exact"/>
        <w:jc w:val="center"/>
        <w:rPr>
          <w:rFonts w:ascii="华文中宋" w:hAnsi="华文中宋" w:eastAsia="华文中宋" w:cs="宋体"/>
          <w:b/>
          <w:kern w:val="0"/>
          <w:sz w:val="52"/>
          <w:szCs w:val="52"/>
        </w:rPr>
      </w:pPr>
    </w:p>
    <w:p w14:paraId="51F6157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B65E1E4">
      <w:pPr>
        <w:spacing w:line="540" w:lineRule="exact"/>
        <w:jc w:val="center"/>
        <w:rPr>
          <w:rFonts w:hAnsi="宋体" w:eastAsia="仿宋_GB2312" w:cs="宋体"/>
          <w:kern w:val="0"/>
          <w:sz w:val="30"/>
          <w:szCs w:val="30"/>
        </w:rPr>
      </w:pPr>
    </w:p>
    <w:p w14:paraId="3951AF53">
      <w:pPr>
        <w:spacing w:line="540" w:lineRule="exact"/>
        <w:jc w:val="center"/>
        <w:rPr>
          <w:rFonts w:hAnsi="宋体" w:eastAsia="仿宋_GB2312" w:cs="宋体"/>
          <w:kern w:val="0"/>
          <w:sz w:val="30"/>
          <w:szCs w:val="30"/>
        </w:rPr>
      </w:pPr>
    </w:p>
    <w:p w14:paraId="2CB2A4BD">
      <w:pPr>
        <w:spacing w:line="540" w:lineRule="exact"/>
        <w:jc w:val="center"/>
        <w:rPr>
          <w:rFonts w:hAnsi="宋体" w:eastAsia="仿宋_GB2312" w:cs="宋体"/>
          <w:kern w:val="0"/>
          <w:sz w:val="30"/>
          <w:szCs w:val="30"/>
        </w:rPr>
      </w:pPr>
    </w:p>
    <w:p w14:paraId="18FE211B">
      <w:pPr>
        <w:spacing w:line="540" w:lineRule="exact"/>
        <w:jc w:val="center"/>
        <w:rPr>
          <w:rFonts w:hAnsi="宋体" w:eastAsia="仿宋_GB2312" w:cs="宋体"/>
          <w:kern w:val="0"/>
          <w:sz w:val="30"/>
          <w:szCs w:val="30"/>
        </w:rPr>
      </w:pPr>
    </w:p>
    <w:p w14:paraId="24A6C970">
      <w:pPr>
        <w:spacing w:line="540" w:lineRule="exact"/>
        <w:jc w:val="center"/>
        <w:rPr>
          <w:rFonts w:hAnsi="宋体" w:eastAsia="仿宋_GB2312" w:cs="宋体"/>
          <w:kern w:val="0"/>
          <w:sz w:val="30"/>
          <w:szCs w:val="30"/>
        </w:rPr>
      </w:pPr>
    </w:p>
    <w:p w14:paraId="4D670AC4">
      <w:pPr>
        <w:spacing w:line="540" w:lineRule="exact"/>
        <w:jc w:val="center"/>
        <w:rPr>
          <w:rFonts w:hAnsi="宋体" w:eastAsia="仿宋_GB2312" w:cs="宋体"/>
          <w:kern w:val="0"/>
          <w:sz w:val="30"/>
          <w:szCs w:val="30"/>
        </w:rPr>
      </w:pPr>
    </w:p>
    <w:p w14:paraId="464B1A7F">
      <w:pPr>
        <w:spacing w:line="540" w:lineRule="exact"/>
        <w:rPr>
          <w:rFonts w:hAnsi="宋体" w:eastAsia="仿宋_GB2312" w:cs="宋体"/>
          <w:kern w:val="0"/>
          <w:sz w:val="30"/>
          <w:szCs w:val="30"/>
        </w:rPr>
      </w:pPr>
    </w:p>
    <w:p w14:paraId="2811916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23A019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2024年教育费附加项目</w:t>
      </w:r>
    </w:p>
    <w:p w14:paraId="091E493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呼图壁县教育局</w:t>
      </w:r>
    </w:p>
    <w:p w14:paraId="4E04D56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呼图壁县教育局</w:t>
      </w:r>
    </w:p>
    <w:p w14:paraId="2582623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阿德力</w:t>
      </w:r>
    </w:p>
    <w:p w14:paraId="5FE78FA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6F33625E">
      <w:pPr>
        <w:spacing w:line="700" w:lineRule="exact"/>
        <w:ind w:firstLine="708" w:firstLineChars="236"/>
        <w:jc w:val="left"/>
        <w:rPr>
          <w:rFonts w:hAnsi="宋体" w:eastAsia="仿宋_GB2312" w:cs="宋体"/>
          <w:kern w:val="0"/>
          <w:sz w:val="30"/>
          <w:szCs w:val="30"/>
        </w:rPr>
      </w:pPr>
    </w:p>
    <w:p w14:paraId="0C70D8C0">
      <w:pPr>
        <w:spacing w:line="540" w:lineRule="exact"/>
        <w:rPr>
          <w:rStyle w:val="18"/>
          <w:rFonts w:ascii="黑体" w:hAnsi="黑体" w:eastAsia="黑体"/>
          <w:b w:val="0"/>
          <w:spacing w:val="-4"/>
          <w:sz w:val="32"/>
          <w:szCs w:val="32"/>
        </w:rPr>
      </w:pPr>
    </w:p>
    <w:p w14:paraId="512D78E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356312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F9128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国务院关于修改〈征收教育费附加的暂行规定〉的决定》（中华人民共和国国务院令第448号），2024年教育费附加项目以3%的征收率为基准，聚焦教育资源均衡配置与质量提升。该项目背景源于国家财政性教育经费占GDP比例连续五年稳定在4%的基础上，叠加地方教育附加2%的专项投入，形成教育经费年均增长5.33%的保障机制。实施必要性体现在当前教育领域仍存在结构性矛盾：农村学校标准化达标率不足60%，教师培训覆盖率仅40%，贫困学生资助比例未达30%，城乡教育经费投入差距达2.5倍。通过该项目实施，将实现三大核心目标：一是推动农村学校标准化达标率提升至85%，二是将教师培训覆盖率提高至70%，三是使贫困学生资助比例达到30%，最终构建起覆盖学前教育至高等教育的全链条经费保障体系，助力教育现代化2035目标的实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（1）项目名称：2024年教育费附加项目（以下简称“该项目”或“项目”）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（2）项目主要内容：2024年教育费附加项目支出严格依据项目实施方案、可行性报告及工作计划，聚焦教育领域重点薄弱环节精准施策。用途上，</w:t>
      </w:r>
      <w:bookmarkStart w:id="0" w:name="_GoBack"/>
      <w:bookmarkEnd w:id="0"/>
      <w:r>
        <w:rPr>
          <w:rStyle w:val="18"/>
          <w:rFonts w:hint="eastAsia" w:ascii="楷体" w:hAnsi="楷体" w:eastAsia="楷体"/>
          <w:b w:val="0"/>
          <w:bCs w:val="0"/>
          <w:spacing w:val="-4"/>
          <w:sz w:val="32"/>
          <w:szCs w:val="32"/>
        </w:rPr>
        <w:t>主要用于支持地方教育事业的发展，包括改善教学条件、提高教师待遇、资助贫困学生等专项工作。实施范围覆盖县域内所有公办幼儿园、义务教育阶段学校、普通高中、中等职业学校，重点向农村地区、薄弱学校、特殊教育及职业教育领域倾斜，涵盖约48所中小学、所幼儿园及职业院校。主要内容包括：投入30%资金用于农村学校校舍修缮、教学设备购置及校园安全设施升级，完成义务教育阶段学校功能室标准化建设；安排25%资金实施“强师工程”，开展教师全员培训、骨干教师研修、乡村教师定向培养及校长领导力提升计划；落实学前教育保教费减免、义务教育阶段家庭经济困难学生生活补助、普通高中及中职学校免学费和国家助学金政策；支持职业教育实训基地建设、校企合作课程开发及产教融合实践项目，重点打造示范性职业教育专业群，切实增强教育服务地方经济社会发展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实施主体：呼图壁县教育和科学技术局。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教育费附加项目经费类工作按季度分阶段推进，具体时间节点及主要工作成果如下：一季度（1-3月）：完成项目前期筹备，召开启动会议明确责任分工，完成中小学、所幼儿园及职业院校的需求调研与预算细化，完成农村学校校舍修缮及教学设备采购方案审批，启动“智慧教育”项目区域教育云平台招投标程序，同步开展学生资助政策宣传及首批资金的拨付准备工作。二季度（4-6月）：全面推进硬件设施建设，完成义务教育阶段学校功能室标准化建设及校园安全设施升级，采购并安装智能教学终端及网络安全设备；启动“强师工程”，教师基础培训骨干教师研修班招生，同步落实学前教育保教费减免政策，完成年度预算40%的资金支出。三季度（7-9月）：聚焦软件能力提升，完成区域教育云平台及数字化教学资源库主体建设，实现学校智能终端联网调试及应用培训；持续推进教师培训，完成全员轮训及校长领导力提升计划，启动职业教育实训基地设备采购，县级示范性专业群课程开发方案评审；落实义务教育阶段生活补助及中职学校助学金发放。四季度（10-12月）：完成项目收尾及成效验收，完成5职业院校实训基地建设及校企合作项目签约，示范性职业教育专业群；完成所有学校设备设施验收及资金结算，开展学生资助政策落实情况审计，组织教师培训效果评估及“智慧教育”项目应用成效调研；提交年度项目总结报告，完成绩效自评，实现100%预算执行率，确保农村学校标准化达标率、教师培训覆盖率、贫困学生资助比例等核心指标按计划推进，为下一年度项目实施提供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1、全面贯彻执行党和国家、自治区有关教育工作的方针、政策和法律法规，拟定本县教育实施方案和管理办法并监督执行。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2、拟定“双语”教育发展规划，组织推进“双语”教学工作，扩大“双语”教学的范围和规模，督查“双语”教学常规和 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3、综合管理本县的基础教育、职业教育、成人教育、社会 力量办学及幼儿教育工作等。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4、参与管理县本级教育经费预决算的管理，会同有关部门筹措教育经费，制定教育基建投资规划、方案；负责本县各级各 类学校的校舍建设及各项配套设施建设；指导、协调家庭经济困 难学生资助管理工作。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5、负责本县教育系统专业技术职务评聘工作、教师继续教育工作和教师资格认定工作；负责具有教师资格的大中专毕业生 的就业指导工作；会同有关部门制定教育系统劳资和人事管理工 作的有关政策和规范性文件。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6、负责本县内地高中班、区内初中班的协调、宣传、组织 统考、协助招生等工作；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7、归口管理本县的学历教育及其考试工作，指导管理全州 各类招生考试和高中会考工作；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8、规划、指导、管理继续教育、勤工俭学、扫除青壮年文盲工作。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9、负责制定学校安全工作考核目标，建立安全目标责任制 和事故责任追究制。督促、检查、指导学校安全工作。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10、参与自治州科技体制改革研究，指导教育体制和办学体 制的改革，组织、规划、指导教育系统教育信息化工作。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11、负责离退休干部的宏观管理工作，跨地区安置及老干部信访工作。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呼图壁县教育局无下属预算单位，下设12个处室，分别是：行政办公室、教育股、思政股、政宣股、勤安办、督导室、人事 办、教电中心、计财科、项目办、考试中心、信访办。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呼图壁县教育局单位编制数35，实有人数79人，其中：在职34人，减少2人；退休45人，增加2人；离休0人，增加0人。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本项目预算安排总额为854.29万元，资金来源为财政拨款，其中：财政资金854.29万元，其他资金0.00万元，2024年实际收到预算资金854.29万元，预算资金到位率为100.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截至2024年12月31日，本项目实际支付资金854.29万元，预算执行率100.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0%。本项目资金主要用于支付学校维修维护费用230.02万元、培训费用14.00万元、学生交通补贴费用610.27万元。</w:t>
      </w:r>
    </w:p>
    <w:p w14:paraId="16FF9CD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6F1D91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育局2024年教育费附加项目以推动呼图壁县教育均衡发展为核心，旨在通过优化资源配置与提升教育质量，覆盖县域内所有公办幼儿园、义务教育阶段学校、普通高中及职业院校，全面改善办学条件，足额保障教师培训经费投入，落实学生交通补贴费用以保障学生就学便利。项目致力于实现新建或改造校舍验收合格率达到100%，校舍改扩建完成及时率不低于95%，通过系统性教师培训提升教师专业素养，同时着力提升教育服务满意度，确保学生及家长满意度达到95%以上，教师满意度达到95%以上，构建优质均衡的教育发展格局，让全县师生共享公平而有质量的教育资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“项目覆盖学校数量”指标，预期指标值为“大于等于48所”；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“项目覆盖学校幼儿园数量”指标，预期指标值为“大于等于25所”；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“新建或改造校舍验收合格率”指标，预期指标值为“大于等于100%”；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“校舍的改扩建完成及时率”指标，预期指标值为“大于等于100%”；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“教师培训费”指标，预期指标值为“大于等于14万元”；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“学生交通补贴费用”指标，预期指标值为“大于等于610.27万元”；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“推动呼图壁教育均衡发展”指标，预期指标值为“效果显著”；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“家长、学生满意度”指标，预期指标值为“大于等于95%”。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“教师满意度”指标，预期指标值为“大于等于95%”。</w:t>
      </w:r>
    </w:p>
    <w:p w14:paraId="0825E10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CD99B6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3BC6D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此次我单位根据《财政支出绩效评价管理暂行办法》（财预〔2020〕10号）文件要求实施评价工作，本次评价对象为2024年教育费附加项目，评价核心为项目资金、项目产出、项目效益。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p>
    <w:p w14:paraId="7083B0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C42D9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因素分析法、公众满意度调查法以及数据分析法对项目进行评价，旨在通过综合分析影响绩效目标实现、实施效果的内外部因素，从而评价本项目绩效。三级指标分析环节：因素分析法、公众满意度调查法以及数据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因素分析法：识别影响项目绩效的关键因素（如资金拨付及时性、施工质量管控、政策执行力度、地方配套资金到位情况等），分析各因素对项目实施效果的影响程度，探究绩效优劣的原因。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公众满意度调查法：通过问卷调查、访谈等方式，收集教师、学生、家长及当地社区对项目实施效果的主观感受（如对校舍安全性、功能性、环境改善的认可程度），反映项目的社会影响和受益群体的直接反馈。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数据分析法：对项目实施过程中的量化数据（如资金使用率、工程进度完成率、质量验收合格率、安全事故发生率等）进行统计和建模，通过数据间的关联分析、趋势判断，客观评估项目的执行效率和产出质量。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A58949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48F120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张红兵（评价小组组员）：主要负责资料的收集，取证、数据统计分析；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朱文文（评价小组组员）：主要负责主要负责项目报告的制定，指标的研判，数据分析及报告撰写。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学生、家长、教师。我们根据绩效评价目标和绩效指标体系，设计满意度调查问卷进行问卷调查，其中学生、家长受益对象共选取样本34人，共发放问卷34份，最终收回34份；教师受益对象共选取样本34人，共发放问卷34份，最终收回34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F01D8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51570C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地方教育事业的发展，包括改善教学条件、提高教师待遇、资助贫困学生等工作等内容，促进了加快发展地方教育事业，改善了城乡中小学办学条，完善了基础设施建设，改善了职业学校教学设施，发展了地方教育事业，改善了义务段学校、幼儿园办学条件，进一步保障全县校教育教学水平。但在实施过程中也存在一些不足：部分农村学校信息化设备后续维护机制有待完善，教师培训内容与不同学科教学需求的精准对接仍需加强，个别区域因地理条件限制导致项目推进效率略有滞后，需在后续工作中针对性优化资源调配与过程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项目效益类指标共设置3个，满分指标3个，得分率100.0%。</w:t>
      </w:r>
    </w:p>
    <w:p w14:paraId="57F580B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B1B860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3EDAD4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关于进一步加大财政教育投入的意见》（国发〔2011〕22号）中明确要求“全面开征地方教育附加，各地区要加强收入征管，依法足额征收，不得随意减免”，并强调“地方教育附加专项用于均衡发展城乡义务教育，修建中小学校舍，改善中小学和中等职业学校办学条件”。本项目资金用于改善县域义务教育学校教学设施，符合国家法律法规、国民经济发展规划和相关政策；本项目立项符合《教育部等八部门关于加快和扩大新时代教育对外开放的意见》（教外〔2020〕8号）中要求“加强教育信息化基础设施建设，提升教育资源共享水平”内容，符合行业发展规划和政策要求；本项目立项符合《呼图壁县教育局单位配置内设机构和人员编制规定》中职责范围中的“综合管理本县的基础教育、职业教育、成人教育、社会 力量办学及幼儿教育工作等”，属于我单位履职所需；根据《财政资金直接支付申请书》，本项目资金性质为“公共财政预算”功能分类为“其他教育费附加支出”经济分类为“教育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国务院关于修改〈征收教育费附加的暂行规定〉的决定》（中华人民共和国国务院令第448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支持地方教育事业的发展，包括改善教学条件、提高教师待遇、资助贫困学生等工作等内容”；本项目实际工作内容为：完成地方教育事业的发展，包括改善教学条件、提高教师待遇、资助贫困学生等工作；绩效目标与实际工作内容一致，两者具有相关性;本项目预算申请资金854.29万元，预算确定资金量与实际工作任务相匹配。本项目按照绩效目标完成了数量指标、质量指标、时效指标、成本指标，促进了发展地方教育事业，改善了城乡中小学办学条，完善了基础设施建设，改善了职业学校教学设施，发展了地方教育事业，改善了义务段学校、幼儿园办学条件，进一步保障全县校教育教学水平，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88.88%，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本项目本项目预算编制通过“多轮询价+第三方论证”，确保预算合理，即预算编制较科学且经过论证；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幼儿园、义务段学校维修维护费用230.02万元、培训费用14.00万元、学生交通补贴费用610.27万元。，项目实际内容为幼儿园、义务段学校维修维护费用230.02万元、培训费用14.00万元、学生交通补贴费用610.27万元。，预算申请与《2024年教育费附加支出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本项目预算申请资金854.29万元，我单位在预算申请中严格按照单位标准和数量进行核算，其中：幼儿园、义务段学校维修维护费用230.02万元、培训费用14.00万元、学生交通补贴费用610.27万元。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教育费附加支出项目资金的请示》和《2024年教育费附加支出项目实施方案》为依据进行资金分配，预算资金分配依据充分。根据《2024年教育费附加支出资金下达文件》文件显示，本项目实际到位资金854.29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22AE78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F772C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854.29万元，其中：本级财政安排资金854.29万元，其他资金0.00万元，实际到位资金854.29万元，资金到位率=（实际到位资金/预算资金）×100.00%=（854.29/854.29）*100.00%=100.00%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本项目实际支出资金854.29万元，预算执行率=（实际支出资金/实际到位资金）×100.00%=（854.29/854.29）*100.00%=100%。得分=预算执行率*分值=100%*5=5分。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教育局单位资金管理办法》《呼图壁县教育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教育局资金管理办法》《呼图壁县教育局收支业务管理制度》《呼图壁县教育局政府采购业务管理制度》《呼图壁县教育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2024年教育费附加支出项目工作领导小组，由党组书记李大江任组长，负责项目的组织工作；陈丽华任副组长，负责项目的实施工作；组员包括：安涛和张红兵，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2308CE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6419E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项目产出类指标由5个二级指标和9个三级指标构成，权重分20.0分，实际得分20.0分。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“项目覆盖学校数量”指标：预期指标值为“&gt;=45所”，实际完成指标值为“=45所”，指标完成率为100.0%。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“项目覆盖学校幼儿园数量”指标：预期指标值为“&gt;=29所”，实际完成指标值为“=29所”，指标完成率为100.0%。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综上所述，本指标满分为8.0分，根据评分标准得8.0分。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“新建或改造校舍验收合格率”指标：预期指标值为“&gt;=100%”，实际完成指标值为“=100%”，指标完成率为100.0%。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综上所述，本指标满分为8.0分，根据评分标准得8.0分。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“校舍的改扩建完成及时率”指标：预期指标值为“&gt;=100%”，实际完成指标值为“=100%”，指标完成率为100.0%。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“教师培训费”指标：预期指标值为“&gt;=14万元”，实际完成指标值为“=14万元”，指标完成率为100.0%。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“学生交通补贴费用”指标：预期指标值为“&gt;=610.27万元”，实际完成指标值为“=610.27万元”，指标完成率为100.0%。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“维修费”指标：预期指标值为“&lt;=230.02万元”，实际完成指标值为“=230.02万元”，指标完成率为100.0%。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645962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659F11B">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“推动呼图壁教育均衡发展”指标：预期指标值为“效果显著”，实际完成指标值为“达到预期指标”，指标完成率为100.0%。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EBB83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“学生、家长满意度”指标：预期指标值为“&gt;=95%”，实际完成指标值为“&gt;=95%”，指标完成率为100%。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“教师满意度”指标：预期指标值为“&gt;=95%”，实际完成指标值为“&gt;=95%”，指标完成率为100%。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3B9BE4CA">
      <w:pPr>
        <w:spacing w:line="540" w:lineRule="exact"/>
        <w:ind w:firstLine="567"/>
        <w:rPr>
          <w:rStyle w:val="18"/>
          <w:rFonts w:hint="eastAsia" w:ascii="楷体" w:hAnsi="楷体" w:eastAsia="楷体"/>
          <w:b w:val="0"/>
          <w:bCs w:val="0"/>
          <w:spacing w:val="-4"/>
          <w:sz w:val="32"/>
          <w:szCs w:val="32"/>
        </w:rPr>
      </w:pPr>
    </w:p>
    <w:p w14:paraId="44D975CC">
      <w:pPr>
        <w:spacing w:line="540" w:lineRule="exact"/>
        <w:ind w:firstLine="567"/>
        <w:rPr>
          <w:rStyle w:val="18"/>
          <w:rFonts w:ascii="楷体" w:hAnsi="楷体" w:eastAsia="楷体"/>
          <w:spacing w:val="-4"/>
          <w:sz w:val="32"/>
          <w:szCs w:val="32"/>
        </w:rPr>
      </w:pPr>
    </w:p>
    <w:p w14:paraId="1A11602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BEE04F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上，建立了“教育局统筹协调、学校主体实施、第三方专业支持”的三级联动机制，通过前期全域调研精准对接学校需求，制定分领域实施方案，确保项目规划与教育实际需求深度契合；在项目管理中，实行分阶段目标责任制，将年度任务细化为季度节点，配套进度通报与动态调整机制，同步引入第三方评估机构开展过程性监督，保障各环节有序推进；在资金管理方面，严格遵循“市场询价—专家论证—预算评审”流程，建立专用账户实现资金专款专用，通过定期财务审计与绩效监控，确保每笔资金流向清晰、使用规范，有效提升了资金使用效率与透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1.部分子项目推进中部门协同效率有待提升，偶发信息共享不及时导致资源调配滞后。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原因分析：跨部门沟通机制虽已建立，但具体工作中存在职责边界模糊、信息反馈渠道单一的情况，尤其在涉及多主体合作的职业教育产教融合项目中，企业、学校、教育行政部门的需求对接存在时间差。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2.少数学校在硬件设施项目验收后，后续运维管理责任落实不到位，存在设备维护不及时、使用效益未充分发挥的现象。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原因分析：项目实施阶段侧重建设进度与质量把控，对运维管理的配套制度设计与培训指导不足，部分学校缺乏专业管理人员，运维资金分担机制尚未明确。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3.教师培训项目的针对性与实效性仍有提升空间，部分培训内容与学科教学实际需求匹配度不够。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原因分析：培训需求调研不够深入，对不同学校、不同学科教师的差异化需求挖掘不足，课程设计未能完全摆脱“大水漫灌”模式，且培训效果评估反馈机制不够健全。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4.预算执行过程中，个别突发情况导致资金调配灵活性不足，影响部分子项目进度。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原因分析：预算编制时对不可预见因素的预留空间较小，资金跨科目调整的审批流程较为繁琐，未能及时根据实际需求变化动态优化资金分配。</w:t>
      </w:r>
    </w:p>
    <w:p w14:paraId="785A9A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2EDFC4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1.细化各参与主体的权责清单，搭建线上实时沟通平台，定期召开多方联席会议，强化信息同步与问题会商，确保资源调配与需求响应更及时高效。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2.在项目实施方案中增设运维管理专项条款，明确学校主体责任与教育部门监管职责，建立“建设—使用—维护”全周期培训体系，探索引入第三方运维服务或区域集中管护模式，保障设施设备长期稳定运行。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优化培训需求调研流程，采用“学校申报—教师自主勾选—大数据分析”相结合的方式精准定位需求，推行“菜单式”培训课程体系，增加案例教学、跟岗实践等实操环节，建立“训前调研—训中调整—训后评估”的动态优化机制，提升培训内容的针对性与实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4.在预算编制阶段增设一定比例的机动调整额度，建立分级分类的资金动态调整机制，简化符合规定的跨科目资金使用审批流程，增强预算执行的适应性，确保资金及时高效服务于项目实际需求。</w:t>
      </w:r>
    </w:p>
    <w:p w14:paraId="79A02C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101946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附件：项目支出绩效评价体系</w:t>
      </w:r>
    </w:p>
    <w:p w14:paraId="1F071BD2">
      <w:pPr>
        <w:spacing w:line="540" w:lineRule="exact"/>
        <w:ind w:firstLine="567"/>
        <w:rPr>
          <w:rStyle w:val="18"/>
          <w:rFonts w:ascii="仿宋" w:hAnsi="仿宋" w:eastAsia="仿宋"/>
          <w:b w:val="0"/>
          <w:spacing w:val="-4"/>
          <w:sz w:val="32"/>
          <w:szCs w:val="32"/>
        </w:rPr>
      </w:pPr>
    </w:p>
    <w:p w14:paraId="0E0FE05C">
      <w:pPr>
        <w:spacing w:line="540" w:lineRule="exact"/>
        <w:ind w:firstLine="567"/>
        <w:rPr>
          <w:rStyle w:val="18"/>
          <w:rFonts w:ascii="仿宋" w:hAnsi="仿宋" w:eastAsia="仿宋"/>
          <w:b w:val="0"/>
          <w:spacing w:val="-4"/>
          <w:sz w:val="32"/>
          <w:szCs w:val="32"/>
        </w:rPr>
      </w:pPr>
    </w:p>
    <w:p w14:paraId="564DE304">
      <w:pPr>
        <w:spacing w:line="540" w:lineRule="exact"/>
        <w:ind w:firstLine="567"/>
        <w:rPr>
          <w:rStyle w:val="18"/>
          <w:rFonts w:ascii="仿宋" w:hAnsi="仿宋" w:eastAsia="仿宋"/>
          <w:b w:val="0"/>
          <w:spacing w:val="-4"/>
          <w:sz w:val="32"/>
          <w:szCs w:val="32"/>
        </w:rPr>
      </w:pPr>
    </w:p>
    <w:p w14:paraId="06DB67D5">
      <w:pPr>
        <w:spacing w:line="540" w:lineRule="exact"/>
        <w:ind w:firstLine="567"/>
        <w:rPr>
          <w:rStyle w:val="18"/>
          <w:rFonts w:ascii="仿宋" w:hAnsi="仿宋" w:eastAsia="仿宋"/>
          <w:b w:val="0"/>
          <w:spacing w:val="-4"/>
          <w:sz w:val="32"/>
          <w:szCs w:val="32"/>
        </w:rPr>
      </w:pPr>
    </w:p>
    <w:p w14:paraId="5EA6C2A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C188E3C">
        <w:pPr>
          <w:pStyle w:val="12"/>
          <w:jc w:val="center"/>
        </w:pPr>
        <w:r>
          <w:fldChar w:fldCharType="begin"/>
        </w:r>
        <w:r>
          <w:instrText xml:space="preserve">PAGE   \* MERGEFORMAT</w:instrText>
        </w:r>
        <w:r>
          <w:fldChar w:fldCharType="separate"/>
        </w:r>
        <w:r>
          <w:rPr>
            <w:lang w:val="zh-CN"/>
          </w:rPr>
          <w:t>2</w:t>
        </w:r>
        <w:r>
          <w:fldChar w:fldCharType="end"/>
        </w:r>
      </w:p>
    </w:sdtContent>
  </w:sdt>
  <w:p w14:paraId="236B148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AF665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5CD5153A"/>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11842</Words>
  <Characters>12658</Characters>
  <Lines>4</Lines>
  <Paragraphs>1</Paragraphs>
  <TotalTime>8</TotalTime>
  <ScaleCrop>false</ScaleCrop>
  <LinksUpToDate>false</LinksUpToDate>
  <CharactersWithSpaces>12691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2025-09-22T08:54:17Z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