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DCB4C1">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50832CFD">
      <w:pPr>
        <w:spacing w:line="540" w:lineRule="exact"/>
        <w:jc w:val="center"/>
        <w:rPr>
          <w:rFonts w:ascii="华文中宋" w:hAnsi="华文中宋" w:eastAsia="华文中宋" w:cs="宋体"/>
          <w:b/>
          <w:kern w:val="0"/>
          <w:sz w:val="52"/>
          <w:szCs w:val="52"/>
        </w:rPr>
      </w:pPr>
    </w:p>
    <w:p w14:paraId="2C13716E">
      <w:pPr>
        <w:spacing w:line="540" w:lineRule="exact"/>
        <w:jc w:val="center"/>
        <w:rPr>
          <w:rFonts w:ascii="华文中宋" w:hAnsi="华文中宋" w:eastAsia="华文中宋" w:cs="宋体"/>
          <w:b/>
          <w:kern w:val="0"/>
          <w:sz w:val="52"/>
          <w:szCs w:val="52"/>
        </w:rPr>
      </w:pPr>
    </w:p>
    <w:p w14:paraId="70408692">
      <w:pPr>
        <w:spacing w:line="540" w:lineRule="exact"/>
        <w:jc w:val="center"/>
        <w:rPr>
          <w:rFonts w:ascii="华文中宋" w:hAnsi="华文中宋" w:eastAsia="华文中宋" w:cs="宋体"/>
          <w:b/>
          <w:kern w:val="0"/>
          <w:sz w:val="52"/>
          <w:szCs w:val="52"/>
        </w:rPr>
      </w:pPr>
    </w:p>
    <w:p w14:paraId="14217822">
      <w:pPr>
        <w:spacing w:line="540" w:lineRule="exact"/>
        <w:jc w:val="center"/>
        <w:rPr>
          <w:rFonts w:ascii="华文中宋" w:hAnsi="华文中宋" w:eastAsia="华文中宋" w:cs="宋体"/>
          <w:b/>
          <w:kern w:val="0"/>
          <w:sz w:val="52"/>
          <w:szCs w:val="52"/>
        </w:rPr>
      </w:pPr>
    </w:p>
    <w:p w14:paraId="656A3EC4">
      <w:pPr>
        <w:spacing w:line="540" w:lineRule="exact"/>
        <w:jc w:val="center"/>
        <w:rPr>
          <w:rFonts w:ascii="华文中宋" w:hAnsi="华文中宋" w:eastAsia="华文中宋" w:cs="宋体"/>
          <w:b/>
          <w:kern w:val="0"/>
          <w:sz w:val="52"/>
          <w:szCs w:val="52"/>
        </w:rPr>
      </w:pPr>
    </w:p>
    <w:p w14:paraId="064D3DF4">
      <w:pPr>
        <w:spacing w:line="540" w:lineRule="exact"/>
        <w:jc w:val="center"/>
        <w:rPr>
          <w:rFonts w:ascii="华文中宋" w:hAnsi="华文中宋" w:eastAsia="华文中宋" w:cs="宋体"/>
          <w:b/>
          <w:kern w:val="0"/>
          <w:sz w:val="52"/>
          <w:szCs w:val="52"/>
        </w:rPr>
      </w:pPr>
    </w:p>
    <w:p w14:paraId="75BAAA0C">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24DA436">
      <w:pPr>
        <w:spacing w:line="540" w:lineRule="exact"/>
        <w:jc w:val="center"/>
        <w:rPr>
          <w:rFonts w:ascii="华文中宋" w:hAnsi="华文中宋" w:eastAsia="华文中宋" w:cs="宋体"/>
          <w:b/>
          <w:kern w:val="0"/>
          <w:sz w:val="52"/>
          <w:szCs w:val="52"/>
        </w:rPr>
      </w:pPr>
    </w:p>
    <w:p w14:paraId="4C1FD02B">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3A941694">
      <w:pPr>
        <w:spacing w:line="540" w:lineRule="exact"/>
        <w:jc w:val="center"/>
        <w:rPr>
          <w:rFonts w:hAnsi="宋体" w:eastAsia="仿宋_GB2312" w:cs="宋体"/>
          <w:kern w:val="0"/>
          <w:sz w:val="30"/>
          <w:szCs w:val="30"/>
        </w:rPr>
      </w:pPr>
    </w:p>
    <w:p w14:paraId="07BB33C0">
      <w:pPr>
        <w:spacing w:line="540" w:lineRule="exact"/>
        <w:jc w:val="center"/>
        <w:rPr>
          <w:rFonts w:hAnsi="宋体" w:eastAsia="仿宋_GB2312" w:cs="宋体"/>
          <w:kern w:val="0"/>
          <w:sz w:val="30"/>
          <w:szCs w:val="30"/>
        </w:rPr>
      </w:pPr>
    </w:p>
    <w:p w14:paraId="787ACA9A">
      <w:pPr>
        <w:spacing w:line="540" w:lineRule="exact"/>
        <w:jc w:val="center"/>
        <w:rPr>
          <w:rFonts w:hAnsi="宋体" w:eastAsia="仿宋_GB2312" w:cs="宋体"/>
          <w:kern w:val="0"/>
          <w:sz w:val="30"/>
          <w:szCs w:val="30"/>
        </w:rPr>
      </w:pPr>
    </w:p>
    <w:p w14:paraId="3BFD31FC">
      <w:pPr>
        <w:spacing w:line="540" w:lineRule="exact"/>
        <w:jc w:val="center"/>
        <w:rPr>
          <w:rFonts w:hAnsi="宋体" w:eastAsia="仿宋_GB2312" w:cs="宋体"/>
          <w:kern w:val="0"/>
          <w:sz w:val="30"/>
          <w:szCs w:val="30"/>
        </w:rPr>
      </w:pPr>
    </w:p>
    <w:p w14:paraId="2B866952">
      <w:pPr>
        <w:spacing w:line="540" w:lineRule="exact"/>
        <w:jc w:val="center"/>
        <w:rPr>
          <w:rFonts w:hAnsi="宋体" w:eastAsia="仿宋_GB2312" w:cs="宋体"/>
          <w:kern w:val="0"/>
          <w:sz w:val="30"/>
          <w:szCs w:val="30"/>
        </w:rPr>
      </w:pPr>
    </w:p>
    <w:p w14:paraId="36C6D231">
      <w:pPr>
        <w:spacing w:line="540" w:lineRule="exact"/>
        <w:jc w:val="center"/>
        <w:rPr>
          <w:rFonts w:hAnsi="宋体" w:eastAsia="仿宋_GB2312" w:cs="宋体"/>
          <w:kern w:val="0"/>
          <w:sz w:val="30"/>
          <w:szCs w:val="30"/>
        </w:rPr>
      </w:pPr>
    </w:p>
    <w:p w14:paraId="44EAE6C9">
      <w:pPr>
        <w:spacing w:line="540" w:lineRule="exact"/>
        <w:rPr>
          <w:rFonts w:hAnsi="宋体" w:eastAsia="仿宋_GB2312" w:cs="宋体"/>
          <w:kern w:val="0"/>
          <w:sz w:val="30"/>
          <w:szCs w:val="30"/>
        </w:rPr>
      </w:pPr>
    </w:p>
    <w:p w14:paraId="3E5F91DD">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D58A280">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2024年运转经费项目</w:t>
      </w:r>
    </w:p>
    <w:p w14:paraId="1B5E34EC">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呼图壁县机关事务服务中心</w:t>
      </w:r>
    </w:p>
    <w:p w14:paraId="5F079C27">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呼图壁县机关事务服务中心</w:t>
      </w:r>
    </w:p>
    <w:p w14:paraId="171A7927">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邢亚男</w:t>
      </w:r>
    </w:p>
    <w:p w14:paraId="5AA49EEF">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2025年06月15日</w:t>
      </w:r>
    </w:p>
    <w:p w14:paraId="31DC6327">
      <w:pPr>
        <w:spacing w:line="700" w:lineRule="exact"/>
        <w:ind w:firstLine="708" w:firstLineChars="236"/>
        <w:jc w:val="left"/>
        <w:rPr>
          <w:rFonts w:hAnsi="宋体" w:eastAsia="仿宋_GB2312" w:cs="宋体"/>
          <w:kern w:val="0"/>
          <w:sz w:val="30"/>
          <w:szCs w:val="30"/>
        </w:rPr>
      </w:pPr>
    </w:p>
    <w:p w14:paraId="13C78350">
      <w:pPr>
        <w:spacing w:line="540" w:lineRule="exact"/>
        <w:rPr>
          <w:rStyle w:val="18"/>
          <w:rFonts w:ascii="黑体" w:hAnsi="黑体" w:eastAsia="黑体"/>
          <w:b w:val="0"/>
          <w:spacing w:val="-4"/>
          <w:sz w:val="32"/>
          <w:szCs w:val="32"/>
        </w:rPr>
      </w:pPr>
    </w:p>
    <w:p w14:paraId="5C520EE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086E7683">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57F9769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 呼图壁县机关事务管理局 2024 年运转工作经费项目的设立，主要依 据《2024 年呼图壁县委财经委员会第一次会议纪要》（呼党财【2024】 1 号）文件精神，旨在进一步规范机关运行保障、提升服务效能。当前，随 着县域经济增速及机关业务量同比增加，现有公用类经费已难以覆盖信息 化设备更新、节能改造及日常运维等刚性需求，亟需专项经费支撑。项目 实施将确保机关事务高效运转，目标包括：年内完成办公用房管理、公务 用车管理、公共机构节能。通过该项目的实施，推进公共机构节能改造， 推进绿色机关日常监管，组织专业队伍对用能系统和设备进行调节、巡视， 优化资源配置、合规性，提高资产使用效率、维护资产安全并实现服务满 意度提升至 95%以上，为全县行政效能优化提供坚实保障。 2.主要内容 （1）项目名称：2024 年运转经费项目（以下简称“该项目”或“项 目”） （2）项目主要内容：本项目实际支付资金 502.58 万元，预算执行率 99.68%。本项目资金主要用于支付办公费费用 81.34 万元、广告印刷费用 3.95 万元、电费费用 14.88 万元、邮电费费用 5.28 万元、维修（护）费 费用 135.43 万元、公务接待费费用 24.66 万元、劳务费费用 190.97 万元、 委托业务费费用 13.3 万元及资本性支出费用 32.77 万元等。 3.实施情况 实施主体：呼图壁县机关事务管理局。实施时间：本项目实施周期为 2024 年 1 月-2024 年 12 月。 实施情况：呼图壁县机关事务管理局 2024 年运转工作经费项目于 2024 年 12 月顺利完成公务接待、国有资产管理统计及公共机构能耗统计 等重点工作，累计规范接待上级部门各类检查、调查等 110 余批次、2200 余人，坚持勤俭节约过紧日子的思想；完成全县行政事业单位国有资产统 计，依法依规做好国有经营性资产评估、招租工作，盘活闲置资产，已租 赁国有经营性资产 19 处，共收缴租金 167715 元；同时，通过能耗监测平 台升级，实现公共机构能耗数据实时采集，联合发改委等 10 家单位开展 了全国节能宣传周、低碳日宣传活动，发放宣传资料 500 余份、环保购物 袋等宣传品700余份。督促8家县直机关食堂完成了食品经营许可证办理。 项目实施过程中，通过专项经费精准保障、分阶段推进和动态督导，有效 提升了机关事务管理的规范化、信息化水平，为全县行政运行高效节能提 供了有力支撑。 4.项目实施主体 （1）主要职能 负责县级机关的管理、保障、服务工作。负责拟订接待工作的有关制 度、规定和接待服务标 准；承办县四套班子的重大接待服务工作；负责 县级机关办公场所会议室管理；负责县机关食堂的管理工作。负责县级机 关办公场所的环境卫生、庭院绿化、安全保卫、公用设施管理等工作。负 责县级机关基本建设管理。负责县级机关、事业单位、社会团体有关节约 能源 监督管理工作。承办县委、县人民政府交办的其他事项。 （2）机构设置情况 呼图壁县机关事务服务中心下设 3 个科室，分别是：行政办、接待办、财务室。编制数 11 人，实有人数 10 人，其中：在职 9 人，调出 3 人，调 入 2 人； 退休 1 人，；离休 0 人，增减 0 人。 5.资金投入和使用情况 （1）项目资金安排落实、总投入等情况分析 本项目预算安排总额为 502.58 万元，资金来源为 502.58 万元，其中： 财政资金 502.58 万元，其他资金 0.00 万元，2024 年实际收到预算资金 502.58 万元，预算资金到位率为 100%。 （2）项目资金实际使用情况分析 截至 2024 年 12 月 31 日，本项目实际支付资金 502.58 万元，预算执 行率 100%。本项目资金主要用于支付办公费费用 81.34 万元、广告印刷 费用 3.95 万元、电费费用 14.88 万元、邮电费费用 5.28 万元、维修（护） 费费用 135.43 万元、公务接待费费用 24.66 万元、劳务费费用 190.97 万元、委托业务费费用 13.3 万元及资本性支出费用 32.77 万元等。</w:t>
      </w:r>
    </w:p>
    <w:p w14:paraId="117334E6">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6A6C2FF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 该项目的总体目标是通过开展 4 次节能宣传活动、保障 17 辆车辆高 效运转、确保公房信息上报完成率达到 100%，全面推进公共机构节能改 造和绿色机关日常监管，组织专业队伍对用能系统和设备进行科学调节与 巡视，进一步优化资源配置并确保合规性，从而提升资产使用效率并维护 资产安全，提升机关事务管理的规范化、信息化水平，最终为呼图壁县行 政效能的整体优化、行政运行高效节能提供坚实支撑和保障。 2.阶段性目标 根据《中华人民共和国预算法》、《财政支出绩效评价管理暂行办法》（财预〔2020〕10 号）、《中共中央国务院关于全面实施预算绩效管理 的意见》（中发〔2018〕34 号）、《自治区党委自治区人民政府关于全 面实施预算绩效管理的实施意见》（新党发〔2018〕30 号）、《自治区 财政支出绩效评价管理暂行办法》（新财预〔2018〕189 号）的规定，结 合我单位的规章制度以及项目实施和财务相关资料，评价小组对项目绩效 指标进行了进一步的完善，完善后绩效指标如下： （1）项目产出指标 ①数量指标 “节能宣传活动”指标，预期指标值为“大于等于 4 次”； “保障车辆数量”指标，预期指标值为“等于 17 辆”； ②质量指标 “公房信息上报完成率”指标，预期指标值为“等于 100%”； ③时效指标 “公务人员接待及时率”指标，预期指标值为“等于 100%”； （2）项目成本指标指标 ①经济成本指标 “车辆保养标准”指标，预期指标值为“等于 16000 元/辆/年”； ②社会成本指标 无此类指标。 ③生态环境成本指标 无此类指标。 （3）项目效益指标 ①经济效益指标“稳步推进“节约型机关”建设，确保机关建设节能环保”指标，预 期指标值为“效果显著”； ②社会效益指标 无此类指标。 ③生态效益指标 无此类指标。 （4）项目满意度指标 ①满意度指标 “被接待公务人员满意度”指标，预期指标值为“大于等于 95%”。</w:t>
      </w:r>
    </w:p>
    <w:p w14:paraId="08E18FA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60ED5171">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2B43584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（一）绩效评价的目的、对象和范围 1.绩效评价的目的 本次绩效评价遵循财政部《项目支出绩效评价管理办法》（财预〔2020〕 10 号）和自治区财政厅《自治区财政支出绩效评价管理暂行办法》（新 财预〔2018〕189 号）等相关政策文件与规定，旨在评价财政项目实施前 期、过程及效果，评价财政预算资金使用的效率及效益。通过绩效评价， 促进本单位总结经验、发现问题、改进工作，旨在评价本项目前期审批、 实施过程及实施效果，促进预算管理不断完善，加快绩效目标的实现，保 证财政资金有效、合理使用。 2.绩效评价对象 此次我单位根据《财政支出绩效评价管理暂行办法》（财预〔2020〕 10 号）文件要求实施评价工作，本次评价对象为 2024 年运转经费项目， 评价核心为项目资金、项目产出、项目效益。3.绩效评价范围 本次绩效评价主要围绕项目资金使用情况和财务管理状况；资产配 置、使用、处置及其收益管理情况；项目管理相关制度及措施是否被认真 执行；绩效目标的实现程度（包括是否达到预定产出和效果）等方面进行 综合绩效评价。 4.绩效评价依据 (1) 《中华人民共和国预算法》； (2) 《中共中央国务院关于全面实施预算绩效管理的意见》（中发 〔2018〕34 号）； (3) 《项目支出绩效评价管理办法》（财预〔2020〕10 号）； (4) 《自治区财政支出绩效评价管理暂行办法》（新财预〔2018〕 189 号）； (5) 《关于拨付 2024 年工作经费的请示》</w:t>
      </w:r>
    </w:p>
    <w:p w14:paraId="4F818FB9">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5D2B622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 依据《中华人民共和国预算法》《中共 中央国务院关于全面实施预 算绩效管理的意见》（中发〔2018〕34 号）、《项目支出绩效评价管理 办法》（财预〔2020〕10 号）等要求，本次绩效评价秉承科学规范、公 正公开、分级分类、绩效相关等原则，按照从投入、过程到产出效果和影 响的绩效逻辑路径，通过绩效评价反思项目实施和管理中的问题，总结经 验和教训，为提升财政资金使用效益，提供可行性参考建议。绩效评价应 遵循如下原则： （1）科学公正。绩效评价应当运用科学合理的方法，按照规范的程序，对项目绩效进行客观、公正的反映。 （2）统筹兼顾。单位自评、部门评价和财政评价应职责明确，各有 侧重，相互衔接。单位自评应由项目单位自主实施，即“谁支出、谁自评”。 部门评价和财政评价应在单位自评的基础上开展，必要时可委托第三方机 构实施。 （3）激励约束。绩效评价结果应与预算安排、政策调整、改进管理 实质性挂钩，体现奖优罚劣和激励相容导向，有效要安排、低效要压减、 无效要问责。 （4）公开透明。绩效评价结果应依法依规公开，并自觉接受社会监 督。 2.绩效评价指标体系 我单位通过实施资料研读及前期调研，结合项目的实际开展情况，按 照《项目支出绩效评价管理办法》（财预〔2020〕10 号）文件要求，全 面反映项目决策、项目和资金管理、产出和效益，优先选取最具代表性、 最能直接反映产出和效益的核心指标，精简实用，绩效评价小组结合项目 的实际情况，综合考虑相关性、重要性、可衡量性、可操作性和可实现性， 按照逻辑分析法设计本次绩效评价指标体系，绩效评价指标的权重设计突 出结果导向，设置指标体系结构如下：设置一级指标共 5 个，包括：决策 指标（21.0%）、过程指标（19.0%）、产出指标（20.0%）、成本指标（10.0%）、 效益指标（30.0%）五类指标；二级和三级指标根据各项指标在评价体系 中的重要程度确定，考虑项目实施和管理对项目绩效的影响等因素赋予相 应的权重分值。绩效评价小组围绕项目总体绩效目标，将梳理后的年度绩 效目标细化分解为个性化产出和效益指标，与共性指标共同构成该项目绩效评价指标体系详见“附件 1：项目支出绩效评价绩效评价体系”。 3.评价方法 正确的评价方法是评价工作顺利开展的保障，在结合实际经验的情况 下，绩效评价小组根据该项目资金的性质和特点，选用成本效益分析法、 关键绩效指标法及公众满意度评估法对项目进行评价，旨在通过综合分析 影响绩效目标实现、实施效果的内外部因素，从而评价本项目绩效。三级 指标分析环节：成本效益分析法、关键绩效指标法及公众满意度评估法。 （1）成本效益分析法：通过量化项目投入成本与产出效益的比率， 评估经费使用的经济性和效率性，判断是否以最小成本实现了预期目标。 （2）关键绩效指标法：选取反映项目核心目标的可量化指标（如经 费执行率、任务完成率等），通过定期监测指标达成情况来评价绩效表现。 （3）公众满意度评估法：通过问卷调查、访谈等方式收集服务对象 （如机关单位职工、公众）对经费支持的服务质量的满意度，衡量社会效 益。 4.评价标准 绩效评价标准通常包括计划标准、行业标准、历史标准等。本次绩效 评价采用计划标准，以预先制定的目标、计划、预算、定额等作为评价标 准，对比分析项目产出、效益的完成情况。对于定性指标，通过问卷调查 及访谈方式，采集相关数据，运用等级描述法，设置分级标准，体现该指 标认可程度的差异。对于定量指标，通过公式等方式予以量化，可以准确 衡量，并设定目标值的考核指标。</w:t>
      </w:r>
    </w:p>
    <w:p w14:paraId="56BE3237">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196DBDC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 我单位于 2025 年 3 月 1 日，确定绩效评价工作小组，正式开始前期 准备工作，通过对评价对象前期调研，确定了评价的目的、方法以及评价的原则，根据项目的内容和特征制定了评价指标体系及评价标准。绩效评 价工作小组人员名单及分工如下： 邢亚男（评价小组组长）：主要负责项目策划和监督，全面负责项目 绩效评价办稿的最终质量，对评估人员出具的最终报告质量进行复核，确 保评估结果的客观性； 刘亮亮（评价小组组员）：主要负责资料的收集，取证、数据统计分 析； 孙妮妮（评价小组组员）：主要负责主要负责项目报告的制定，指标 的研判，数据分析及报告撰写。2.组织实施 2025 年 3 月 2 日-3 月 10 日，评价工作进入实施阶段。 在数据采集方面，评价小组项目负责人、财务人员进行访谈沟通，全 面了解项目实施的目的、预算安排、实施内容、组织管理、实施结果等方 面的内容；全面收集项目决策过程、资金使用管理、制度建设与执行情况、 质量管理、项目建设及验收等相关资料，完成绩效评价内容所需的印证资 料整理，所有数据经核查后统计汇总。 经调研了解，该项目主要受益群体包括被接待人员。我们根据绩效评 价目标和绩效指标体系，设计满意度调查问卷进行问卷调查，其中被接待 人员受益对象共选取样本 30 人，共发放问卷 30 份，最终收回 30 份。 3.分析评价 2025 年 3 月 11 日-3 月 16 日，评价小组按照绩效评价的原则和规范， 对取得的资料进行审查核实，对采集的数据进行分析，按照绩效评价指标 评分表逐项进行打分、分析、汇总各方评价结果。4.撰写与提交评价报告 2025 年 3 月 17-3 月 25 日，评价小组撰写绩效评价报告，按照新疆 维吾尔自治区财政绩效管理信息系统绩效评价模块中统一格式和文本框 架撰写绩效评价报告并提交审核。 5.问题整改 经审核通过后，由评价小组将报告推送至项目实施人员，由项目实施 人员根据报告评价结论、存在的问题以及改进建议落实问题整改，并形成 整改报告，由评价小组负责监督和核查整改落实情况，确保绩效评价落到 实处。 6.档案整理 建立和落实档案管理制度，将项目相关资料存档，包括但不限于：评 价项目基本情况和相关文件、评价实施方案、项目支付资料等相关档案。</w:t>
      </w:r>
    </w:p>
    <w:p w14:paraId="53A8849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19E78CA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 经评价，本项目达成年初设立的绩效目标，在实施过程中取得了良好 的成效，具体表现在：完成了 2023 年 12 月-2024 年 12 月电费和 2023 年 12 月-2024 年 12 月邮电费的支付，对政府大楼、会议中心及干部周转宿 舍等进行了维修维护，采购了食材和办公用品，确保了机关事务高效运转， 完成了 110 余批次，2200 余人的公务接待活动，聘请了第三方对经营性 房产和全县办公用房进行了勘测与评估。通过该项目的实施，推进公共机 构节能改造，推进绿色机关日常监管，组织专业队伍对用能系统和设备进 行调节、巡视，优化资源配置、合规性，提高资产使用效率、维护资产安 全并实现服务满意度提升至 95%以上，为全县行政效能优化提供坚实保障。但在实施过程中也存在一些不足：项目预算管理与成本控制存在问题， 如成本管理意识薄弱、预算与实际执行脱节等。 （二）评价结论 此次绩效评价通过绩效评价小组论证的评价指标体系及评分标准，采 用因素分析法和比较法对本项目绩效进行客观评价，本项目共设置三级指 标数量 18 个，实现三级指标数量 18 个，总体完成率为 100%。最终评分 结果：总分为 100 分</w:t>
      </w:r>
      <w:bookmarkStart w:id="0" w:name="_GoBack"/>
      <w:bookmarkEnd w:id="0"/>
      <w:r>
        <w:rPr>
          <w:rStyle w:val="18"/>
          <w:rFonts w:hint="eastAsia" w:ascii="楷体" w:hAnsi="楷体" w:eastAsia="楷体"/>
          <w:b w:val="0"/>
          <w:bCs w:val="0"/>
          <w:spacing w:val="-4"/>
          <w:sz w:val="32"/>
          <w:szCs w:val="32"/>
        </w:rPr>
        <w:t>，绩效评级为“优”。综合评价结论如下： 项目决策类指标共设置 6 个，满分指标 6 个，得分率 100%； 过程管理类指标共设置 5 个，满分指标 5 个，得分率 100%； 项目产出类指标共设置 4 个，满分指标 4 个，得分率 100%； 项目成本类指标共设置 1 个，满分指标 1 个，得分率 100%； 项目效益类指标共设置 2 个，满分指标 2 个，得分率 100%。</w:t>
      </w:r>
    </w:p>
    <w:p w14:paraId="007E880E">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12E55C7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64BAB80D">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 项目决策类指标由 3 个二级指标和 6 个三级指标构成，权重分 21.00 分，实际得分 21.00 分。 1.项目立项情况分析 （1）立项依据充分性 本项目立项符合国务院颁发的《机关事务管理条例》（国务院令第 621 号）中： “明确机关事务管理职责，规范经费使用、资产管理、节能 管理等，为办公场所管理、公用设施维护、节能监督等职能提供直接法律 依据。”，符合国家法律法规、国民经济发展规划和相关政策；本项目立 项符合《公共机构节能条例》中： “要求对机关能源消耗进行监管，与电费管理、节能改造等职能直接对应。”，符合行业发展规划和政策要求； 本项目立项符合《呼图壁县机关事务管理局单位配置内设机构和人员编制 规定》中职责范围中的“承办县四套班子的重大接待服务工作；负责县级 机关办公场所会议室管理；负责县机关食堂的管理工作。负责县级机关办 公场所的环境卫生、庭院绿化、安 全保卫、公用设施管理等工作。”属 于我单位履职所需；根据《财政资金直接支付申请书》，本项目资金性质 为“公共财政预算”功能分类为“机关服务”经济分类为“办公费、广告 印刷费、电费、邮电费、维修（护）费、公务接待费、劳务费、委托业务 费及资本性支出等”属于公共财政支持范围，符合中央、地方事权支出责 任划分原则；经检查我单位财政应用平台指标，本项目不存在重复。 综上所述，本指标满分为 5.00 分，根据评分标准得 5.00 分，本项目 立项依据充分。 （2）立项程序规范性 本项目为非基础建设类项目，不涉及发改立项批复流程，由我单位自 《关于拨付 2024 年工作经费的请示》，经过与党委会研究确定最终预算 方案。经查看，该项目申请设立过程产生的相关文件，符合相关要求。 综上所述，本指标满分为 3.00 分，根据评分标准得 3.00 分，本项目 立项程序规范。 2.绩效目标情况分析 （1）绩效目标合理性 本项目已设置年度绩效目标，具体内容为“保障机关事务高效运转， 优化资源配置，提升服务质量，强化成本控制，确保行政职能有效履行， 为全县党政机关提供优质后勤保障。”；本项目实际工作内容为：完成了2023 年 12 月-2024 年 12 月电费和 2023 年 12 月-2024 年 12 月邮电费的 支付，对政府大楼、会议中心及干部周转宿舍等进行了维修维护，采购了 食材和办公用品，确保了机关事务高效运转，完成了 110 余批次，2200 余人的公务接待活动，聘请了第三方对经营性房产和全县办公用房进行了 勘测与评估。绩效目标与实际工作内容一致，两者具有相关性;本项目预 算申请资金 502.58 万元，预算确定资金量与实际工作任务相匹配。本项 目按照绩效目标完成了数量指标、质量指标、时效指标、成本指标，推进 了公共机构节能改造，推进了绿色机关日常监管，有效保障了专业队伍对 用能系统和设备进行运行调节、巡视检查和维护保养工作。年度绩效目标 完成，预期产出效益和效果符合正常的业绩水平。 综上所述，本指标满分为 4.00 分，根据评分标准得 4.00 分，本项目 绩效目标设置合理。 （2）绩效指标明确性 经检查我单位年初设置的《项目支出绩效目标表》，得出如下结论： 本项目已将年度绩效目标进行细化为绩效指标体系，共设置一级指标 3 个，二级指标 6 个，三级指标 7 个，定量指标 6 个，定性指标 1 个，指标 量化率为 85.71%%，量化率达 70.00%以上。 综上所述，本指标满分为 3.00 分，根据评分标准得 3.00 分，本项目 所设置绩效指标明确。 3.资金投入情况分析 （1）预算编制科学性 本项目预算编制按照每月 40 万元的标准，加上 22.58 万元会议中心 主席台暖气改造费用计算得出，经由呼图壁县委财经委员会审批通过，即预算编制较科学且经过论证；项目实际内容为完成了 2023 年 12 月-2024 年 12 月电费和 2023 年 12 月-2024 年 12 月邮电费的支付，对政府大楼、 会议中心及干部周转宿舍等进行了维修维护，采购了食材和办公用品，确 保了机关事务高效运转，完成了 110 余批次，2200 余人的公务接待活动， 聘请了第三方对经营性房产和全县办公用房进行了勘测与评估。预算申请 与《2024 年运转经费项目实施方案》中涉及的项目内容匹配； 本项目预算申请资金 502.58 万元，我单位在预算申请中严格按照分 项成本进行核算，其中：办公费费用 81.34 万元、广告印刷费用 3.95 万 元、电费费用 14.88 万元、邮电费费用 5.28 万元、维修（护）费费用 135.43 万元、公务接待费费用 24.66 万元、劳务费费用 190.97 万元、委托业务 费费用 13.3 万元及资本性支出费用 32.77 万元等。本项目预算额度测算 依据充分，严格按照标准编制，预算确定资金量与实际工作任务相匹配； 综上所述，本指标满分为 4.00 分，根据评分标准 4.00 分，本项目预 算编制科学。 （2）资金分配合理性 本项目实际分配资金以《关于拨付 2024 年工作经费的请示》为依据 进行资金分配，预算资金分配依据充分。根据《关于拨付 2024 年工作经 费的请示》文件显示，本项目实际到位资金 502.58 万元，实际分配资金 与我单位提交申请的资金额度一致，资金分配额度合理，与我单位实际需 求相适应。 综上所述，本指标满分为 2.00 分，根据评分标准得 2.00 分，本项目 资金分配合理。</w:t>
      </w:r>
      <w:r>
        <w:rPr>
          <w:rStyle w:val="18"/>
          <w:rFonts w:hint="eastAsia" w:ascii="楷体" w:hAnsi="楷体" w:eastAsia="楷体"/>
          <w:b w:val="0"/>
          <w:bCs w:val="0"/>
          <w:spacing w:val="-4"/>
          <w:sz w:val="32"/>
          <w:szCs w:val="32"/>
        </w:rPr>
        <w:tab/>
      </w:r>
    </w:p>
    <w:p w14:paraId="2E5188F1">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18850BF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 项目过程管理类指标由 2 个二级指标和 5 个三级指标构成，权重分 19.00 分，实际得分 19.00 分。 1.资金管理情况分析 （1）资金到位率 本项目预算资金为 502.58 万元，其中：本级财政安排资金 502.58 万元，其他资金 0 万元，实际到位资金 502.58 万元，资金到位率=（实际 到位资金/预算资金）×100.00%=（502.58/502.58）*100.00%=100%。得 分=资金到位率*分值=100%*4=4 分。 综上所述，本指标满分为 4.00 分，根据评分标准得 4 分，本项目资 金分配合理。 （2）预算执行率 本项目实际支出资金 502.58 万元，预算执行率=（实际支出资金/实 际到位资金）×100.00%=（502.58/502.58）*100.00%=100%。得分=预算 执行率*分值=100%*5=5 分。 综上所述，本指标满分为 5.00 分，根据评分标准得 5 分，本项目资 金分配合理。 （3）资金使用合规性 通过检查本项目签订的合同、资金申请文件、发票等财务付款凭证， 得出本项目资金支出符合国家财经法规、《政府会计制度》以及《呼图壁 县机关事务管理局单位资金管理办法》，资金的拨付有完整的审批程序和 手续，资金实际使用方向与预算批复用途一致，不存在截留、挤占、挪用、 虚列支出的情况。综上所述，本指标满分为 4.00 分，根据评分标准得 4 分，资金支出 符合我单位财务管理制度规定。 2.组织实施情况分析 （1）管理制度健全性 我单位已制定《呼图壁县机关事务管理局资金管理办法》《呼图壁县 机关事务管理局收支业务管理制度》《呼图壁县机关事务管理局政府采购 业务管理制度》《呼图壁县机关事务管理局合同管理制度》，上述已建立 的制度均符合行政事业单位内控管理要求，财务和业务管理制度合法、合 规、完整，本项目执行符合上述制度规定。 综上所述，本指标满分为 2.00 分，根据评分标准得 2 分，项目制度 建设健全。 （2）制度执行有效性 经对比分析本项目实际执行过程资料和已建立的项目管理制度和财 务管理制度，得出本项目严格按照本单位已建立制度执行。项目实施过程 中产生的文件，如《关于拨付 2024 年工作经费的请示》、《劳务派遣协 议》、《采购合同》、《验收单》等资料齐全并及时进行了归档。项目资 金支出严格按照自治区、地区、市以及本单位资金管理办法执行，项目启 动实施后，为了加快本项目的实施，成立了 2024 年运转经费项目工作领 导小组，由党组书记罗艳任组长，负责项目的组织工作；邢亚男任副组长， 负责项目的实施工作；组员包括：刘亮亮和孙妮妮，主要负责项目监督管 理、验收以及资金核拨等工作。 综上所述，本指标满分为 4.00 分，根据评分标准得 4 分，本项目所 建立制度执行有效。</w:t>
      </w:r>
    </w:p>
    <w:p w14:paraId="43175ED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64EEDE7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 项目产出类指标由 3 个二级指标和 4 个三级指标构成，权重分 20.0 分，实际得分 20 分。 1.数量指标完成情况分析 “节能宣传活动”指标：预期指标值为“&gt;=4 次”，实际完成指标值 为“=4 次”，指标完成率为 100.0%。 “保障车辆数量”指标：预期指标值为“＝17 辆”，实际完成指标 值为“=17 辆”，指标完成率为 100.0%。 综上所述，本指标满分为 10.0 分，根据评分标准得 10.0 分。 2.质量指标完成情况分析 “公房信息上报完成率”指标：预期指标值为“＝100%”，实际完成 指标值为“=100%”，指标完成率为 100%。 综上所述，本指标满分为 5.0 分，根据评分标准得 5.0 分。 3.时效指标完成情况分析 “公务人员接待及时率”指标：预期指标值为“＝100%”，实际完成 指标值为“=100%”，指标完成率为 100%。 综上所述，本指标满分为 5.0 分，根据评分标准得 5.0 分。 （四）项目成本情况 项目成本情况指标由 1 个二级指标和 1 个三级指标构成，权重分 10.0 分，实际得分 10 分。 1.经济成本指标完成情况分析 “车辆保养标准”指标：预期指标值为“=16000 元/辆/年”，实际 完成指标值为“=16000 元/辆/年”，指标完成率为 100%。综上所述，本指标满分为 10.0 分，根据评分标准得 10.0 分。 2.社会成本指标完成情况分析 无该类指标。 3.生态环境成本指标完成情况分析 无该类指标。</w:t>
      </w:r>
    </w:p>
    <w:p w14:paraId="1A4BCC5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77907BA7">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 项目效益类指标由 2 个二级指标和 2 个三级指标构成，权重分 30.0 分，实际得分 30 分。 1.经济效益完成情况分析 “稳步推进节约型机关建设，确保机关建设节能环保”指标：预期指 标值为“效果显著”，实际完成指标值为“达到预期指标”，指标完成率 为 100%。 综上所述，本指标满分为 20.0 分，根据评分标准得 20.0 分。 2.社会效益完成情况分析 无该类指标。 3.生态效益完成情况分析 无该类指标。</w:t>
      </w:r>
    </w:p>
    <w:p w14:paraId="58D1B9A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 “被接待公务人员满意度”指标：预期指标值为“大于等于 95%”， 实际完成指标值为“=100%”，指标完成率为 100%。 综上所述，本指标满分为 10.0 分，根据评分标准得 10.0 分。</w:t>
      </w:r>
    </w:p>
    <w:p w14:paraId="63147DBE">
      <w:pPr>
        <w:spacing w:line="540" w:lineRule="exact"/>
        <w:ind w:firstLine="567"/>
        <w:rPr>
          <w:rStyle w:val="18"/>
          <w:rFonts w:hint="eastAsia" w:ascii="楷体" w:hAnsi="楷体" w:eastAsia="楷体"/>
          <w:b w:val="0"/>
          <w:bCs w:val="0"/>
          <w:spacing w:val="-4"/>
          <w:sz w:val="32"/>
          <w:szCs w:val="32"/>
        </w:rPr>
      </w:pPr>
    </w:p>
    <w:p w14:paraId="5E3A28A7">
      <w:pPr>
        <w:spacing w:line="540" w:lineRule="exact"/>
        <w:ind w:firstLine="567"/>
        <w:rPr>
          <w:rStyle w:val="18"/>
          <w:rFonts w:ascii="楷体" w:hAnsi="楷体" w:eastAsia="楷体"/>
          <w:spacing w:val="-4"/>
          <w:sz w:val="32"/>
          <w:szCs w:val="32"/>
        </w:rPr>
      </w:pPr>
    </w:p>
    <w:p w14:paraId="6660B814">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4A1866F7">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 项目组织方面：通过成立工作领导小组，明确责任人，强化统筹调度 与信息共享机制，确保各环节衔接有序。同时，建立常态化沟通协调平台， 定期组织会议，动态解决项目实施中的难点问题，形成多层级、多维度协 同发力的组织保障模式。 项目管理方面：创新运用信息化管理平台，实现项目进度可视化追踪 和档案电子化管理，提升工作透明度和可追溯性。注重过程监督与结果导 向相结合，引入第三方专业力量参与阶段性评估，及时优化实施方案，确 保项目推进质效。 资金管理方面：坚持预算约束与绩效管理双轮驱动。严格按照财政管 理要求规范预算编制流程，强化资金使用计划的科学性和前瞻性。建立分 级审批制度和动态调整机制，确保资金流向合规、使用高效。同时加强财 务人员专业培训，完善内控制度建设，有效防范资金运行风险，实现财政 资金使用效益最大化。 （二）存在的问题及原因分析 1、问题：预算编制不够精准，项目预算管理与成本控制存在问题， 如成本管理意识薄弱、预算与实际执行脱节等。 原因分析：预算编制时未充分调研实际需求，缺乏历史数据参考对突 发性支出（如设备维修、临时活动）预估不足；部门间沟通不畅，导致部 分经费分配不合理。 2、问题：项目执行进度滞后，影响整体工作推进 原因分析：经费拨付流程繁琐，导致资金到位延迟；责任分工不明确，部门间协作效率低；缺乏阶段性目标考核，执行过程监督不足。 3、问题：人员专业性不足，影响经费管理水平 原因分析：财务人员缺乏专业培训，对最新政策理解不到位；业务部 门对经费使用规则不熟悉，易出现违规操作；未引入信息化管理工具，依 赖人工核算效率低。</w:t>
      </w:r>
    </w:p>
    <w:p w14:paraId="538EF8F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6F6636A7">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（一）建立预算动态调整机制，结合往年执行情况和本年实际需求细 化科目；设立应急准备金（如总预算的 5%-10%）应对突发支出；加强财 务与业务部门联动，定期召开预算协调会。 （二）简化审批流程，推行电子化报销系统加快资金拨付；制定《项 目任务分解表》，明确责任人和时间节点；每月召开进度督办会，对滞后 项目专项整改。 （三）组织年度财务知识培训，重点解读《政府会计制度》；编制《经 费使用操作手册》，简化流程并下发至各部门；推动财务管理软件（如用 友政务）应用，提升自动化水平。</w:t>
      </w:r>
    </w:p>
    <w:p w14:paraId="60A1332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7AF50A0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 认定项目产生的全部效果。通过指标来反映绩效，指标的科学性和全面性 需要不断地完善和研究。 （二）评价结果作为安排政府预算、完善政策和改进管理的重要依据。 原则上，对评价等级为优、良的，根据情况予以支持；对评价等级为中、 差的，要完善政策、改进管理，根据情况核减预算。 （三）评价结果分别编入政府决算和部门预算，报送本级人民代表大会常务委员会，并依法予以公开。 （四）我单位对上述项目支出绩效评价报告内反映内容的真实性、完 整性负责，接受上级部门及社会公众监督。</w:t>
      </w:r>
    </w:p>
    <w:p w14:paraId="7AB07D7E">
      <w:pPr>
        <w:spacing w:line="540" w:lineRule="exact"/>
        <w:ind w:firstLine="567"/>
        <w:rPr>
          <w:rStyle w:val="18"/>
          <w:rFonts w:ascii="仿宋" w:hAnsi="仿宋" w:eastAsia="仿宋"/>
          <w:b w:val="0"/>
          <w:spacing w:val="-4"/>
          <w:sz w:val="32"/>
          <w:szCs w:val="32"/>
        </w:rPr>
      </w:pPr>
    </w:p>
    <w:p w14:paraId="4109AFFA">
      <w:pPr>
        <w:spacing w:line="540" w:lineRule="exact"/>
        <w:ind w:firstLine="567"/>
        <w:rPr>
          <w:rStyle w:val="18"/>
          <w:rFonts w:ascii="仿宋" w:hAnsi="仿宋" w:eastAsia="仿宋"/>
          <w:b w:val="0"/>
          <w:spacing w:val="-4"/>
          <w:sz w:val="32"/>
          <w:szCs w:val="32"/>
        </w:rPr>
      </w:pPr>
    </w:p>
    <w:p w14:paraId="36B1BFAA">
      <w:pPr>
        <w:spacing w:line="540" w:lineRule="exact"/>
        <w:ind w:firstLine="567"/>
        <w:rPr>
          <w:rStyle w:val="18"/>
          <w:rFonts w:ascii="仿宋" w:hAnsi="仿宋" w:eastAsia="仿宋"/>
          <w:b w:val="0"/>
          <w:spacing w:val="-4"/>
          <w:sz w:val="32"/>
          <w:szCs w:val="32"/>
        </w:rPr>
      </w:pPr>
    </w:p>
    <w:p w14:paraId="491F38A6">
      <w:pPr>
        <w:spacing w:line="540" w:lineRule="exact"/>
        <w:ind w:firstLine="567"/>
        <w:rPr>
          <w:rStyle w:val="18"/>
          <w:rFonts w:ascii="仿宋" w:hAnsi="仿宋" w:eastAsia="仿宋"/>
          <w:b w:val="0"/>
          <w:spacing w:val="-4"/>
          <w:sz w:val="32"/>
          <w:szCs w:val="32"/>
        </w:rPr>
      </w:pPr>
    </w:p>
    <w:p w14:paraId="10BEDC66">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FAA745A">
        <w:pPr>
          <w:pStyle w:val="12"/>
          <w:jc w:val="center"/>
        </w:pPr>
        <w:r>
          <w:fldChar w:fldCharType="begin"/>
        </w:r>
        <w:r>
          <w:instrText xml:space="preserve">PAGE   \* MERGEFORMAT</w:instrText>
        </w:r>
        <w:r>
          <w:fldChar w:fldCharType="separate"/>
        </w:r>
        <w:r>
          <w:rPr>
            <w:lang w:val="zh-CN"/>
          </w:rPr>
          <w:t>2</w:t>
        </w:r>
        <w:r>
          <w:fldChar w:fldCharType="end"/>
        </w:r>
      </w:p>
    </w:sdtContent>
  </w:sdt>
  <w:p w14:paraId="4F09812D">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1EA6E80"/>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10602</Words>
  <Characters>11404</Characters>
  <Lines>4</Lines>
  <Paragraphs>1</Paragraphs>
  <TotalTime>9</TotalTime>
  <ScaleCrop>false</ScaleCrop>
  <LinksUpToDate>false</LinksUpToDate>
  <CharactersWithSpaces>12279</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2025-08-12T06:04:40Z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