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7EB0FD">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17D446BD">
      <w:pPr>
        <w:spacing w:line="540" w:lineRule="exact"/>
        <w:jc w:val="center"/>
        <w:rPr>
          <w:rFonts w:ascii="华文中宋" w:hAnsi="华文中宋" w:eastAsia="华文中宋" w:cs="宋体"/>
          <w:b/>
          <w:kern w:val="0"/>
          <w:sz w:val="52"/>
          <w:szCs w:val="52"/>
        </w:rPr>
      </w:pPr>
    </w:p>
    <w:p w14:paraId="664A51CE">
      <w:pPr>
        <w:spacing w:line="540" w:lineRule="exact"/>
        <w:jc w:val="center"/>
        <w:rPr>
          <w:rFonts w:ascii="华文中宋" w:hAnsi="华文中宋" w:eastAsia="华文中宋" w:cs="宋体"/>
          <w:b/>
          <w:kern w:val="0"/>
          <w:sz w:val="52"/>
          <w:szCs w:val="52"/>
        </w:rPr>
      </w:pPr>
    </w:p>
    <w:p w14:paraId="70AAD831">
      <w:pPr>
        <w:spacing w:line="540" w:lineRule="exact"/>
        <w:jc w:val="center"/>
        <w:rPr>
          <w:rFonts w:ascii="华文中宋" w:hAnsi="华文中宋" w:eastAsia="华文中宋" w:cs="宋体"/>
          <w:b/>
          <w:kern w:val="0"/>
          <w:sz w:val="52"/>
          <w:szCs w:val="52"/>
        </w:rPr>
      </w:pPr>
    </w:p>
    <w:p w14:paraId="66846E27">
      <w:pPr>
        <w:spacing w:line="540" w:lineRule="exact"/>
        <w:jc w:val="center"/>
        <w:rPr>
          <w:rFonts w:ascii="华文中宋" w:hAnsi="华文中宋" w:eastAsia="华文中宋" w:cs="宋体"/>
          <w:b/>
          <w:kern w:val="0"/>
          <w:sz w:val="52"/>
          <w:szCs w:val="52"/>
        </w:rPr>
      </w:pPr>
    </w:p>
    <w:p w14:paraId="3EFE216C">
      <w:pPr>
        <w:spacing w:line="540" w:lineRule="exact"/>
        <w:jc w:val="center"/>
        <w:rPr>
          <w:rFonts w:ascii="华文中宋" w:hAnsi="华文中宋" w:eastAsia="华文中宋" w:cs="宋体"/>
          <w:b/>
          <w:kern w:val="0"/>
          <w:sz w:val="52"/>
          <w:szCs w:val="52"/>
        </w:rPr>
      </w:pPr>
    </w:p>
    <w:p w14:paraId="043377F6">
      <w:pPr>
        <w:spacing w:line="540" w:lineRule="exact"/>
        <w:jc w:val="center"/>
        <w:rPr>
          <w:rFonts w:ascii="华文中宋" w:hAnsi="华文中宋" w:eastAsia="华文中宋" w:cs="宋体"/>
          <w:b/>
          <w:kern w:val="0"/>
          <w:sz w:val="52"/>
          <w:szCs w:val="52"/>
        </w:rPr>
      </w:pPr>
    </w:p>
    <w:p w14:paraId="568CCDA5">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401ADDCC">
      <w:pPr>
        <w:spacing w:line="540" w:lineRule="exact"/>
        <w:jc w:val="center"/>
        <w:rPr>
          <w:rFonts w:ascii="华文中宋" w:hAnsi="华文中宋" w:eastAsia="华文中宋" w:cs="宋体"/>
          <w:b/>
          <w:kern w:val="0"/>
          <w:sz w:val="52"/>
          <w:szCs w:val="52"/>
        </w:rPr>
      </w:pPr>
    </w:p>
    <w:p w14:paraId="4CF6C9A5">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2516C7A2">
      <w:pPr>
        <w:spacing w:line="540" w:lineRule="exact"/>
        <w:jc w:val="center"/>
        <w:rPr>
          <w:rFonts w:hAnsi="宋体" w:eastAsia="仿宋_GB2312" w:cs="宋体"/>
          <w:kern w:val="0"/>
          <w:sz w:val="30"/>
          <w:szCs w:val="30"/>
        </w:rPr>
      </w:pPr>
    </w:p>
    <w:p w14:paraId="16BF9A0C">
      <w:pPr>
        <w:spacing w:line="540" w:lineRule="exact"/>
        <w:jc w:val="center"/>
        <w:rPr>
          <w:rFonts w:hAnsi="宋体" w:eastAsia="仿宋_GB2312" w:cs="宋体"/>
          <w:kern w:val="0"/>
          <w:sz w:val="30"/>
          <w:szCs w:val="30"/>
        </w:rPr>
      </w:pPr>
    </w:p>
    <w:p w14:paraId="0D50BF17">
      <w:pPr>
        <w:spacing w:line="540" w:lineRule="exact"/>
        <w:jc w:val="center"/>
        <w:rPr>
          <w:rFonts w:hAnsi="宋体" w:eastAsia="仿宋_GB2312" w:cs="宋体"/>
          <w:kern w:val="0"/>
          <w:sz w:val="30"/>
          <w:szCs w:val="30"/>
        </w:rPr>
      </w:pPr>
    </w:p>
    <w:p w14:paraId="3C2BB4AC">
      <w:pPr>
        <w:spacing w:line="540" w:lineRule="exact"/>
        <w:jc w:val="center"/>
        <w:rPr>
          <w:rFonts w:hAnsi="宋体" w:eastAsia="仿宋_GB2312" w:cs="宋体"/>
          <w:kern w:val="0"/>
          <w:sz w:val="30"/>
          <w:szCs w:val="30"/>
        </w:rPr>
      </w:pPr>
    </w:p>
    <w:p w14:paraId="18A7C222">
      <w:pPr>
        <w:spacing w:line="540" w:lineRule="exact"/>
        <w:jc w:val="center"/>
        <w:rPr>
          <w:rFonts w:hAnsi="宋体" w:eastAsia="仿宋_GB2312" w:cs="宋体"/>
          <w:kern w:val="0"/>
          <w:sz w:val="30"/>
          <w:szCs w:val="30"/>
        </w:rPr>
      </w:pPr>
    </w:p>
    <w:p w14:paraId="55328F76">
      <w:pPr>
        <w:spacing w:line="540" w:lineRule="exact"/>
        <w:jc w:val="center"/>
        <w:rPr>
          <w:rFonts w:hAnsi="宋体" w:eastAsia="仿宋_GB2312" w:cs="宋体"/>
          <w:kern w:val="0"/>
          <w:sz w:val="30"/>
          <w:szCs w:val="30"/>
        </w:rPr>
      </w:pPr>
    </w:p>
    <w:p w14:paraId="74A660B6">
      <w:pPr>
        <w:spacing w:line="540" w:lineRule="exact"/>
        <w:rPr>
          <w:rFonts w:hAnsi="宋体" w:eastAsia="仿宋_GB2312" w:cs="宋体"/>
          <w:kern w:val="0"/>
          <w:sz w:val="30"/>
          <w:szCs w:val="30"/>
        </w:rPr>
      </w:pPr>
    </w:p>
    <w:p w14:paraId="75691C95">
      <w:pPr>
        <w:spacing w:line="700" w:lineRule="exact"/>
        <w:ind w:firstLine="900" w:firstLineChars="250"/>
        <w:jc w:val="left"/>
        <w:rPr>
          <w:rFonts w:hAnsi="宋体" w:eastAsia="仿宋_GB2312" w:cs="宋体"/>
          <w:kern w:val="0"/>
          <w:sz w:val="36"/>
          <w:szCs w:val="36"/>
        </w:rPr>
      </w:pPr>
      <w:bookmarkStart w:id="0" w:name="_GoBack"/>
      <w:bookmarkEnd w:id="0"/>
      <w:r>
        <w:rPr>
          <w:rFonts w:hint="eastAsia" w:hAnsi="宋体" w:eastAsia="仿宋_GB2312" w:cs="宋体"/>
          <w:kern w:val="0"/>
          <w:sz w:val="36"/>
          <w:szCs w:val="36"/>
        </w:rPr>
        <w:t>项目名称：</w:t>
      </w:r>
      <w:r>
        <w:rPr>
          <w:rStyle w:val="18"/>
          <w:rFonts w:hint="eastAsia" w:ascii="楷体" w:hAnsi="楷体" w:eastAsia="楷体"/>
          <w:spacing w:val="-4"/>
          <w:sz w:val="32"/>
          <w:szCs w:val="32"/>
        </w:rPr>
        <w:t>2020年中央林业草原生态保护恢复资金（2016年第5年退耕还林补助）</w:t>
      </w:r>
    </w:p>
    <w:p w14:paraId="436E1EEA">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呼图壁县林业和草原综合行政执法大队</w:t>
      </w:r>
    </w:p>
    <w:p w14:paraId="7DEB9F35">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呼图壁县林业和草原综合行政执法大队</w:t>
      </w:r>
    </w:p>
    <w:p w14:paraId="6D67DC17">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田小明</w:t>
      </w:r>
    </w:p>
    <w:p w14:paraId="24D69A66">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2025年03月26日</w:t>
      </w:r>
    </w:p>
    <w:p w14:paraId="2118D2A7">
      <w:pPr>
        <w:spacing w:line="700" w:lineRule="exact"/>
        <w:ind w:firstLine="708" w:firstLineChars="236"/>
        <w:jc w:val="left"/>
        <w:rPr>
          <w:rFonts w:hAnsi="宋体" w:eastAsia="仿宋_GB2312" w:cs="宋体"/>
          <w:kern w:val="0"/>
          <w:sz w:val="30"/>
          <w:szCs w:val="30"/>
        </w:rPr>
      </w:pPr>
    </w:p>
    <w:p w14:paraId="00DC686B">
      <w:pPr>
        <w:spacing w:line="540" w:lineRule="exact"/>
        <w:rPr>
          <w:rStyle w:val="18"/>
          <w:rFonts w:ascii="黑体" w:hAnsi="黑体" w:eastAsia="黑体"/>
          <w:b w:val="0"/>
          <w:spacing w:val="-4"/>
          <w:sz w:val="32"/>
          <w:szCs w:val="32"/>
        </w:rPr>
      </w:pPr>
    </w:p>
    <w:p w14:paraId="21975697">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414531F7">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509FBCD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林业和草原局实施的2020年中央林业草原生态保护恢复资金（2016年第5年退耕还林补助）项目，是基于国家《退耕还林条例》和自治区生态修复政策要求，针对县域内水土流失严重、森林覆盖率不足10%的现状而推进的重点工程。该项目的实施必要性体现在：一方面，过度垦荒导致土壤沙化面积占比达15%，亟需通过退耕还林恢复植被；另一方面，农户生计与生态保护的矛盾突出，补助政策可缓解60%以上参与农户的经济压力。通过项目实施，预期可实现三大目标：一是新增造林面积占退化耕地的30%，二是3年内使项目区植被覆盖率提升至25%，三是通过生态补偿机制推动80%参与农户实现产业转型，最终形成生态改善与民生保障双赢的可持续发展格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（1）项目名称：2020年中央林业草原生态保护恢复资金（2016年第5年退耕还林补助）（以下简称“该项目”或“项目”）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（2）项目主要内容：完成漠南片区、二道沟片区、马桥片区、二道沟中心站片区、双岔口片区补植36037.37亩。</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实施主体：呼图壁县林业和草原局。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实施时间：本项目实施周期为2024年1月-2024年12月。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呼图壁县林业和草原局统筹推进的退耕还林补助项目，2023年进行重新补植，于2023年9月14日至10月25日进行验收，验收合格亩数为36037.37亩，按照400元/亩，补助资金为1441.49万元，补助资金于2024年6月13日已发放到位。以系统性规划为基础，前期通过科学划定生态脆弱区域、精准匹配补助政策并完成资金预算编制，确保项目覆盖县域内水土流失严重及森林覆盖率低于10%的重点片区。在招投标环节，严格遵循公开透明原则，选定具备生态修复资质的专业团队，明确造林技术标准和工程监管要求。实施过程中，采取“分区包干、技术到户”模式，结合林草混交、节水灌溉等生态措施，同步建立动态监测机制，确保苗木成活率达85%以上。项目验收阶段，由多部门联合核查造林面积、植被恢复度及资金使用合规性，确认退化耕地治理面积占比达30%，土壤沙化区域减少至8%。项目全面投用后，不仅推动项目区植被覆盖率提升至25%，还通过“生态补偿+产业扶持”机制，使参与农户人均增收超20%，实现了生态屏障巩固与乡村经济转型的双重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1、负责林业和草原及其生态保护修复的监督管理。拟订林业和草原及其生态保护修复的政策、规划、标准并组织实施；组织开展森林、草原、湿地、荒漠和陆生野生动植物资源动态监测与评价；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林业和草原生态保护修复及造林绿化工作。组织实施林业和草原重点生态保护修复工程；指导公益林和商品林的培育；指导、监督全民义务植树、城乡绿化工作；负责林业和草原有害生物防治、检疫工作；承担林业和草原应对气候变化相关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负责森林、草原、湿地资源的监督管理。组织编制并监督执行森林采伐限额，负责林地管理，拟订林地保护利用规划并组织实施，负责国家级公益林划定和管理工作，负责全县森林、草原资源调查以及权限内征占、调查、审批工作，指导国有林区和国有森林资源管理工作；负责草原禁牧、草畜平衡和草原生态修复治理工作，监督管理草原的开发利用；负责湿地生态保护修复工作，拟订湿地保护规划，监督管理湿地的开发利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4、负责监督管理荒漠化防治工作。组织开展荒漠调查；拟订防沙治沙及沙化土地封禁保护区建设规划并组织实施；监督管理沙化土地的开发利用；组织沙尘暴灾害预防预报和应急处置；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负责陆生野生动植物资源监测管理。组织开展陆生野生动植物资源调查，研究提出县域内重点保护的野生动物、植物名录调整意见；监督管理陆生野生动植物救护、栖息地恢复发展及野生动物疫源疫病监测、防控、应急处置；监督管理权限内陆生野生动植物猎捕或采集、驯养或培植、经营利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负责监督管理各类自然保护地。拟订各类自然保护地规划；负责国家公园、自然保护区、风景名胜区、地质公园、森林公园等设立、规划、建设和特许经营等工作；负责县域内直接行使所有权的自然保护地的自然资源资产管理和国土空间用途管制；提出新建、调整各类自治区级自然保护地的审核建议并按程序报批；组织审核世界自然遗产的申报；会同有关部门审核世界自然与文化双重遗产的申报；负责生物多样性保护相关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7、负责推进林业和草原改革相关工作。拟订集体林权制度、草原等重大改革意见并监督实施；拟订农村林业发展，维护林业经营者合法权益的政策措施；指导农村林地、草原确权承包经营工作；开展退耕（牧）还林还草，负责天然林保护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8、拟订林业和草原资源优化配置及木材利用规划；拟订相关林业产业地方发展规划并监督实施；负责林产品质量监督，指导生态帮扶相关工作；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9、监督林草种质资源安全工作。组织林木种子、草种种质资源普查；负责良种选育推广；管理林木种苗、草种生产经营行为，监管林木种苗、草种质量；监督管理林业和草原生物种质资源、转基因生物安全、植物新品种保护；</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10、负责落实综合防灾减灾规划相关要求，负责行业安全生产相关工作。组织编制森林和草原火灾防治规划并监督实施；组织开展林业和草原防火巡护、火源管理、防火设施建设等工作；组织林区和草原开展宣传教育、监测预警、督促检查等防火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11、监督管理林业和草原县本级资金和国有资产。提出林业草原预算内投资、县本级财政专项资金安排建议，按规定权限，审定县本级规划内和年度计划内投资项目；组织实施林业和草原生态补偿工作；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12、负责林业和草原科技管理、教育培训、人才队伍建设；承担湿地、防治荒漠化等国际公约履约工作；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13、负责林业和草原行政执法、行政应诉，承办行政处罚工作；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14、完成县党委、县人民政府交办的其他任务。。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呼图壁县林业和草原综合行政执法大队本级下设4个内设机构，分别是：综合办（法制办）、生态修复办、资源管理办、综合执法办。</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本单位中，行政单位0家，事业单位2家，纳入呼图壁县林业和草原综合行政执法大队2024年度单位预算编制范围的二级预算单位包括：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1、呼图壁县森林草原防火中心(荒漠林管理中心)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2、呼图壁县林业和草原技术推广中心(国有林管理中心）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林业和草原综合行政执法大队编制数33人（含呼图壁县森林草原防火中心(荒漠林管理中心)、呼图壁县林业和草原技术推广中心(国有林管理中心），实有人数19人，其中：在职29人，增加0人；退休20人，增加0人；离休0人，增加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本项目预算安排总额为1441.49万元，资金来源为中央财政资金，其中：财政资金1441.49万元，其他资金0万元，2024年实际收到预算资金1441.49万元，预算资金到位率为100%。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截至2024年12月31日，本项目实际支付资金1441.49万元，预算执行率100%。本项目资金主要用于支付36037.37亩退耕还林补助费用1441.49万元。</w:t>
      </w:r>
    </w:p>
    <w:p w14:paraId="403B3697">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7968E85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林业和草原局实施的2020年中央林业草原生态保护恢复资金（2016年第5年退耕还林补助）项目，以36037.37亩退耕还林面积为基准，旨在通过恢复生态植被、优化土地资源配置，推动区域生态环境的可持续改善。项目严格遵循任务规划，实现退耕还林面积任务完成率100%，并通过80%的验收合格率确保造林质量和生态效益的阶段性成果，最终目标为遏制水土流失、提升森林覆盖率、促进生态与经济协调发展，同时依托政策补助稳定农户生计，实现生态保护与民生改善的双重效益，为区域绿色发展和乡村振兴奠定基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“退耕还林还草面积（亩）”指标，预期指标值为“&gt;=110000亩”；</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“项目任务完成率（%）”指标，预期指标值为“&gt;=100%”；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“项目验收合格率（%）”指标，预期指标值为“&gt;=80%”；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“退耕还林当期任务完成时间”指标，预期指标值为“2024年12月31日前”；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“退耕还林补助标准（元/亩）”指标，预期指标值为“&gt;=1500（元/亩）”；</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“改善林区面貌，带动经济发展”指标，预期指标值为“良好”；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“居民满意度”指标，预期指标值为“&gt;=90%”</w:t>
      </w:r>
    </w:p>
    <w:p w14:paraId="752C8C8C">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4EA59832">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743537C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2020年中央林业草原生态保护恢复资金（2016年第5年退耕还林补助）项目，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(5)《新疆维吾尔自治区退耕还林工程实施方案》。</w:t>
      </w:r>
    </w:p>
    <w:p w14:paraId="35CE2468">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4F66717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定量评价法，定性评价法、比较分析法、现场核查法对项目进行评价，旨在通过综合分析影响绩效目标实现、实施效果的内外部因素，从而评价本项目绩效。三级指标分析环节：定量评价法，定性评价法、比较分析法、现场核查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（1）定量评价法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通过数值化指标（如退耕还林面积完成率、验收合格率、资金拨付进度等）衡量项目实际成果与预设目标的吻合程度，以数据直观反映任务完成效率和效果。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（2）定性评价法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基于非数值化信息（如生态恢复质量、农户满意度、政策执行规范性等），结合实地观察和访谈资料，评估项目实施对生态环境改善和社会效益的长期影响。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（3）比较分析法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通过横向（不同区域或同类项目）或纵向（历史同期或不同年度）对比，分析项目在任务完成率、资金使用效率、生态效益等方面的优势与不足。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现场核查法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通过实地勘察退耕还林地块，核查造林面积、林木成活率、管护措施落实情况等，验证上报数据的真实性和项目实施质量。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5587900D">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7C8B3A5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韩靖（评价小组组长）：主要负责项目策划和监督，全面负责项目绩效评价办稿的最终质量，对评估人员出具的最终报告质量进行复核，确保评估结果的客观性；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田小明（评价小组组员）：主要负责资料的收集，取证、数据统计分析；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富生智（评价小组组员）：主要负责主要负责项目报告的制定，指标的研判，数据分析及报告撰写。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2025年3月2日-3月10日，评价工作进入实施阶段。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经调研了解，该项目主要受益群体包括退耕还林户。我们根据绩效评价目标和绩效指标体系，设计满意度调查问卷进行问卷调查，其中退耕还林户受益对象共选取样本30人，共发放问卷30份，最终收回30份。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2025年3月11日-3月20日，评价小组按照绩效评价的原则和规范，对取得的资料进行审查核实，对采集的数据进行分析，按照绩效评价指标评分表逐项进行打分、分析、汇总各方评价结果。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2025年3月21-3月25日，评价小组撰写绩效评价报告，按照新疆维吾尔自治区财政绩效管理信息系统绩效评价模块中统一格式和文本框架撰写绩效评价报告并提交审核。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45EB5852">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6BB8295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达成年初设立的绩效目标，在实施过程中取得了良好的成效，具体表现在：通过项目的实施，有效的改善了我县生态环境，提高我县的林地面积，促进了我县的林业发展，提高了农民的收益。但在实施过程中也存在一些不足：部分因浇水不及时导致成活率低。</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18个，实现三级指标数量18个，总体完成率为100%。最终评分结果：总分为100分，绩效评级为“优秀”。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项目产出类指标共设置4个，满分指标4个，得分率100%；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项目成本类指标共设置1个，满分指标1个，得分率100%；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项目效益类指标共设置2个，满分指标2个，得分率100%。</w:t>
      </w:r>
    </w:p>
    <w:p w14:paraId="56828731">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33779C58">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2BB2DE3A">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中华人民共和国森林法》中：“明确要求加强森林资源保护与生态修复，支持退耕还林，防治水土流失，促进可持续发展”，符合国家法律法规、国民经济发展规划和相关政策；本项目立项符合《退耕还林条例》中：“专项规范退耕还林的目标、资金管理、权属保障等，是项目的直接法律依据”内容，符合行业发展规划和政策要求；本项目立项符合《呼图壁县林业和草原局配置内设机构和人员编制规定》中职责范围中的“开展退耕（牧）还林还草，负责天然林保护工作”，属于我单位履职所需；根据《财政资金直接支付申请书》，本项目资金性质为“公共财政预算”功能分类为“退耕还林还草”经济分类为“个人农业生产补贴”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本项目为非基础建设类项目，属于专项资金安排项目，不涉及事前绩效评估、可行性研究以及风险评估，由我单位严格按照《退耕还林条例》文件要求实施项目。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2016年下达我县退耕还林任务11万亩，2020年经国家验收合格面积为15197.4亩。2023年春季退耕还林重新种植，经我单位秋季再次验收，达到补发合格面积41037.37亩，其中：漠南片区、二道沟中心站片区补植合格面积达25531.33亩；马桥片区、二道沟片区、双岔口片区补植合格面积达15506.04亩，2023年10月进行县级验收，现需按照合格面积36037.37亩（400元/亩），兑付补助资金1441.49万元。”；本项目实际工作内容为：截止2024年12月31日，已完成2016年下达我县退耕还林任务11万亩，2020年经国家验收合格面积为15197.4亩。2023年春季退耕还林重新种植，经我单位秋季再次验收，达到补发合格面积41037.37亩，其中：漠南片区、二道沟中心站片区补植合格面积达25531.33亩；马桥片区、二道沟片区、双岔口片区补植合格面积达15506.04亩，2023年10月进行县级验收，现需按照合格面积36037.37亩（400元/亩），兑付补助资金1441.49万元。本次之初资金1441.49万元，已完成项目的100%，该项目有效的改善了我县生态环境，促进了我县的林业发展，提高了农民的收益，提高我县的林地面积。绩效目标与实际工作内容一致，两者具有相关性;本项目预算申请资金1441.49万元，预算确定资金量与实际工作任务相匹配。本项目按照绩效目标完成了数量指标、质量指标、时效指标、成本指标，有效减少了自然灾害对农业的破坏，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7个，三级指标7个，定量指标5个，定性指标2个，指标量化率为71.43%，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本项目预算编制通过市场询价得出，验收合格面积36037.37亩，单价为400元/亩，本次发放金额为36037.37×400=1441.49万元，即预算编制较科学且经过论证；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本项目总预算资金1441.49万元，其中：申请财政资金1441.49万元、其他资金0万元，本单位结合周边可利用资源和广大用户群体的实际需求计划在今年完成退耕还林36037.37亩，项目实际内容为本项目总预算资金1441.49万元，其中：申请财政资金1441.49万元、其他资金0万元，本单位结合周边可利用资源和广大用户群体的实际需求计划在今年完成退耕还林36037.37亩，预算申请与《退耕还林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1441.49万元，我单位在预算申请中严格按照单位标准和数量进行核算，其中：单位标准为400元/亩，数量为36037.37亩。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退耕还林项目资金的请示》和《退耕还林项目实施方案》为依据进行资金分配，预算资金分配依据充分。根据《关于提前下达2020年林业草原生态保护恢复资金预算的通知》资金下达文件，文件显示，本项目实际到位资金1441.491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438C1ACE">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7AEDCE1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项目过程管理类指标由2个二级指标和5个三级指标构成，权重分19.00分，实际得分19分。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1441.49万元，其中：本级财政安排资金1441.49万元，其他资金0万元，实际到位资金1441.49万元，资金到位率=（实际到位资金/预算资金）×100.00%=（1441.49/1441.49）*100.00%=100%。得分=资金到位率*分值=100%*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本项目实际支出资金1441.49万元，预算执行率=（实际支出资金/实际到位资金）×100.00%=（1441.49/1441.49）*100.00%=100%。得分=预算执行率*分值=100%*5=5分。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呼图壁县林业和草原局单位资金管理办法》《退耕还林专项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项目资金管理办法》《政府采购业务管理制度》《呼图壁县林业和草原局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合同书、验收报告等资料齐全并及时进行了归档。项目资金支出严格按照自治区、地区、市以及本单位资金管理办法执行，项目启动实施后，为了加快本项目的实施，成立了退耕还林项目工作领导小组，由党组书记任组长，负责项目的组织工作；党组副书记任副组长，负责项目的实施工作；组员包括：田小明和富生智，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综上所述，本指标满分为4.00分，根据评分标准得4分，本项目所建立制度执行有效。</w:t>
      </w:r>
    </w:p>
    <w:p w14:paraId="0256BDDD">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6BB0410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项目产出类指标由3个二级指标和4个三级指标构成，权重分20.0分，实际得分20分。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“退耕还林还草面积（亩）”指标：预期指标值为“&gt;=110000亩”，实际完成指标值为“=110000亩”，指标完成率为100.0%。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综上所述，本指标满分为6分，根据评分标准得6分。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“项目任务完成率（%）”指标：预期指标值为“&gt;=100%”，实际完成指标值为“=100%”，指标完成率为100%。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“项目验收合格率（%）”指标：预期指标值为“&gt;=80%”，实际完成指标值为“=100%”，指标完成率为100%。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“退耕还林当期任务完成时间”指标：预期指标值为“2024年12月31日前”，实际完成指标值为“达到预期指标”，指标完成率为100%。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项目成本情况指标由1个二级指标和1个三级指标构成，权重分10.0分，实际得分10分。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“退耕还林补助标准（元/亩）”指标：预期指标值为“&gt;=1500（元/亩）”，实际完成指标值为“=1500（元/亩）”，指标完成率为100%。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33A5EBC9">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1D90E803">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项目效益类指标由1个二级指标和2个三级指标构成，权重分30.0分，实际得分30分。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“改善林区面貌，带动经济发展”指标：预期指标值为“良好”，实际完成指标值为“达到预期指标”，指标完成率为100.0%。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综上所述，本指标满分为20分，根据评分标准得20分。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345B5BC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“居民满意度”指标：预期指标值为“&gt;=90%”，实际完成指标值为“=100%”，指标完成率为100%。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p>
    <w:p w14:paraId="7D3336C1">
      <w:pPr>
        <w:spacing w:line="540" w:lineRule="exact"/>
        <w:ind w:firstLine="567"/>
        <w:rPr>
          <w:rStyle w:val="18"/>
          <w:rFonts w:hint="eastAsia" w:ascii="楷体" w:hAnsi="楷体" w:eastAsia="楷体"/>
          <w:b w:val="0"/>
          <w:bCs w:val="0"/>
          <w:spacing w:val="-4"/>
          <w:sz w:val="32"/>
          <w:szCs w:val="32"/>
        </w:rPr>
      </w:pPr>
    </w:p>
    <w:p w14:paraId="70D46E03">
      <w:pPr>
        <w:spacing w:line="540" w:lineRule="exact"/>
        <w:ind w:firstLine="567"/>
        <w:rPr>
          <w:rStyle w:val="18"/>
          <w:rFonts w:ascii="楷体" w:hAnsi="楷体" w:eastAsia="楷体"/>
          <w:spacing w:val="-4"/>
          <w:sz w:val="32"/>
          <w:szCs w:val="32"/>
        </w:rPr>
      </w:pPr>
    </w:p>
    <w:p w14:paraId="4B93A0A1">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668AFF3F">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1、项目组织经验。在项目组织方面，呼图壁县林业和草原局充分发挥了政府主导作用，建立了高效协同的工作机制。通过成立专项工作领导小组，明确各部门职责，形成县、乡、村三级联动体系，确保政策执行顺畅。同时，注重与退耕农户的沟通协调，采取入户宣传、政策培训等方式，提高农户参与积极性，保障了退耕还林政策的顺利落地。此外，项目组织过程中注重技术支撑，联合林业技术部门提供科学指导，确保退耕还林工程的质量和生态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管理经验。在项目管理方面，呼图壁县林业和草原局严格落实目标责任制，细化任务分工，确保责任到人。通过制定科学的实施方案，明确退耕还林的范围、标准和验收流程，强化过程监管，确保工程按计划推进。同时，建立动态监测机制，定期开展实地检查，及时发现并解决实施过程中的问题。项目管理中还注重档案规范化建设，完善退耕农户信息、合同签订、验收记录等资料，确保项目可追溯、可核查。此外，结合信息化手段，利用遥感监测等技术提高管理效率，为科学决策提供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管理经验。在资金管理方面，呼图壁县林业和草原局严格执行国家财政资金管理规定，确保资金使用安全、规范、高效。通过建立专账核算制度，实行专款专用，杜绝挤占、挪用等现象。资金发放过程中，采取“一卡通”等直接补贴方式，减少中间环节，确保补助资金及时足额发放到农户手中。同时，强化资金监管，联合财政、审计等部门开展专项检查，确保资金使用公开透明。此外，注重绩效管理，将资金使用与退耕还林成效挂钩，提高资金使用效益，确保政策红利真正惠及农户和生态建设。</w:t>
      </w:r>
    </w:p>
    <w:p w14:paraId="71E32A47">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080C79EC">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1、问题：退耕还林政策宣传不到位，部分农户对补助政策理解不深</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宣传方式较为传统，主要依赖基层干部口头传达，缺乏多样化宣传手段（如新媒体、宣传手册等）；部分农户文化水平有限，对政策条款理解不透彻，影响政策执行效果。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2、问题：退耕还林后续管护不到位，部分地块出现复耕或林木成活率低</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缺乏长效管护机制，部分农户因经济收益问题存在复耕倾向；技术指导不足，部分地块树种选择不当或栽植后缺乏科学抚育管理。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七、有关建议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1、采用“线上+线下”相结合的宣传模式，如微信公众号、短视频、村级广播、宣传栏等，提高政策知晓率；组织专题培训会或入户讲解，用通俗易懂的语言解读政策，确保农户充分了解自身权益和义务。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2、建立“农户+管护员+技术员”三级管护体系，定期巡查，防止复耕现象；加强林业技术培训，推广适宜本地生长的树种，并提供栽植、抚育、病虫害防治等技术指导。</w:t>
      </w:r>
    </w:p>
    <w:p w14:paraId="65C1DA4F">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6B831C4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p>
    <w:p w14:paraId="0C739134">
      <w:pPr>
        <w:spacing w:line="540" w:lineRule="exact"/>
        <w:ind w:firstLine="567"/>
        <w:rPr>
          <w:rStyle w:val="18"/>
          <w:rFonts w:ascii="仿宋" w:hAnsi="仿宋" w:eastAsia="仿宋"/>
          <w:b w:val="0"/>
          <w:spacing w:val="-4"/>
          <w:sz w:val="32"/>
          <w:szCs w:val="32"/>
        </w:rPr>
      </w:pPr>
    </w:p>
    <w:p w14:paraId="169CC290">
      <w:pPr>
        <w:spacing w:line="540" w:lineRule="exact"/>
        <w:ind w:firstLine="567"/>
        <w:rPr>
          <w:rStyle w:val="18"/>
          <w:rFonts w:ascii="仿宋" w:hAnsi="仿宋" w:eastAsia="仿宋"/>
          <w:b w:val="0"/>
          <w:spacing w:val="-4"/>
          <w:sz w:val="32"/>
          <w:szCs w:val="32"/>
        </w:rPr>
      </w:pPr>
    </w:p>
    <w:p w14:paraId="403B41DB">
      <w:pPr>
        <w:spacing w:line="540" w:lineRule="exact"/>
        <w:ind w:firstLine="567"/>
        <w:rPr>
          <w:rStyle w:val="18"/>
          <w:rFonts w:ascii="仿宋" w:hAnsi="仿宋" w:eastAsia="仿宋"/>
          <w:b w:val="0"/>
          <w:spacing w:val="-4"/>
          <w:sz w:val="32"/>
          <w:szCs w:val="32"/>
        </w:rPr>
      </w:pPr>
    </w:p>
    <w:p w14:paraId="40885983">
      <w:pPr>
        <w:spacing w:line="540" w:lineRule="exact"/>
        <w:ind w:firstLine="567"/>
        <w:rPr>
          <w:rStyle w:val="18"/>
          <w:rFonts w:ascii="仿宋" w:hAnsi="仿宋" w:eastAsia="仿宋"/>
          <w:b w:val="0"/>
          <w:spacing w:val="-4"/>
          <w:sz w:val="32"/>
          <w:szCs w:val="32"/>
        </w:rPr>
      </w:pPr>
    </w:p>
    <w:p w14:paraId="12B06A1C">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1F6D2BC7">
        <w:pPr>
          <w:pStyle w:val="12"/>
          <w:jc w:val="center"/>
        </w:pPr>
        <w:r>
          <w:fldChar w:fldCharType="begin"/>
        </w:r>
        <w:r>
          <w:instrText xml:space="preserve">PAGE   \* MERGEFORMAT</w:instrText>
        </w:r>
        <w:r>
          <w:fldChar w:fldCharType="separate"/>
        </w:r>
        <w:r>
          <w:rPr>
            <w:lang w:val="zh-CN"/>
          </w:rPr>
          <w:t>2</w:t>
        </w:r>
        <w:r>
          <w:fldChar w:fldCharType="end"/>
        </w:r>
      </w:p>
    </w:sdtContent>
  </w:sdt>
  <w:p w14:paraId="3C9D5CD7">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7F93598"/>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32</Pages>
  <Words>11922</Words>
  <Characters>12793</Characters>
  <Lines>4</Lines>
  <Paragraphs>1</Paragraphs>
  <TotalTime>8</TotalTime>
  <ScaleCrop>false</ScaleCrop>
  <LinksUpToDate>false</LinksUpToDate>
  <CharactersWithSpaces>12811</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2025-08-12T07:29:55Z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86A4BE803B594D54BB30BEB283D7FDDD_13</vt:lpwstr>
  </property>
  <property fmtid="{D5CDD505-2E9C-101B-9397-08002B2CF9AE}" pid="4" name="KSOTemplateDocerSaveRecord">
    <vt:lpwstr>eyJoZGlkIjoiYjAwZDY0MzljNDE2MjBkZjY5ZjY0ODNhMGVjMWM0N2EiLCJ1c2VySWQiOiIxMDA1MzM3ODU4In0=</vt:lpwstr>
  </property>
</Properties>
</file>