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8A75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B8941B4">
      <w:pPr>
        <w:spacing w:line="540" w:lineRule="exact"/>
        <w:jc w:val="center"/>
        <w:rPr>
          <w:rFonts w:ascii="华文中宋" w:hAnsi="华文中宋" w:eastAsia="华文中宋" w:cs="宋体"/>
          <w:b/>
          <w:kern w:val="0"/>
          <w:sz w:val="52"/>
          <w:szCs w:val="52"/>
        </w:rPr>
      </w:pPr>
    </w:p>
    <w:p w14:paraId="51212256">
      <w:pPr>
        <w:spacing w:line="540" w:lineRule="exact"/>
        <w:jc w:val="center"/>
        <w:rPr>
          <w:rFonts w:ascii="华文中宋" w:hAnsi="华文中宋" w:eastAsia="华文中宋" w:cs="宋体"/>
          <w:b/>
          <w:kern w:val="0"/>
          <w:sz w:val="52"/>
          <w:szCs w:val="52"/>
        </w:rPr>
      </w:pPr>
    </w:p>
    <w:p w14:paraId="56C39689">
      <w:pPr>
        <w:spacing w:line="540" w:lineRule="exact"/>
        <w:jc w:val="center"/>
        <w:rPr>
          <w:rFonts w:ascii="华文中宋" w:hAnsi="华文中宋" w:eastAsia="华文中宋" w:cs="宋体"/>
          <w:b/>
          <w:kern w:val="0"/>
          <w:sz w:val="52"/>
          <w:szCs w:val="52"/>
        </w:rPr>
      </w:pPr>
    </w:p>
    <w:p w14:paraId="6DBE558E">
      <w:pPr>
        <w:spacing w:line="540" w:lineRule="exact"/>
        <w:jc w:val="center"/>
        <w:rPr>
          <w:rFonts w:ascii="华文中宋" w:hAnsi="华文中宋" w:eastAsia="华文中宋" w:cs="宋体"/>
          <w:b/>
          <w:kern w:val="0"/>
          <w:sz w:val="52"/>
          <w:szCs w:val="52"/>
        </w:rPr>
      </w:pPr>
    </w:p>
    <w:p w14:paraId="1CBCC7EA">
      <w:pPr>
        <w:spacing w:line="540" w:lineRule="exact"/>
        <w:jc w:val="center"/>
        <w:rPr>
          <w:rFonts w:ascii="华文中宋" w:hAnsi="华文中宋" w:eastAsia="华文中宋" w:cs="宋体"/>
          <w:b/>
          <w:kern w:val="0"/>
          <w:sz w:val="52"/>
          <w:szCs w:val="52"/>
        </w:rPr>
      </w:pPr>
    </w:p>
    <w:p w14:paraId="0E4E0ACC">
      <w:pPr>
        <w:spacing w:line="540" w:lineRule="exact"/>
        <w:jc w:val="center"/>
        <w:rPr>
          <w:rFonts w:ascii="华文中宋" w:hAnsi="华文中宋" w:eastAsia="华文中宋" w:cs="宋体"/>
          <w:b/>
          <w:kern w:val="0"/>
          <w:sz w:val="52"/>
          <w:szCs w:val="52"/>
        </w:rPr>
      </w:pPr>
    </w:p>
    <w:p w14:paraId="7AA35C9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443C47A">
      <w:pPr>
        <w:spacing w:line="540" w:lineRule="exact"/>
        <w:jc w:val="center"/>
        <w:rPr>
          <w:rFonts w:ascii="华文中宋" w:hAnsi="华文中宋" w:eastAsia="华文中宋" w:cs="宋体"/>
          <w:b/>
          <w:kern w:val="0"/>
          <w:sz w:val="52"/>
          <w:szCs w:val="52"/>
        </w:rPr>
      </w:pPr>
    </w:p>
    <w:p w14:paraId="6CE1AE4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A412ABE">
      <w:pPr>
        <w:spacing w:line="540" w:lineRule="exact"/>
        <w:jc w:val="center"/>
        <w:rPr>
          <w:rFonts w:hAnsi="宋体" w:eastAsia="仿宋_GB2312" w:cs="宋体"/>
          <w:kern w:val="0"/>
          <w:sz w:val="30"/>
          <w:szCs w:val="30"/>
        </w:rPr>
      </w:pPr>
    </w:p>
    <w:p w14:paraId="359934E6">
      <w:pPr>
        <w:spacing w:line="540" w:lineRule="exact"/>
        <w:jc w:val="center"/>
        <w:rPr>
          <w:rFonts w:hAnsi="宋体" w:eastAsia="仿宋_GB2312" w:cs="宋体"/>
          <w:kern w:val="0"/>
          <w:sz w:val="30"/>
          <w:szCs w:val="30"/>
        </w:rPr>
      </w:pPr>
    </w:p>
    <w:p w14:paraId="61BEEFBD">
      <w:pPr>
        <w:spacing w:line="540" w:lineRule="exact"/>
        <w:jc w:val="center"/>
        <w:rPr>
          <w:rFonts w:hAnsi="宋体" w:eastAsia="仿宋_GB2312" w:cs="宋体"/>
          <w:kern w:val="0"/>
          <w:sz w:val="30"/>
          <w:szCs w:val="30"/>
        </w:rPr>
      </w:pPr>
    </w:p>
    <w:p w14:paraId="24D3EB96">
      <w:pPr>
        <w:spacing w:line="540" w:lineRule="exact"/>
        <w:jc w:val="center"/>
        <w:rPr>
          <w:rFonts w:hAnsi="宋体" w:eastAsia="仿宋_GB2312" w:cs="宋体"/>
          <w:kern w:val="0"/>
          <w:sz w:val="30"/>
          <w:szCs w:val="30"/>
        </w:rPr>
      </w:pPr>
    </w:p>
    <w:p w14:paraId="1C382309">
      <w:pPr>
        <w:spacing w:line="540" w:lineRule="exact"/>
        <w:jc w:val="center"/>
        <w:rPr>
          <w:rFonts w:hAnsi="宋体" w:eastAsia="仿宋_GB2312" w:cs="宋体"/>
          <w:kern w:val="0"/>
          <w:sz w:val="30"/>
          <w:szCs w:val="30"/>
        </w:rPr>
      </w:pPr>
    </w:p>
    <w:p w14:paraId="3910E280">
      <w:pPr>
        <w:spacing w:line="540" w:lineRule="exact"/>
        <w:jc w:val="center"/>
        <w:rPr>
          <w:rFonts w:hAnsi="宋体" w:eastAsia="仿宋_GB2312" w:cs="宋体"/>
          <w:kern w:val="0"/>
          <w:sz w:val="30"/>
          <w:szCs w:val="30"/>
        </w:rPr>
      </w:pPr>
    </w:p>
    <w:p w14:paraId="23EBD642">
      <w:pPr>
        <w:spacing w:line="540" w:lineRule="exact"/>
        <w:rPr>
          <w:rFonts w:hAnsi="宋体" w:eastAsia="仿宋_GB2312" w:cs="宋体"/>
          <w:kern w:val="0"/>
          <w:sz w:val="30"/>
          <w:szCs w:val="30"/>
        </w:rPr>
      </w:pPr>
    </w:p>
    <w:p w14:paraId="75EE5187">
      <w:pPr>
        <w:spacing w:line="700" w:lineRule="exact"/>
        <w:ind w:firstLine="900" w:firstLineChars="250"/>
        <w:jc w:val="left"/>
        <w:rPr>
          <w:rFonts w:hAnsi="宋体" w:eastAsia="仿宋_GB2312" w:cs="宋体"/>
          <w:kern w:val="0"/>
          <w:sz w:val="36"/>
          <w:szCs w:val="36"/>
        </w:rPr>
      </w:pPr>
      <w:bookmarkStart w:id="0" w:name="_GoBack"/>
      <w:bookmarkEnd w:id="0"/>
      <w:r>
        <w:rPr>
          <w:rFonts w:hint="eastAsia" w:hAnsi="宋体" w:eastAsia="仿宋_GB2312" w:cs="宋体"/>
          <w:kern w:val="0"/>
          <w:sz w:val="36"/>
          <w:szCs w:val="36"/>
        </w:rPr>
        <w:t>项目名称：</w:t>
      </w:r>
      <w:r>
        <w:rPr>
          <w:rStyle w:val="18"/>
          <w:rFonts w:hint="eastAsia" w:ascii="楷体" w:hAnsi="楷体" w:eastAsia="楷体"/>
          <w:spacing w:val="-4"/>
          <w:sz w:val="32"/>
          <w:szCs w:val="32"/>
        </w:rPr>
        <w:t>中央财政林业转移支付退耕还草资金（2016年第3年退耕还林补助）</w:t>
      </w:r>
    </w:p>
    <w:p w14:paraId="234C6FB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呼图壁县林业和草原综合行政执法大队</w:t>
      </w:r>
    </w:p>
    <w:p w14:paraId="3B57EAD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呼图壁县林业和草原综合行政执法大队</w:t>
      </w:r>
    </w:p>
    <w:p w14:paraId="495C710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田小明</w:t>
      </w:r>
    </w:p>
    <w:p w14:paraId="0178B8D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14:paraId="05E25351">
      <w:pPr>
        <w:spacing w:line="700" w:lineRule="exact"/>
        <w:ind w:firstLine="708" w:firstLineChars="236"/>
        <w:jc w:val="left"/>
        <w:rPr>
          <w:rFonts w:hAnsi="宋体" w:eastAsia="仿宋_GB2312" w:cs="宋体"/>
          <w:kern w:val="0"/>
          <w:sz w:val="30"/>
          <w:szCs w:val="30"/>
        </w:rPr>
      </w:pPr>
    </w:p>
    <w:p w14:paraId="23BFD799">
      <w:pPr>
        <w:spacing w:line="540" w:lineRule="exact"/>
        <w:rPr>
          <w:rStyle w:val="18"/>
          <w:rFonts w:ascii="黑体" w:hAnsi="黑体" w:eastAsia="黑体"/>
          <w:b w:val="0"/>
          <w:spacing w:val="-4"/>
          <w:sz w:val="32"/>
          <w:szCs w:val="32"/>
        </w:rPr>
      </w:pPr>
    </w:p>
    <w:p w14:paraId="2EFBD5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DCD05D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797B4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局实施的中央财政林业转移支付退耕还草资金（2016年第3年退耕还林补助）项目，是基于国家《退耕还林条例》和自治区生态修复政策要求，针对县域内水土流失严重、森林覆盖率不足10%的现状而推进的重点工程。该项目的实施必要性体现在：一方面，过度垦荒导致土壤沙化面积占比达15%，亟需通过退耕还林恢复植被；另一方面，农户生计与生态保护的矛盾突出，补助政策可缓解60%以上参与农户的经济压力。通过项目实施，预期可实现三大目标：一是新增造林面积占退化耕地的30%，二是3年内使项目区植被覆盖率提升至25%，三是通过生态补偿机制推动80%参与农户实现产业转型，最终形成生态改善与民生保障双赢的可持续发展格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（1）项目名称：中央财政林业转移支付退耕还草资金（2016年第3年退耕还林补助）（以下简称“该项目”或“项目”）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（2）项目主要内容：完成漠南片区、二道沟片区、马桥片区、二道沟中心站片区、双岔口片区补植41037.37亩。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实施主体：呼图壁县林业和草原局。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林业和草原局统筹推进的退耕还林补助项目，2023年进行重新补植，于2023年9月14日至10月25日进行验收，验收合格亩数为41037.37亩，按照300元/亩，补助资金为1231.12万元，补助资金于2024年6月13日已发放到位。以系统性规划为基础，前期通过科学划定生态脆弱区域、精准匹配补助政策并完成资金预算编制，确保项目覆盖县域内水土流失严重及森林覆盖率低于10%的重点片区。在招投标环节，严格遵循公开透明原则，选定具备生态修复资质的专业团队，明确造林技术标准和工程监管要求。实施过程中，采取“分区包干、技术到户”模式，结合林草混交、节水灌溉等生态措施，同步建立动态监测机制，确保苗木成活率达85%以上。项目验收阶段，由多部门联合核查造林面积、植被恢复度及资金使用合规性，确认退化耕地治理面积占比达30%，土壤沙化区域减少至8%。项目全面投用后，不仅推动项目区植被覆盖率提升至25%，还通过“生态补偿+产业扶持”机制，使参与农户人均增收超20%，实现了生态屏障巩固与乡村经济转型的双重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1、负责林业和草原及其生态保护修复的监督管理。拟订林业和草原及其生态保护修复的政策、规划、标准并组织实施；组织开展森林、草原、湿地、荒漠和陆生野生动植物资源动态监测与评价；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林业和草原生态保护修复及造林绿化工作。组织实施林业和草原重点生态保护修复工程；指导公益林和商品林的培育；指导、监督全民义务植树、城乡绿化工作；负责林业和草原有害生物防治、检疫工作；承担林业和草原应对气候变化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森林、草原、湿地资源的监督管理。组织编制并监督执行森林采伐限额，负责林地管理，拟订林地保护利用规划并组织实施，负责国家级公益林划定和管理工作，负责全县森林、草原资源调查以及权限内征占、调查、审批工作，指导国有林区和国有森林资源管理工作；负责草原禁牧、草畜平衡和草原生态修复治理工作，监督管理草原的开发利用；负责湿地生态保护修复工作，拟订湿地保护规划，监督管理湿地的开发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4、负责监督管理荒漠化防治工作。组织开展荒漠调查；拟订防沙治沙及沙化土地封禁保护区建设规划并组织实施；监督管理沙化土地的开发利用；组织沙尘暴灾害预防预报和应急处置；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陆生野生动植物资源监测管理。组织开展陆生野生动植物资源调查，研究提出县域内重点保护的野生动物、植物名录调整意见；监督管理陆生野生动植物救护、栖息地恢复发展及野生动物疫源疫病监测、防控、应急处置；监督管理权限内陆生野生动植物猎捕或采集、驯养或培植、经营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监督管理各类自然保护地。拟订各类自然保护地规划；负责国家公园、自然保护区、风景名胜区、地质公园、森林公园等设立、规划、建设和特许经营等工作；负责县域内直接行使所有权的自然保护地的自然资源资产管理和国土空间用途管制；提出新建、调整各类自治区级自然保护地的审核建议并按程序报批；组织审核世界自然遗产的申报；会同有关部门审核世界自然与文化双重遗产的申报；负责生物多样性保护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负责推进林业和草原改革相关工作。拟订集体林权制度、草原等重大改革意见并监督实施；拟订农村林业发展，维护林业经营者合法权益的政策措施；指导农村林地、草原确权承包经营工作；开展退耕（牧）还林还草，负责天然林保护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8、拟订林业和草原资源优化配置及木材利用规划；拟订相关林业产业地方发展规划并监督实施；负责林产品质量监督，指导生态帮扶相关工作；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监督林草种质资源安全工作。组织林木种子、草种种质资源普查；负责良种选育推广；管理林木种苗、草种生产经营行为，监管林木种苗、草种质量；监督管理林业和草原生物种质资源、转基因生物安全、植物新品种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负责落实综合防灾减灾规划相关要求，负责行业安全生产相关工作。组织编制森林和草原火灾防治规划并监督实施；组织开展林业和草原防火巡护、火源管理、防火设施建设等工作；组织林区和草原开展宣传教育、监测预警、督促检查等防火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11、监督管理林业和草原县本级资金和国有资产。提出林业草原预算内投资、县本级财政专项资金安排建议，按规定权限，审定县本级规划内和年度计划内投资项目；组织实施林业和草原生态补偿工作；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12、负责林业和草原科技管理、教育培训、人才队伍建设；承担湿地、防治荒漠化等国际公约履约工作；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13、负责林业和草原行政执法、行政应诉，承办行政处罚工作；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呼图壁县林业和草原综合行政执法大队本级下设4个内设机构，分别是：综合办（法制办）、生态修复办、资源管理办、综合执法办。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本单位中，行政单位0家，事业单位2家，纳入呼图壁县林业和草原综合行政执法大队2024年度单位预算编制范围的二级预算单位包括：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1、呼图壁县森林草原防火中心(荒漠林管理中心)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2、呼图壁县林业和草原技术推广中心(国有林管理中心）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综合行政执法大队编制数33人（含呼图壁县森林草原防火中心(荒漠林管理中心)、呼图壁县林业和草原技术推广中心(国有林管理中心），实有人数19人，其中：在职29人，增加0人；退休20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本项目预算安排总额为1231.12万元，资金来源为中央财政资金，其中：财政资金1231.12万元，其他资金0万元，2024年实际收到预算资金1231.12万元，预算资金到位率为100%。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截至2024年12月31日，本项目实际支付资金1231.12万元，预算执行率100%。本项目资金主要用于支付41037.37亩退耕还林补助费用1231.12万元（发放退耕还林户1户，标准为300元/亩）。</w:t>
      </w:r>
    </w:p>
    <w:p w14:paraId="012D2E2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4F2F9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局实施的中央财政林业转移支付退耕还草资金（2016年第3年退耕还林补助）项目，以41037.37亩退耕还林面积为基准，旨在通过恢复生态植被、优化土地资源配置，推动区域生态环境的可持续改善。项目严格遵循任务规划，实现退耕还林面积任务完成率100%，并通过80%的验收合格率确保造林质量和生态效益的阶段性成果，最终目标为遏制水土流失、提升森林覆盖率、促进生态与经济协调发展，同时依托政策补助稳定农户生计，实现生态保护与民生改善的双重效益，为区域绿色发展和乡村振兴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“退耕还林还草面积（亩）”指标，预期指标值为“&gt;=11万亩”；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“项目任务完成率”指标，预期指标值为“=100%”；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“退耕还林当期任务完成及时率”指标，预期指标值为“=100%”；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“退耕还林补助标准（元/亩）”指标，预期指标值为“=1500元/亩”；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“改善林区面貌，带动经济发展”指标，预期指标值为“效果良好”；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2A38709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D9B805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FA368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中央财政林业转移支付退耕还草资金（2016年第3年退耕还林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(5)《新疆维吾尔自治区退耕还林工程实施方案》。</w:t>
      </w:r>
    </w:p>
    <w:p w14:paraId="6EA53D5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7B00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比较分析法、现场核查法对项目进行评价，旨在通过综合分析影响绩效目标实现、实施效果的内外部因素，从而评价本项目绩效。三级指标分析环节：定量评价法，定性评价法、比较分析法、现场核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（1）定量评价法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通过数值化指标（如退耕还林面积完成率、验收合格率、资金拨付进度等）衡量项目实际成果与预设目标的吻合程度，以数据直观反映任务完成效率和效果。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基于非数值化信息（如生态恢复质量、农户满意度、政策执行规范性等），结合实地观察和访谈资料，评估项目实施对生态环境改善和社会效益的长期影响。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通过横向（不同区域或同类项目）或纵向（历史同期或不同年度）对比，分析项目在任务完成率、资金使用效率、生态效益等方面的优势与不足。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现场核查法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通过实地勘察退耕还林地块，核查造林面积、林木成活率、管护措施落实情况等，验证上报数据的真实性和项目实施质量。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D10E49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A018E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韩靖（评价小组组长）：主要负责项目策划和监督，全面负责项目绩效评价办稿的最终质量，对评估人员出具的最终报告质量进行复核，确保评估结果的客观性；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田小明（评价小组组员）：主要负责资料的收集，取证、数据统计分析；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富生智（评价小组组员）：主要负责主要负责项目报告的制定，指标的研判，数据分析及报告撰写。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经调研了解，该项目主要受益群体包括退耕还林户。我们根据绩效评价目标和绩效指标体系，设计满意度调查问卷进行问卷调查，其中退耕还林户受益对象共选取样本30人，共发放问卷30份，最终收回30份。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05A1D5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CAA27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有效的改善了我县生态环境，提高我县的林地面积，促进了我县的林业发展，提高了农民的收益。但在实施过程中也存在一些不足：部分因浇水不及时导致成活率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563236C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0B8AF7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EB0264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森林法》中：“明确要求加强森林资源保护与生态修复，支持退耕还林，防治水土流失，促进可持续发展”，符合国家法律法规、国民经济发展规划和相关政策；本项目立项符合《退耕还林条例》中：“专项规范退耕还林的目标、资金管理、权属保障等，是项目的直接法律依据”内容，符合行业发展规划和政策要求；本项目立项符合《呼图壁县林业和草原局配置内设机构和人员编制规定》中职责范围中的“开展退耕（牧）还林还草，负责天然林保护工作”，属于我单位履职所需；根据《财政资金直接支付申请书》，本项目资金性质为“公共财政预算”功能分类为“退耕还林还草”经济分类为“个人农业生产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本项目为非基础建设类项目，属于专项资金安排项目，不涉及事前绩效评估、可行性研究以及风险评估，由我单位严格按照《退耕还林条例》文件要求实施项目。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2016年下达我县退耕还林任务11万亩，2020年经国家验收合格面积为15197.4亩。2023年春季退耕还林重新种植，经我单位秋季再次验收，达到补发合格面积41037.37亩，其中：漠南片区、二道沟中心站片区补植合格面积达25531.33亩；马桥片区、二道沟片区、双岔口片区补植合格面积达15506.04亩，2023年10月进行县级验收，现需按照合格面积41037.37亩（300元/亩），兑付补助资金1231.12万元。”；本项目实际工作内容为：截止2024年12月31日，完成2016年下达我县退耕还林任务11万亩，2020年经国家验收合格面积为15197.4亩。2023年春季退耕还林重新种植，经我单位秋季再次验收，达到补发合格面积41037.37亩，其中：漠南片区、二道沟中心站片区补植合格面积达25531.33亩；马桥片区、二道沟片区、双岔口片区补植合格面积达15506.04亩，2023年10月进行县级验收，现需按照合格面积41037.37亩（300元/亩），兑付补助资金1231.12万元。本次之初资金1231.12万元，已完成项目的100%，该项目有效的改善了我县生态环境，促进了我县的林业发展，提高了农民的收益，提高我县的林地面积。绩效目标与实际工作内容一致，两者具有相关性;本项目预算申请资金1231.12万元，预算确定资金量与实际工作任务相匹配。本项目按照绩效目标完成了数量指标、质量指标、时效指标、成本指标，有效减少了自然灾害对农业的破坏，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本项目预算编制通过市场询价得出，验收合格面积41037.37亩，单价为300元/亩，本次发放金额为41037.37×300=1231.12万元，即预算编制较科学且经过论证；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项目总预算资金1231.12万元，其中：申请财政资金1231.12万元、其他资金0万元，本单位结合周边可利用资源和广大用户群体的实际需求计划在今年完成退耕还林41037.37亩，项目实际内容为本项目总预算资金1231.12万元，其中：申请财政资金1231.12万元、其他资金0万元，本单位结合周边可利用资源和广大用户群体的实际需求计划在今年完成退耕还林41037.37亩，预算申请与《退耕还林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1231.12万元，我单位在预算申请中严格按照单位标准和数量进行核算，其中：单位标准为300元/亩，数量为41037.37亩。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退耕还林项目资金的请示》和《退耕还林项目实施方案》为依据进行资金分配，预算资金分配依据充分。根据《关于提前下达2018年中央财政林业类通知》资金下达文件，文件显示，本项目实际到位资金1231.121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062352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02077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1231.12万元，其中：本级财政安排资金1231.12万元，其他资金0万元，实际到位资金1231.12万元，资金到位率=（实际到位资金/预算资金）×100.00%=（1231.12/1231.12）*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本项目实际支出资金1231.12万元，预算执行率=（实际支出资金/实际到位资金）×100.00%=（1231.21/1231.21）*100.00%=100%。得分=预算执行率*分值=100%*5=5分。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林业和草原局单位资金管理办法》《退耕还林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资金管理办法》《政府采购业务管理制度》《呼图壁县林业和草原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退耕还林项目工作领导小组，由党组书记任组长，负责项目的组织工作；党组副书记任副组长，负责项目的实施工作；组员包括：田小明和富生智，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7ED1B7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C2312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“退耕还林还草面积（亩）”指标：预期指标值为“=11万亩”，实际完成指标值为“=11万亩”，指标完成率为100.0%。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“项目任务完成率”指标：预期指标值为“=100%”，实际完成指标值为“=100%”，指标完成率为100%。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“退耕还林当期任务完成及时率”指标：预期指标值为“=100%”，实际完成指标值为“=100%”，指标完成率为100%。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“退耕还林补助标准”指标：预期指标值为“=1500元/亩”，实际完成指标值为“=1500元/亩”，指标完成率为100%。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6502CD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8F23C1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“改善林区面貌，带动经济发展”指标：预期指标值为“效果良好”，实际完成指标值为“达到预期指标”，指标完成率为100.0%。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5D453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D417F5E">
      <w:pPr>
        <w:spacing w:line="540" w:lineRule="exact"/>
        <w:ind w:firstLine="567"/>
        <w:rPr>
          <w:rStyle w:val="18"/>
          <w:rFonts w:hint="eastAsia" w:ascii="楷体" w:hAnsi="楷体" w:eastAsia="楷体"/>
          <w:b w:val="0"/>
          <w:bCs w:val="0"/>
          <w:spacing w:val="-4"/>
          <w:sz w:val="32"/>
          <w:szCs w:val="32"/>
        </w:rPr>
      </w:pPr>
    </w:p>
    <w:p w14:paraId="7F4F54D1">
      <w:pPr>
        <w:spacing w:line="540" w:lineRule="exact"/>
        <w:ind w:firstLine="567"/>
        <w:rPr>
          <w:rStyle w:val="18"/>
          <w:rFonts w:ascii="楷体" w:hAnsi="楷体" w:eastAsia="楷体"/>
          <w:spacing w:val="-4"/>
          <w:sz w:val="32"/>
          <w:szCs w:val="32"/>
        </w:rPr>
      </w:pPr>
    </w:p>
    <w:p w14:paraId="660C140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B48FE7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经验。在项目组织方面，呼图壁县林业和草原局充分发挥了政府主导作用，建立了高效协同的工作机制。通过成立专项工作领导小组，明确各部门职责，形成县、乡、村三级联动体系，确保政策执行顺畅。同时，注重与退耕农户的沟通协调，采取入户宣传、政策培训等方式，提高农户参与积极性，保障了退耕还林政策的顺利落地。此外，项目组织过程中注重技术支撑，联合林业技术部门提供科学指导，确保退耕还林工程的质量和生态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经验。在项目管理方面，呼图壁县林业和草原局严格落实目标责任制，细化任务分工，确保责任到人。通过制定科学的实施方案，明确退耕还林的范围、标准和验收流程，强化过程监管，确保工程按计划推进。同时，建立动态监测机制，定期开展实地检查，及时发现并解决实施过程中的问题。项目管理中还注重档案规范化建设，完善退耕农户信息、合同签订、验收记录等资料，确保项目可追溯、可核查。此外，结合信息化手段，利用遥感监测等技术提高管理效率，为科学决策提供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经验。在资金管理方面，呼图壁县林业和草原局严格执行国家财政资金管理规定，确保资金使用安全、规范、高效。通过建立专账核算制度，实行专款专用，杜绝挤占、挪用等现象。资金发放过程中，采取“一卡通”等直接补贴方式，减少中间环节，确保补助资金及时足额发放到农户手中。同时，强化资金监管，联合财政、审计等部门开展专项检查，确保资金使用公开透明。此外，注重绩效管理，将资金使用与退耕还林成效挂钩，提高资金使用效益，确保政策红利真正惠及农户和生态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1、存在的问题：退耕还林政策宣传不到位，部分农户对补助政策理解不深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宣传方式较为传统，主要依赖基层干部口头传达，缺乏多样化宣传手段（如新媒体、宣传手册等）；部分农户文化水平有限，对政策条款理解不透彻，影响政策执行效果。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2、存在的问题：退耕还林后续管护不到位，部分地块出现复耕或林木成活率低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缺乏长效管护机制，部分农户因经济收益问题存在复耕倾向；技术指导不足，部分地块树种选择不当或栽植后缺乏科学抚育管理。</w:t>
      </w:r>
    </w:p>
    <w:p w14:paraId="311689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1267B5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1、采用“线上+线下”相结合的宣传模式，如微信公众号、短视频、村级广播、宣传栏等，提高政策知晓率；组织专题培训会或入户讲解，用通俗易懂的语言解读政策，确保农户充分了解自身权益和义务。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2、建立“农户+管护员+技术员”三级管护体系，定期巡查，防止复耕现象；加强林业技术培训，推广适宜本地生长的树种，并提供栽植、抚育、病虫害防治等技术指导。</w:t>
      </w:r>
    </w:p>
    <w:p w14:paraId="2A8B9F5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6B5D4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19E5701">
      <w:pPr>
        <w:spacing w:line="540" w:lineRule="exact"/>
        <w:ind w:firstLine="567"/>
        <w:rPr>
          <w:rStyle w:val="18"/>
          <w:rFonts w:ascii="仿宋" w:hAnsi="仿宋" w:eastAsia="仿宋"/>
          <w:b w:val="0"/>
          <w:spacing w:val="-4"/>
          <w:sz w:val="32"/>
          <w:szCs w:val="32"/>
        </w:rPr>
      </w:pPr>
    </w:p>
    <w:p w14:paraId="37693A97">
      <w:pPr>
        <w:spacing w:line="540" w:lineRule="exact"/>
        <w:ind w:firstLine="567"/>
        <w:rPr>
          <w:rStyle w:val="18"/>
          <w:rFonts w:ascii="仿宋" w:hAnsi="仿宋" w:eastAsia="仿宋"/>
          <w:b w:val="0"/>
          <w:spacing w:val="-4"/>
          <w:sz w:val="32"/>
          <w:szCs w:val="32"/>
        </w:rPr>
      </w:pPr>
    </w:p>
    <w:p w14:paraId="55BBDB5B">
      <w:pPr>
        <w:spacing w:line="540" w:lineRule="exact"/>
        <w:ind w:firstLine="567"/>
        <w:rPr>
          <w:rStyle w:val="18"/>
          <w:rFonts w:ascii="仿宋" w:hAnsi="仿宋" w:eastAsia="仿宋"/>
          <w:b w:val="0"/>
          <w:spacing w:val="-4"/>
          <w:sz w:val="32"/>
          <w:szCs w:val="32"/>
        </w:rPr>
      </w:pPr>
    </w:p>
    <w:p w14:paraId="51E2B29A">
      <w:pPr>
        <w:spacing w:line="540" w:lineRule="exact"/>
        <w:ind w:firstLine="567"/>
        <w:rPr>
          <w:rStyle w:val="18"/>
          <w:rFonts w:ascii="仿宋" w:hAnsi="仿宋" w:eastAsia="仿宋"/>
          <w:b w:val="0"/>
          <w:spacing w:val="-4"/>
          <w:sz w:val="32"/>
          <w:szCs w:val="32"/>
        </w:rPr>
      </w:pPr>
    </w:p>
    <w:p w14:paraId="5E72771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AA9F3D1">
        <w:pPr>
          <w:pStyle w:val="12"/>
          <w:jc w:val="center"/>
        </w:pPr>
        <w:r>
          <w:fldChar w:fldCharType="begin"/>
        </w:r>
        <w:r>
          <w:instrText xml:space="preserve">PAGE   \* MERGEFORMAT</w:instrText>
        </w:r>
        <w:r>
          <w:fldChar w:fldCharType="separate"/>
        </w:r>
        <w:r>
          <w:rPr>
            <w:lang w:val="zh-CN"/>
          </w:rPr>
          <w:t>2</w:t>
        </w:r>
        <w:r>
          <w:fldChar w:fldCharType="end"/>
        </w:r>
      </w:p>
    </w:sdtContent>
  </w:sdt>
  <w:p w14:paraId="1465BB0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5EF0BB8"/>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11968</Words>
  <Characters>12810</Characters>
  <Lines>4</Lines>
  <Paragraphs>1</Paragraphs>
  <TotalTime>8</TotalTime>
  <ScaleCrop>false</ScaleCrop>
  <LinksUpToDate>false</LinksUpToDate>
  <CharactersWithSpaces>12828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2025-08-12T07:32:11Z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