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F3E8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A2DB101">
      <w:pPr>
        <w:spacing w:line="540" w:lineRule="exact"/>
        <w:jc w:val="center"/>
        <w:rPr>
          <w:rFonts w:ascii="华文中宋" w:hAnsi="华文中宋" w:eastAsia="华文中宋" w:cs="宋体"/>
          <w:b/>
          <w:kern w:val="0"/>
          <w:sz w:val="52"/>
          <w:szCs w:val="52"/>
        </w:rPr>
      </w:pPr>
    </w:p>
    <w:p w14:paraId="63502099">
      <w:pPr>
        <w:spacing w:line="540" w:lineRule="exact"/>
        <w:jc w:val="center"/>
        <w:rPr>
          <w:rFonts w:ascii="华文中宋" w:hAnsi="华文中宋" w:eastAsia="华文中宋" w:cs="宋体"/>
          <w:b/>
          <w:kern w:val="0"/>
          <w:sz w:val="52"/>
          <w:szCs w:val="52"/>
        </w:rPr>
      </w:pPr>
    </w:p>
    <w:p w14:paraId="4D61DE9F">
      <w:pPr>
        <w:spacing w:line="540" w:lineRule="exact"/>
        <w:jc w:val="center"/>
        <w:rPr>
          <w:rFonts w:ascii="华文中宋" w:hAnsi="华文中宋" w:eastAsia="华文中宋" w:cs="宋体"/>
          <w:b/>
          <w:kern w:val="0"/>
          <w:sz w:val="52"/>
          <w:szCs w:val="52"/>
        </w:rPr>
      </w:pPr>
    </w:p>
    <w:p w14:paraId="1963741F">
      <w:pPr>
        <w:spacing w:line="540" w:lineRule="exact"/>
        <w:jc w:val="center"/>
        <w:rPr>
          <w:rFonts w:ascii="华文中宋" w:hAnsi="华文中宋" w:eastAsia="华文中宋" w:cs="宋体"/>
          <w:b/>
          <w:kern w:val="0"/>
          <w:sz w:val="52"/>
          <w:szCs w:val="52"/>
        </w:rPr>
      </w:pPr>
    </w:p>
    <w:p w14:paraId="681D61EF">
      <w:pPr>
        <w:spacing w:line="540" w:lineRule="exact"/>
        <w:jc w:val="center"/>
        <w:rPr>
          <w:rFonts w:ascii="华文中宋" w:hAnsi="华文中宋" w:eastAsia="华文中宋" w:cs="宋体"/>
          <w:b/>
          <w:kern w:val="0"/>
          <w:sz w:val="52"/>
          <w:szCs w:val="52"/>
        </w:rPr>
      </w:pPr>
    </w:p>
    <w:p w14:paraId="09A8135A">
      <w:pPr>
        <w:spacing w:line="540" w:lineRule="exact"/>
        <w:jc w:val="center"/>
        <w:rPr>
          <w:rFonts w:ascii="华文中宋" w:hAnsi="华文中宋" w:eastAsia="华文中宋" w:cs="宋体"/>
          <w:b/>
          <w:kern w:val="0"/>
          <w:sz w:val="52"/>
          <w:szCs w:val="52"/>
        </w:rPr>
      </w:pPr>
    </w:p>
    <w:p w14:paraId="3B7A929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33BB58D">
      <w:pPr>
        <w:spacing w:line="540" w:lineRule="exact"/>
        <w:jc w:val="center"/>
        <w:rPr>
          <w:rFonts w:ascii="华文中宋" w:hAnsi="华文中宋" w:eastAsia="华文中宋" w:cs="宋体"/>
          <w:b/>
          <w:kern w:val="0"/>
          <w:sz w:val="52"/>
          <w:szCs w:val="52"/>
        </w:rPr>
      </w:pPr>
    </w:p>
    <w:p w14:paraId="19970CB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019B132">
      <w:pPr>
        <w:spacing w:line="540" w:lineRule="exact"/>
        <w:jc w:val="center"/>
        <w:rPr>
          <w:rFonts w:hAnsi="宋体" w:eastAsia="仿宋_GB2312" w:cs="宋体"/>
          <w:kern w:val="0"/>
          <w:sz w:val="30"/>
          <w:szCs w:val="30"/>
        </w:rPr>
      </w:pPr>
    </w:p>
    <w:p w14:paraId="6F91B8CC">
      <w:pPr>
        <w:spacing w:line="540" w:lineRule="exact"/>
        <w:jc w:val="center"/>
        <w:rPr>
          <w:rFonts w:hAnsi="宋体" w:eastAsia="仿宋_GB2312" w:cs="宋体"/>
          <w:kern w:val="0"/>
          <w:sz w:val="30"/>
          <w:szCs w:val="30"/>
        </w:rPr>
      </w:pPr>
    </w:p>
    <w:p w14:paraId="66B02ACD">
      <w:pPr>
        <w:spacing w:line="540" w:lineRule="exact"/>
        <w:jc w:val="center"/>
        <w:rPr>
          <w:rFonts w:hAnsi="宋体" w:eastAsia="仿宋_GB2312" w:cs="宋体"/>
          <w:kern w:val="0"/>
          <w:sz w:val="30"/>
          <w:szCs w:val="30"/>
        </w:rPr>
      </w:pPr>
    </w:p>
    <w:p w14:paraId="44A01FF2">
      <w:pPr>
        <w:spacing w:line="540" w:lineRule="exact"/>
        <w:jc w:val="center"/>
        <w:rPr>
          <w:rFonts w:hAnsi="宋体" w:eastAsia="仿宋_GB2312" w:cs="宋体"/>
          <w:kern w:val="0"/>
          <w:sz w:val="30"/>
          <w:szCs w:val="30"/>
        </w:rPr>
      </w:pPr>
    </w:p>
    <w:p w14:paraId="32AAF298">
      <w:pPr>
        <w:spacing w:line="540" w:lineRule="exact"/>
        <w:jc w:val="center"/>
        <w:rPr>
          <w:rFonts w:hAnsi="宋体" w:eastAsia="仿宋_GB2312" w:cs="宋体"/>
          <w:kern w:val="0"/>
          <w:sz w:val="30"/>
          <w:szCs w:val="30"/>
        </w:rPr>
      </w:pPr>
    </w:p>
    <w:p w14:paraId="50059D01">
      <w:pPr>
        <w:spacing w:line="540" w:lineRule="exact"/>
        <w:jc w:val="center"/>
        <w:rPr>
          <w:rFonts w:hAnsi="宋体" w:eastAsia="仿宋_GB2312" w:cs="宋体"/>
          <w:kern w:val="0"/>
          <w:sz w:val="30"/>
          <w:szCs w:val="30"/>
        </w:rPr>
      </w:pPr>
    </w:p>
    <w:p w14:paraId="79D405ED">
      <w:pPr>
        <w:spacing w:line="540" w:lineRule="exact"/>
        <w:rPr>
          <w:rFonts w:hAnsi="宋体" w:eastAsia="仿宋_GB2312" w:cs="宋体"/>
          <w:kern w:val="0"/>
          <w:sz w:val="30"/>
          <w:szCs w:val="30"/>
        </w:rPr>
      </w:pPr>
    </w:p>
    <w:p w14:paraId="0FDFE73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1BA761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2024年州本级残疾人事业发展补助资金（第一批）</w:t>
      </w:r>
    </w:p>
    <w:p w14:paraId="3AB3E03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呼图壁县残疾人联合会级</w:t>
      </w:r>
    </w:p>
    <w:p w14:paraId="4C67CD0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呼图壁县残疾人联合会</w:t>
      </w:r>
    </w:p>
    <w:p w14:paraId="4C9BD47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季刚</w:t>
      </w:r>
    </w:p>
    <w:p w14:paraId="3A3285BE">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3ACCBE1B">
      <w:pPr>
        <w:spacing w:line="700" w:lineRule="exact"/>
        <w:ind w:firstLine="708" w:firstLineChars="236"/>
        <w:jc w:val="left"/>
        <w:rPr>
          <w:rFonts w:hAnsi="宋体" w:eastAsia="仿宋_GB2312" w:cs="宋体"/>
          <w:kern w:val="0"/>
          <w:sz w:val="30"/>
          <w:szCs w:val="30"/>
        </w:rPr>
      </w:pPr>
    </w:p>
    <w:p w14:paraId="3839858D">
      <w:pPr>
        <w:spacing w:line="540" w:lineRule="exact"/>
        <w:rPr>
          <w:rStyle w:val="18"/>
          <w:rFonts w:ascii="黑体" w:hAnsi="黑体" w:eastAsia="黑体"/>
          <w:b w:val="0"/>
          <w:spacing w:val="-4"/>
          <w:sz w:val="32"/>
          <w:szCs w:val="32"/>
        </w:rPr>
      </w:pPr>
    </w:p>
    <w:p w14:paraId="205F6B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65DD2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03BA1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是社会的弱势群体，保障他们的权益、推动残疾人事业发展是社会公平正义的体现，也是社会文明进步的标志。通过设立补助资金项目，能够让残疾人共享社会发展成果，感受到社会的关爱和温暖，增强他们的获得感、幸福感和安全感。随着经济社会的发展，人们对残疾人事业的关注度不断提高，对残疾人服务的需求也日益多样化。设立补助资金项目，有助于在康复、教育、就业、文化、体育等多个领域全面</w:t>
      </w:r>
      <w:bookmarkStart w:id="0" w:name="_GoBack"/>
      <w:bookmarkEnd w:id="0"/>
      <w:r>
        <w:rPr>
          <w:rStyle w:val="18"/>
          <w:rFonts w:hint="eastAsia" w:ascii="楷体" w:hAnsi="楷体" w:eastAsia="楷体"/>
          <w:b w:val="0"/>
          <w:bCs w:val="0"/>
          <w:spacing w:val="-4"/>
          <w:sz w:val="32"/>
          <w:szCs w:val="32"/>
        </w:rPr>
        <w:t>推进残疾人事业发展，提升残疾人事业的整体水平，实现残疾人事业与经济社会协调发展。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新疆维吾尔自治区残疾人事业发展补助资金管理办法》明确资金使用范围。残疾人事业发展补助资金统筹用于残疾人康复、教育、就业、社会保障、托养、宣传、文化、体育、无障碍改造以及其他残疾人服务等十个方面的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维吾尔自治区“十四五”残疾人保障和发展规划》强调：残疾人事业是中国特色社会主义事业的重要组成部分，扶残助残是社会文明进步的重要标志。习近平总书记强调“残疾人事业一定要继续推动”，要“促进残疾人全面发展和共同富裕”。全面建设社会主义现代化国家的新征程，绝不能让残疾人掉队，自治区残疾人事业发展更不能滞后。“十四五”时期，要在巩固拓展贫困残疾人脱贫攻坚成果的基础上，补齐残疾人民生短板，继续加快发展残疾人事业，团结带领残疾人和全区各族人民一道，积极投身全面建设社会主义现代化国家的伟大实践，共建共享更加幸福美好的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（1）项目名称：2024年州本级残疾人事业发展补助资金（第一批）（以下简称“该项目”或“项目”）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（2）项目主要内容：2024年州本级残疾人事业发展补助资金主要用于残疾人就业培训、肢体残疾人康复、残疾儿童少年康复救助、残疾人社区康复站规范化建设、乡镇卫生院残疾人康复站康复器材购置。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实施主体：呼图壁县残疾人联合会。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1、肢体残疾人康复项目于2024年1月开始实施，全县残疾人肢体康复当年任务为94人，按照就近、便利的原则，县残联将94名康复人员安排到各乡镇卫生院，由各乡镇卫生院结合《家庭医生签约》服务，将残疾人康复内容纳入其中，并上门开展康复服务，该项目于2024年10月30日结束，经县残联通过走访服务对象、查阅乡镇卫生院档案资料进行验收，该项目已全面完成。2、残疾儿童康复救助项目于2024年2月开始实施，县残联将  名残疾儿童转介至新疆儿童医院、乌鲁木齐市启聆康复中心等康复机构进行康复训练，及时向康复机构拨付专项资金，监督康复机构落实康复计划，该项目于2024年12月10日结束，经县残联通过走访服务对象家长（监护人）、查阅康复机构档案资料进行验收，该项目已全面完成。3、残疾人社区康复站规范化建设项目于2024年2月开始实施，将呼图壁镇吉祥社区打造成为残疾人社区规范化康复站，增添了康复设备，聘请了康复协调员，该项目于2024年12月10日结束，经县残联通过走访服务对象家长、查阅吉祥社区康复站档案资料进行验收，该项目已全面完成。4、乡镇卫生院残疾人康复站康复器材购置项目于2024年2月开始实施，根据上级残联要求和残疾群众需求，恢复了二十里店镇、园户村镇、五工台镇三家卫生院的残疾人康复站，按照规范化康复站配备标准，配齐了各类康复器材，该项目于2024年12月10日结束，经实地验收，该项目已全面完成。5、残疾人培训项目于2024年3月开始实施，5月30日结束，该项目已全面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残疾人联合会是具有代表、服务、管理三种职能:代表残疾人公共利益，维护残疾人合法权益；团结教育残疾人，为残疾人服务；履行法律赋予的职责，承担县人民政府委托的任务，管理和发展残疾人事业。为残疾人康复提供保障服务，包括残疾人康复医疗、康复护理、康复训练等业务服务；为残疾人就业提供保障服务，包括残疾人的待业调查、就业登记、职业培训等业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呼图壁县残疾人联合会无下属预算单位。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呼图壁县残疾人联合会编制数9人，实有人数14人，其中：在职9人，增加0人；退休5人，增加0人；离休0人，增加0人。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本项目预算安排总额为16.35万元，资金来源为州本级，其中：财政资金16.35万元，其他资金0万元，2024年实际收到预算资金16.35万元，预算资金到位率为100%。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16.35万元，预算执行率100.00%。本项目资金主要用于支付肢体残疾人成人康复费用3.64万元、残疾儿童少年康复救助费用1.2万元、残疾人社区康复站规范化建设费用3.91万元，乡镇卫生院残疾人康复站康复器材购置费用3.99万元，培训费用3.61万元。</w:t>
      </w:r>
    </w:p>
    <w:p w14:paraId="6892CD0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10F8D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16.35万元用于25人成人肢体康复，18人残疾人就业培训，4人残疾儿童康复救助，将呼图壁镇吉祥社区康复站打造成为规范化康复站，恢复二十里店镇、园户村镇、五工台镇三家卫生院的残疾人康复站，按照规范化康复站配备标准，配齐各类康复器材，通过该项目的实施，提升残疾人生活质量和幸福指数，促进呼图壁县残疾人事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“残疾人培训项目数量”指标，预期指标值为“大于等于18项”；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“肢体残疾人成人康复人数”指标，预期指标值为“大于等于25人”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“残疾儿童少年康复救助人数”指标，预期指标值为“大于等于4人”；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“肢体儿童康复率”，预期指标值为“&gt;=100%”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“康复救助及时率”指标，预期指标值为“&gt;=100%”；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“每年肢体残疾人补助标准”指标，预期指标值为“&lt;=3000元/人”；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“每年儿童康复救助标准”指标，预期指标值为“&lt;=1.70万元/人”；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“推进残障人士综合发展”指标，预期指标值为“逐步推进”；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“残障人士满意度”指标，预期指标值为“&gt;=95%”。</w:t>
      </w:r>
    </w:p>
    <w:p w14:paraId="0C6893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1ABCAF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D9AC76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此次我单位根据《财政支出绩效评价管理暂行办法》（财预〔2020〕10号）文件要求实施评价工作，本次评价对象为残疾人事业发展补助资金项目，评价核心为项目资金、项目产出、项目效益。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2024昌州财社27号文、项目评价调查问卷</w:t>
      </w:r>
    </w:p>
    <w:p w14:paraId="0B54169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075C63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B35B68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F6400D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季刚（评价小组组长）：主要负责项目策划和监督，全面负责项目绩效评价办稿的最终质量，对评估人员出具的最终报告质量进行复核，确保评估结果的客观性；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郭玲（评价小组组员）：主要负责资料的收集，取证、数据统计分析；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赵静（评价小组组员）：主要负责项目报告的制定，指标的研判，数据分析及报告撰写。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全县残疾人。我们根据绩效评价目标和绩效指标体系，设计满意度调查问卷进行问卷调查，其中肢体残疾人康复项目受益对象共选取样本25人，共发放问卷25份，最终收回25份；残疾儿童康复救助项目受益对象共选取样本11人，共发放问卷11份，最终收回11份。残疾人社区康复站规范化建设项目受益对象共选取样本10人，共发放问卷10份，最终收回10份。乡镇卫生院残疾人康复站康复器材购置项目受益对象共选取样本10人，共发放问卷10份，最终收回10份。残疾人培训项目受益对象共选取样本12人，共发放问卷12份，最终收回12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6AE88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544010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将呼图壁镇吉祥社区康复站打造成为了规范化康复站，恢复了二十里店镇、园户村镇、五工台镇三家卫生院的残疾人康复站，按照规范化康复站配备标准，配齐了各类康复器材，通过该项目的实施，提升了残疾人生活质量和幸福指数，促进了呼图壁县残疾人事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p>
    <w:p w14:paraId="1F92A11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237854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8A732E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本项目立项符合新疆维吾尔自治区颁发的《新疆维吾尔自治区残疾人事业发展补助资金管理办法》中：“残疾人事业是中国特色社会主义事业的重要组成部分，扶残助残是社会文明进步的重要标志” 内容，符合国家法律法规、国民经济发展规划和相关政策；本项目立项符合《新疆维吾尔自治区残疾人事业发展补助资金管理办法》中：“残疾人事业发展补助资金统筹用于残疾人康复、教育、就业、社会保障、托养、宣传、文化、体育、无障碍改造以及其他残疾人服务等十个方面的支出。”内容，符合行业发展规划和政策要求；本项目立项符合《呼图壁县残疾人联合会配置内设机构和人员编制规定》中职责范围中的“代表残疾人公共利益，维护残疾人合法权益；团结教育残疾人，为残疾人服务；履行法律赋予的职责，承担县人民政府委托的任务，管理和发展残疾人事业。为残疾人康复提供保障服务，包括残疾人康复医疗、康复护理、康复训练等业务服务；为残疾人就业提供保障服务，包括残疾人的待业调查、就业登记、职业培训等业务。”，属于我单位履职所需；根据《财政资金直接支付申请书》，本项目资金性质为“公共财政预算”功能分类为“残疾人事业”经济分类为“残疾人康复”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本项目为非基础建设类项目，属于专项资金安排项目，不涉及事前绩效评估、可行性研究以及风险评估，由我单位严格按照2024昌州财社27号文文件要求实施项目。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16.35万元用于25人成人肢体康复，18人残疾人就业培训，4人残疾儿童康复救助，将呼图壁镇吉祥社区康复站打造成为规范化康复站，恢复二十里店镇、园户村镇、五工台镇三家卫生院的残疾人康复站，按照规范化康复站配备标准，配齐各类康复器材，通过该项目的实施，提升残疾人生活质量和幸福指数，促进呼图壁县残疾人事业发展。”；本项目实际工作内容为：1、肢体残疾人康复项目于2024年1月开始实施，全县残疾人肢体康复当年任务为94人，按照就近、便利的原则，县残联将94名康复人员安排到各乡镇卫生院，由各乡镇卫生院结合《家庭医生签约》服务，将残疾人康复内容纳入其中，并上门开展康复服务，该项目于2024年10月30日结束，经县残联通过走访服务对象、查阅乡镇卫生院档案资料进行验收，该项目已全面完成。2、残疾儿童康复救助项目于2024年2月开始实施，县残联将  名残疾儿童转介至新疆儿童医院、乌鲁木齐市启聆康复中心等康复机构进行康复训练，及时向康复机构拨付专项资金，监督康复机构落实康复计划，该项目于2024年12月10日结束，经县残联通过走访服务对象家长（监护人）、查阅康复机构档案资料进行验收，该项目已全面完成。3、残疾人社区康复站规范化建设项目于2024年2月开始实施，将呼图壁镇吉祥社区打造成为残疾人社区规范化康复站，增添了康复设备，聘请了康复协调员，该项目于2024年12月10日结束，经县残联通过走访服务对象家长、查阅吉祥社区康复站档案资料进行验收，该项目已全面完成。4、乡镇卫生院残疾人康复站康复器材购置项目于2024年2月开始实施，根据上级残联要求和残疾群众需求，恢复了二十里店镇、园户村镇、五工台镇三家卫生院的残疾人康复站，按照规范化康复站配备标准，配齐了各类康复器材，该项目于2024年12月10日结束，经实地验收，该项目已全面完成。5、残疾人培训项目于2024年3月开始实施，5月30日结束，该项目已全面完成。；绩效目标与实际工作内容一致，两者具有相关性;本项目预算申请资金16.35万元，预算确定资金量与实际工作任务相匹配。本项目按照绩效目标完成了数量指标、质量指标、时效指标、成本指标，将呼图壁镇吉祥社区康复站打造成为了规范化康复站，恢复了二十里店镇、园户村镇、五工台镇三家卫生院的残疾人康复站，按照规范化康复站配备标准，配齐了各类康复器材，通过该项目的实施，提升了残疾人生活质量和幸福指数，促进了呼图壁县残疾人事业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本项目预算编制通过文件要求得出，即预算编制较科学且经过论证；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本项目拟投入16.35万元用于25人成人肢体康复，18人残疾人就业培训，4人残疾儿童康复救助，将呼图壁镇吉祥社区康复站打造成为规范化康复站，恢复二十里店镇、园户村镇、五工台镇三家卫生院的残疾人康复站，按照规范化康复站配备标准，配齐各类康复器材，通过该项目的实施，提升残疾人生活质量和幸福指数，促进呼图壁县残疾人事业发展。，项目实际内容为本项目拟投入16.35万元用于25人成人肢体康复，18人残疾人就业培训，4人残疾儿童康复救助，将呼图壁镇吉祥社区康复站打造成为规范化康复站，恢复二十里店镇、园户村镇、五工台镇三家卫生院的残疾人康复站，按照规范化康复站配备标准，配齐各类康复器材，通过该项目的实施，提升残疾人生活质量和幸福指数，促进呼图壁县残疾人事业发展。，预算申请与《2024年州本级残疾人事业发展补助资金（第一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16.35万元，我单位在预算申请中严格按照单位标准和数量进行核算，其中：用于支付肢体残疾人成人康复费用3.64万元、残疾儿童少年康复救助费用1.2万元、残疾人社区康复站规范化建设费用3.91万元，乡镇卫生院残疾人康复站康复器材购置费用3.99万元，培训费用3.61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州本级残疾人事业发展补助资金（第一批）项目资金的请示》和《2024年州本级残疾人事业发展补助资金（第一批）项目实施方案》为依据进行资金分配，预算资金分配依据充分。根据《2024年州本级残疾人事业发展补助资金（第一批）资金下达文件》文件显示，本项目实际到位资金16.35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D164B2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C58EA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本项目预算资金为16.35万元，其中：本级财政安排资金16.35万元，其他资金0万元，实际到位资金16.35万元，资金到位率=100.0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%。得分4.00分。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本项目实际支出资金16.35万元，预算执行率=100%，得分=5.00分。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残疾人联合会资金管理办法》《呼图壁县残疾人联合会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残疾人联合会资金管理办法》《呼图壁县残疾人联合会收支业务管理制度》《呼图壁县残疾人联合会政府采购业务管理制度》《呼图壁县残疾人联合会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州本级残疾人事业发展补助资金（第一批）项目工作领导小组，由党组书记王忠旗任组长，负责项目的组织工作；季刚任副组长，负责项目的实施工作；组员包括：郭玲和赵静，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45F5B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E8D974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“残疾人培训项目数量”指标：预期指标值为“&gt;=18项”，实际完成指标值为“=18项”，指标完成率为100.0%。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“肢体残疾人成人康复人数”指标：预期指标值为“&gt;=25人”，实际完成指标值为“=25人”，指标完成率为100.0%。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“残疾儿童少年康复救助人数”指标：预期指标值为“&gt;=4人”，实际完成指标值为“=4人”，指标完成率为100.0%。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“肢体儿童康复率”指标：预期指标值为“&gt;=100%”，实际完成指标值为“=100%”，指标完成率为100%。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“康复救助及时率”指标：预期指标值为“&gt;=100%”，实际完成指标值为“=100%”，指标完成率为100%。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“每年肢体残疾人补助标准”指标：预期指标值为“&lt;=3000元/人”，实际完成指标值为“=3000元/人”，指标完成率为100%。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“每年儿童康复救助标准”指标：预期指标值为“&lt;=1.70万元/人”，实际完成指标值为“=1.70万元/人”，指标完成率为100%。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5A0782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6AE7B1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“推进残障人士综合发展”指标：预期指标值为“逐步推进”，实际完成指标值为“达到预期指标”，指标完成率为100.0%。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06FAF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“残障人士满意度”指标：预期指标值为“&gt;=95%”，实际完成指标值为“=95%”，指标完成率为100.0%。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2A97FB1">
      <w:pPr>
        <w:spacing w:line="540" w:lineRule="exact"/>
        <w:ind w:firstLine="567"/>
        <w:rPr>
          <w:rStyle w:val="18"/>
          <w:rFonts w:hint="eastAsia" w:ascii="楷体" w:hAnsi="楷体" w:eastAsia="楷体"/>
          <w:b w:val="0"/>
          <w:bCs w:val="0"/>
          <w:spacing w:val="-4"/>
          <w:sz w:val="32"/>
          <w:szCs w:val="32"/>
        </w:rPr>
      </w:pPr>
    </w:p>
    <w:p w14:paraId="5C76315D">
      <w:pPr>
        <w:spacing w:line="540" w:lineRule="exact"/>
        <w:ind w:firstLine="567"/>
        <w:rPr>
          <w:rStyle w:val="18"/>
          <w:rFonts w:ascii="楷体" w:hAnsi="楷体" w:eastAsia="楷体"/>
          <w:spacing w:val="-4"/>
          <w:sz w:val="32"/>
          <w:szCs w:val="32"/>
        </w:rPr>
      </w:pPr>
    </w:p>
    <w:p w14:paraId="6FE68ED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41D5D4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精准筛查评估：组建由医疗专家、康复治疗师、社会工作者等多学科专业人员构成的评估小组，深入社区、乡村，为残疾人开展全面筛查。今年累计筛查90人次，精准掌握残疾人的身体状况、功能障碍程度、康复需求等信息，并据此建立详细的康复服务档案，为后续康复计划的制定提供科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复服务供给：依据评估结果，为残疾人量身定制康复服务方案。针对肢体残疾者，提供物理治疗、运动训练、辅助器具适配等服务；为视力、听力残疾者，开展视力矫正、听力康复训练、助视助听设备验配；为精神、智力残疾者，实施心理疏导、认知训练、职业康复等项目。全年共为90名残疾人提供了个性化康复服务。复人才培养：高度重视康复人才队伍建设，定期组织康复专业人员参加业务培训和学术交流活动，邀请业内知名专家进行授课和现场指导，内容涵盖康复技术新进展、精准康复服务规范等。今年累计培训康复专业人员2人次，有效提升了团队的专业服务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与政策落实：通过线上线下相结合的方式，广泛宣传残疾人精准康复服务政策和相关知识。线上利用微信公众号、短视频平台等发布康复科普文章和政策解读视频；线下开展社区宣传活动、举办康复知识讲座2场，发放宣传资料1000余份，提高了残疾人及其家属对康复服务的知晓率和参与积极性。同时，积极协调相关部门，确保康复补贴等政策精准落实到位，减轻残疾人家庭经济负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2.工作成效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康复效果显著：经过系统康复服务，众多残疾人身体功能得到明显改善。据统计，肢体残疾者的肢体运动功能改善率达到90%，生活自理能力显著提升；视力、听力残疾者的感官功能得到有效补偿，沟通交流能力增强；精神、智力残疾者的心理状态和认知水平有所好转，部分具备了参与简单社会劳动的能力。社会满意度提升：通过精准康复服务，残疾人及其家庭切实感受到了党和政府的关怀以及社会的关爱，对康复服务的满意度达到95%。许多残疾人及其家属对我们的工作表示高度认可和衷心感谢，他们的积极反馈也进一步激励我们不断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康复资源分布不均：城镇地区康复机构和专业人才相对集中，而农村偏远地区康复资源匮乏，服务覆盖难度较大，导致部分农村残疾人无法及时享受到优质康复服务。服务经费紧张：随着肢体康复服务工作的深入开展，服务对象不断增加，服务内容日益丰富，康复服务经费面临较大压力，在一定程度上影响了服务的拓展和深化。专业人员短缺,康复专业人才数量不足，且分布不均衡。同时，部分康复人员专业水平有限，缺乏系统的专业培训，影响康复服务质量。服务单一,多数康复机构提供的服务集中在肢体康复等常见领域，对于智力、精神残疾等方面的康复服务相对较少，不能满足不同类型残疾人的多样化需求。缺乏个性化服务,康复方案往往缺乏针对性，没有充分考虑到每个残疾人的个体差异，难以实现最佳康复效果。康复工作需要大量资金投入，但政府财政支持有限，社会资本参与度不高，导致康复设施更新、人员培训等工作受到限制。部分康复项目未纳入医保报销目录，残疾人自付费用较高，增加了经济负担，使一些残疾人因费用问题放弃康复治疗。</w:t>
      </w:r>
    </w:p>
    <w:p w14:paraId="5538FD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222F62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进一步完善肢体康复服务体系，不断拓展服务内容和范围，提高服务的精细化、专业化水平，努力满足残疾人日益增长的康复需求。加强康复服务质量监管：建立健全康复服务质量评估机制，定期对康复服务机构和服务效果进行评估考核，确保康复服务规范、高效开展。推动康复与教育、就业融合：探索开展康复与教育、就业相结合的服务模式，为有需求的残疾人提供康复训练、职业技能培训和就业指导等一站式服务，帮助他们更好地融入社会。加大对农村和偏远地区康复资源的投入，建立基层康复服务站点，配备必要的康复设备和人员。鼓励康复机构开展智力、精神残疾等多领域的康复服务，引进先进的康复技术和理念，满足不同类型残疾人的需求。提供个性化服务,为每位残疾人制定个性化康复方案，综合考虑其残疾类型、程度、年龄、身体状况等因素，采用多种康复手段，提高康复效果。政府加大对残疾人康复工作的资金支持，将康复经费纳入财政预算，并根据经济发展和康复需求逐步增加投入。扩大医保覆盖,将更多康复项目纳入医保报销范围，提高报销比例和限额。同时，鼓励商业保险机构开发针对残疾人康复的保险产品，为残疾人提供多元化的保障。加强宣传教育,通过多种媒体渠道，广泛宣传残疾人康复工作的重要性和成效，提高政府、社会和公众对康复工作的认识和重视程度。开展科普活动,组织康复专家和志愿者深入社区、农村，为残疾人及其家属开展康复知识讲座和培训，帮助他们树立正确的康复观念，提高自我康复意识和能力。</w:t>
      </w:r>
    </w:p>
    <w:p w14:paraId="11CB027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47AB8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A07BCAF">
      <w:pPr>
        <w:spacing w:line="540" w:lineRule="exact"/>
        <w:ind w:firstLine="567"/>
        <w:rPr>
          <w:rStyle w:val="18"/>
          <w:rFonts w:ascii="仿宋" w:hAnsi="仿宋" w:eastAsia="仿宋"/>
          <w:b w:val="0"/>
          <w:spacing w:val="-4"/>
          <w:sz w:val="32"/>
          <w:szCs w:val="32"/>
        </w:rPr>
      </w:pPr>
    </w:p>
    <w:p w14:paraId="62331964">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6425379">
        <w:pPr>
          <w:pStyle w:val="12"/>
          <w:jc w:val="center"/>
        </w:pPr>
        <w:r>
          <w:fldChar w:fldCharType="begin"/>
        </w:r>
        <w:r>
          <w:instrText xml:space="preserve">PAGE   \* MERGEFORMAT</w:instrText>
        </w:r>
        <w:r>
          <w:fldChar w:fldCharType="separate"/>
        </w:r>
        <w:r>
          <w:rPr>
            <w:lang w:val="zh-CN"/>
          </w:rPr>
          <w:t>2</w:t>
        </w:r>
        <w:r>
          <w:fldChar w:fldCharType="end"/>
        </w:r>
      </w:p>
    </w:sdtContent>
  </w:sdt>
  <w:p w14:paraId="1916871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95D3F60"/>
    <w:rsid w:val="3029612C"/>
    <w:rsid w:val="32A221C5"/>
    <w:rsid w:val="33F20F2A"/>
    <w:rsid w:val="34C44675"/>
    <w:rsid w:val="38EB2765"/>
    <w:rsid w:val="3B5B5607"/>
    <w:rsid w:val="3CE21B3C"/>
    <w:rsid w:val="46AD611F"/>
    <w:rsid w:val="4D2606A1"/>
    <w:rsid w:val="51830480"/>
    <w:rsid w:val="53A616BE"/>
    <w:rsid w:val="54662BFB"/>
    <w:rsid w:val="62051CA5"/>
    <w:rsid w:val="69611DD4"/>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12924</Words>
  <Characters>13659</Characters>
  <Lines>4</Lines>
  <Paragraphs>1</Paragraphs>
  <TotalTime>8</TotalTime>
  <ScaleCrop>false</ScaleCrop>
  <LinksUpToDate>false</LinksUpToDate>
  <CharactersWithSpaces>13688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2025-09-22T08:50:21Z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