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82B1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CBA7697">
      <w:pPr>
        <w:spacing w:line="540" w:lineRule="exact"/>
        <w:jc w:val="center"/>
        <w:rPr>
          <w:rFonts w:ascii="华文中宋" w:hAnsi="华文中宋" w:eastAsia="华文中宋" w:cs="宋体"/>
          <w:b/>
          <w:kern w:val="0"/>
          <w:sz w:val="52"/>
          <w:szCs w:val="52"/>
        </w:rPr>
      </w:pPr>
    </w:p>
    <w:p w14:paraId="602912F9">
      <w:pPr>
        <w:spacing w:line="540" w:lineRule="exact"/>
        <w:jc w:val="center"/>
        <w:rPr>
          <w:rFonts w:ascii="华文中宋" w:hAnsi="华文中宋" w:eastAsia="华文中宋" w:cs="宋体"/>
          <w:b/>
          <w:kern w:val="0"/>
          <w:sz w:val="52"/>
          <w:szCs w:val="52"/>
        </w:rPr>
      </w:pPr>
    </w:p>
    <w:p w14:paraId="45BEB98C">
      <w:pPr>
        <w:spacing w:line="540" w:lineRule="exact"/>
        <w:jc w:val="center"/>
        <w:rPr>
          <w:rFonts w:ascii="华文中宋" w:hAnsi="华文中宋" w:eastAsia="华文中宋" w:cs="宋体"/>
          <w:b/>
          <w:kern w:val="0"/>
          <w:sz w:val="52"/>
          <w:szCs w:val="52"/>
        </w:rPr>
      </w:pPr>
    </w:p>
    <w:p w14:paraId="29E0E565">
      <w:pPr>
        <w:spacing w:line="540" w:lineRule="exact"/>
        <w:jc w:val="center"/>
        <w:rPr>
          <w:rFonts w:ascii="华文中宋" w:hAnsi="华文中宋" w:eastAsia="华文中宋" w:cs="宋体"/>
          <w:b/>
          <w:kern w:val="0"/>
          <w:sz w:val="52"/>
          <w:szCs w:val="52"/>
        </w:rPr>
      </w:pPr>
    </w:p>
    <w:p w14:paraId="287C5342">
      <w:pPr>
        <w:spacing w:line="540" w:lineRule="exact"/>
        <w:jc w:val="center"/>
        <w:rPr>
          <w:rFonts w:ascii="华文中宋" w:hAnsi="华文中宋" w:eastAsia="华文中宋" w:cs="宋体"/>
          <w:b/>
          <w:kern w:val="0"/>
          <w:sz w:val="52"/>
          <w:szCs w:val="52"/>
        </w:rPr>
      </w:pPr>
    </w:p>
    <w:p w14:paraId="040AC46E">
      <w:pPr>
        <w:spacing w:line="540" w:lineRule="exact"/>
        <w:jc w:val="center"/>
        <w:rPr>
          <w:rFonts w:ascii="华文中宋" w:hAnsi="华文中宋" w:eastAsia="华文中宋" w:cs="宋体"/>
          <w:b/>
          <w:kern w:val="0"/>
          <w:sz w:val="52"/>
          <w:szCs w:val="52"/>
        </w:rPr>
      </w:pPr>
    </w:p>
    <w:p w14:paraId="0F9E9A4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34B762B">
      <w:pPr>
        <w:spacing w:line="540" w:lineRule="exact"/>
        <w:jc w:val="center"/>
        <w:rPr>
          <w:rFonts w:ascii="华文中宋" w:hAnsi="华文中宋" w:eastAsia="华文中宋" w:cs="宋体"/>
          <w:b/>
          <w:kern w:val="0"/>
          <w:sz w:val="52"/>
          <w:szCs w:val="52"/>
        </w:rPr>
      </w:pPr>
    </w:p>
    <w:p w14:paraId="4CD1440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81EB393">
      <w:pPr>
        <w:spacing w:line="540" w:lineRule="exact"/>
        <w:jc w:val="center"/>
        <w:rPr>
          <w:rFonts w:hAnsi="宋体" w:eastAsia="仿宋_GB2312" w:cs="宋体"/>
          <w:kern w:val="0"/>
          <w:sz w:val="30"/>
          <w:szCs w:val="30"/>
        </w:rPr>
      </w:pPr>
    </w:p>
    <w:p w14:paraId="0BECA732">
      <w:pPr>
        <w:spacing w:line="540" w:lineRule="exact"/>
        <w:jc w:val="center"/>
        <w:rPr>
          <w:rFonts w:hAnsi="宋体" w:eastAsia="仿宋_GB2312" w:cs="宋体"/>
          <w:kern w:val="0"/>
          <w:sz w:val="30"/>
          <w:szCs w:val="30"/>
        </w:rPr>
      </w:pPr>
    </w:p>
    <w:p w14:paraId="01488B66">
      <w:pPr>
        <w:spacing w:line="540" w:lineRule="exact"/>
        <w:jc w:val="center"/>
        <w:rPr>
          <w:rFonts w:hAnsi="宋体" w:eastAsia="仿宋_GB2312" w:cs="宋体"/>
          <w:kern w:val="0"/>
          <w:sz w:val="30"/>
          <w:szCs w:val="30"/>
        </w:rPr>
      </w:pPr>
    </w:p>
    <w:p w14:paraId="216A164A">
      <w:pPr>
        <w:spacing w:line="540" w:lineRule="exact"/>
        <w:jc w:val="center"/>
        <w:rPr>
          <w:rFonts w:hAnsi="宋体" w:eastAsia="仿宋_GB2312" w:cs="宋体"/>
          <w:kern w:val="0"/>
          <w:sz w:val="30"/>
          <w:szCs w:val="30"/>
        </w:rPr>
      </w:pPr>
    </w:p>
    <w:p w14:paraId="5FB13CFF">
      <w:pPr>
        <w:spacing w:line="540" w:lineRule="exact"/>
        <w:jc w:val="center"/>
        <w:rPr>
          <w:rFonts w:hAnsi="宋体" w:eastAsia="仿宋_GB2312" w:cs="宋体"/>
          <w:kern w:val="0"/>
          <w:sz w:val="30"/>
          <w:szCs w:val="30"/>
        </w:rPr>
      </w:pPr>
      <w:bookmarkStart w:id="0" w:name="_GoBack"/>
      <w:bookmarkEnd w:id="0"/>
    </w:p>
    <w:p w14:paraId="7468B930">
      <w:pPr>
        <w:spacing w:line="540" w:lineRule="exact"/>
        <w:jc w:val="center"/>
        <w:rPr>
          <w:rFonts w:hAnsi="宋体" w:eastAsia="仿宋_GB2312" w:cs="宋体"/>
          <w:kern w:val="0"/>
          <w:sz w:val="30"/>
          <w:szCs w:val="30"/>
        </w:rPr>
      </w:pPr>
    </w:p>
    <w:p w14:paraId="78C1A87C">
      <w:pPr>
        <w:spacing w:line="540" w:lineRule="exact"/>
        <w:rPr>
          <w:rFonts w:hAnsi="宋体" w:eastAsia="仿宋_GB2312" w:cs="宋体"/>
          <w:kern w:val="0"/>
          <w:sz w:val="30"/>
          <w:szCs w:val="30"/>
        </w:rPr>
      </w:pPr>
    </w:p>
    <w:p w14:paraId="0258192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D4BA3D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呼图壁县殡葬管理所支付鸿福生态陵园建设项目资金</w:t>
      </w:r>
    </w:p>
    <w:p w14:paraId="77BA9F1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呼图壁县殡葬管理所</w:t>
      </w:r>
    </w:p>
    <w:p w14:paraId="5C3177FE">
      <w:pPr>
        <w:spacing w:line="540" w:lineRule="exact"/>
        <w:ind w:firstLine="900" w:firstLineChars="250"/>
        <w:rPr>
          <w:rFonts w:hint="eastAsia" w:ascii="楷体" w:hAnsi="楷体" w:eastAsia="仿宋_GB2312"/>
          <w:b/>
          <w:bCs/>
          <w:spacing w:val="-4"/>
          <w:sz w:val="28"/>
          <w:szCs w:val="28"/>
          <w:lang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lang w:eastAsia="zh-CN"/>
        </w:rPr>
        <w:t>呼图壁县殡葬管理所</w:t>
      </w:r>
    </w:p>
    <w:p w14:paraId="2DE1D0B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赵涛</w:t>
      </w:r>
    </w:p>
    <w:p w14:paraId="51E1DF7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14:paraId="153AC151">
      <w:pPr>
        <w:spacing w:line="700" w:lineRule="exact"/>
        <w:ind w:firstLine="708" w:firstLineChars="236"/>
        <w:jc w:val="left"/>
        <w:rPr>
          <w:rFonts w:hAnsi="宋体" w:eastAsia="仿宋_GB2312" w:cs="宋体"/>
          <w:kern w:val="0"/>
          <w:sz w:val="30"/>
          <w:szCs w:val="30"/>
        </w:rPr>
      </w:pPr>
    </w:p>
    <w:p w14:paraId="5A669495">
      <w:pPr>
        <w:spacing w:line="540" w:lineRule="exact"/>
        <w:rPr>
          <w:rStyle w:val="18"/>
          <w:rFonts w:ascii="黑体" w:hAnsi="黑体" w:eastAsia="黑体"/>
          <w:b w:val="0"/>
          <w:spacing w:val="-4"/>
          <w:sz w:val="32"/>
          <w:szCs w:val="32"/>
        </w:rPr>
      </w:pPr>
    </w:p>
    <w:p w14:paraId="4C17ECD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9A64AB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7CEEB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社会经济的快速发展和人口老龄化趋势的加剧，我国殡葬行业面临着前所未有的机遇与挑战。传统殡葬方式存在诸多弊端，已难以满足人民群众日益增长的精神文化需求，对生态环境也造成了较大压力。在此背景下，建设生态陵园成为殡葬行业转型升级的关键举措，对推动绿色发展、促进社会文明进步具有深远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近年来，国家大力倡导绿色发展理念，积极推动殡葬行业的改革与创新。《关于进一步加强殡葬管理工作的意见》《关于推进绿色殡葬的指导意见》等一系列政策的出台，明确鼓励建设生态陵园、殡仪馆和公墓，为项目的实施提供了有力的政策支撑。这些政策旨在引导殡葬行业朝着生态、环保、文明的方向发展，实现人与自然的和谐共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本地殡葬设施存在诸多问题，已无法满足居民的实际需求。一方面，现有墓地布局分散，缺乏统一规划与管理，导致土地资源浪费严重，利用率低下。同时，部分墓地建设简陋，基础设施陈旧，难以提供优质的殡葬服务。另一方面，传统殡葬方式如土葬、豪华墓等，不仅占用大量土地，还对生态环境造成破坏，不符合可持续发展的要求。此外，随着城市化进程的加快，城市周边可用土地日益稀缺，殡葬用地供需矛盾愈发突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于上述情况，建设生态陵园迫在眉睫。本项目将严格遵循国家殡葬改革政策和生态环保要求，充分利用现代园林设计理念和先进技术手段，打造集生态安葬、祭祀缅怀、文化传承、休闲观光为一体的现代化生态陵园。项目建成后，将提供多样化的节地生态葬式，如树葬、花葬、草坪葬、壁葬等，有效节约土地资源，减少对环境的影响。同时，完善的配套设施和专业的服务团队，将为家属提供更加便捷、贴心、人性化的殡葬服务，满足不同层次人群的需求。此外，生态陵园还将注重文化内涵的挖掘与传承，通过景观塑造、文化展示等方式，弘扬优秀传统文化，引导文明祭祀新风尚，提升城市文明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（1）项目名称：呼图壁县鸿福生态陵园建设项目（以下简称“该项目”或“项目”）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（2）项目主要内容：根据项目修建业务用房、接待用房、法医解剖室、祭拜堂、骨灰堂、悼念厅、食堂、锅炉房、洗手间、供水、排水、供电、院内硬化及道路建设等配套设施。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实施主体：呼图壁县殡葬管理所。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实施时间：本项目实施周期为2014年6月-2024年12月。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实施情况：呼图壁县鸿福生态陵园建设项目自2014年6月9日开始施工，验收时间为2014年12月10日，通过政府采购公开招标的方式进行政府采购，2024年支付了全部的工程款。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殡葬管理所是隶属于呼图壁县民政局的殡葬服务机构，目前所担负的工作内容，包括全县殡葬工作的规划、执法、惠民殡葬的实施、公益性墓地、经营性墓地日常管理以及非正常死亡遗体的解剖、化妆整容、死亡遗体的存放、搬运、包装消毒、冷藏、骨灰安葬、骨灰存放安葬服务、遗体处置服务、遗像制作及烤瓷照片等殡仪服务业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呼图壁县殡葬管理所在职干部1人，同工同酬14人，设置办公室、业务大厅、骨灰堂、法医解剖室、吊唁厅等办公活动场所。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万元，资金来源为县财政资金，2024年实际收到预算资金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万元，预算执行率100%。本项目资金主要用于支付呼图壁县鸿福生态陵园建设项目</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w:t>
      </w:r>
    </w:p>
    <w:p w14:paraId="6137685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F3A5F9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修建殡葬业务活动场所，保障全县群众的丧葬需求，该生态陵园建设项目以殡葬单位为核心实施主体，旨在通过科学规划与生态化设计打造人与自然和谐共生的生命纪念空间，总体目标涵盖生态保护、资源利用、文化传承、社会功能和可持续管理五大维度。项目优先推行节地生态安葬方式，减少土地硬化并修复区域生物多样性，结合本土植被种植与可降解材料应用防控环境污染；同步构建资源循环体系，注重重塑殡葬文化内涵，设计自然景观与人文纪念融合的情感空间，融入地方民俗特色以延续文化记忆；拓展陵园公共服务功能，开放生态绿地与疗愈步道提供社区休闲与生命教育场所，倡导绿色殡葬理念以消解传统殡葬观念壁垒；最终通过数字化管理与长效运营机制保障项目合规落地，依托低维护生态设计和公益性服务模式，将陵园转型为兼具生态修复、文化传承、社会服务功能的综合性生命公园，实现殡葬活动与自然环境的永续平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“计划修建数量”指标，预期指标值为“等于1个”；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“建设合理性”指标，预期指标值为“=100%”；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“项目成本控制率”指标，预期指标值为“小于100%”；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“满足丧葬需求”指标，预期指标值为“良好”；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23F57F3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403908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09990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此次我单位根据《财政支出绩效评价管理暂行办法》（财预〔2020〕10号）文件要求实施评价工作，本次评价对象为呼图壁县鸿福生态陵园建设项目，评价核心为项目资金、项目产出、项目效益。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(5)施工合同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(6)设计图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(7)竣工决算报告</w:t>
      </w:r>
    </w:p>
    <w:p w14:paraId="19B07E1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2951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B7EC40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24F3A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赵涛（评价小组组长）：主要负责项目策划和监督，全面负责项目绩效评价办稿的最终质量，对评估人员出具的最终报告质量进行复核，确保评估结果的客观性；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牛新军（评价小组组员）：主要负责资料的收集，取证、数据统计分析；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陈爱荣（评价小组组员）：主要负责主要负责项目报告的制定，指标的研判，数据分析及报告撰写。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AD6E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6D939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经评价，本项目达成年初设立的绩效目标，在实施过程中取得了良好的成效，具体表现在：通过项目的实施，完成了呼图壁县鸿福生态陵园的建设及工程款的支付产出目标，满足了群众丧葬需求效益。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p>
    <w:p w14:paraId="6FE9D545">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313D62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EF0447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本项目立项符合符合国家法律法规、国民经济发展规划，本项目立项符合呼图壁县发展和改革委员会（呼发改投资（2014）127号）符合行业发展规划和政策要求；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根据文件要求，我单位上报呼图壁县鸿福生态陵园建设项目前期资料，经呼图壁县发展和改革委员会审核，下发《关于呼图壁县殡仪馆服务中心建设项目基本建设的批复》（呼发改投资〔2014〕127号）批复文件，本项目正式设立。经查看，该项目立项过程产生的相关文件，符合相关要求。本项目为基础建设类项目，属于经常性项目，不涉及事前绩效评估和风险评估，已委托新疆和顺工程咨询有限公司编制《呼图壁县鸿福生态院殡仪馆建设项目可行性研究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建设1个生态陵园”；本项目实际工作内容为：完成率呼图壁县鸿福生态陵园的建设及工程款的支付；绩效目标与实际工作内容一致，两者具有相关性;本项目预算申请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改善了传统殡葬模式对自然环境的破坏性影响；提升了公众对绿色殡葬理念的接受度与生态保护意识，改善了社区对陵园空间的排斥心理与忌讳认知；提升了废弃物的资源化循环水平与低碳运营能力，改善了水土污染风险与能源消耗结构；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本项目预算编制通过《呼图壁县鸿福生态院殡仪馆建设项目可行性研究报告》得出，即预算编制较科学且经过论证；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预算申请内容为建设1个生态陵园，项目实际内容为完成率呼图壁县鸿福生态陵园的建设及工程款的支付，预算申请与《呼图壁县鸿福生态陵园建设项目实施方案》中涉及的项目内容匹配；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万元，我单位在预算申请中严格按照分项成本进行核算。其中：工程款158万元，劳务费60.82万元。本项目预算额度测算依据充分，严格按照标准编制，预算确定资金量与实际工作任务相匹配；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呼图壁县鸿福生态陵园建设项目资金的请示》为依据进行资金分配，预算资金分配依据充分。根据《呼图壁县民政局关于申请拨付呼图壁县鸿福生态园建设项目资金的请示（呼民字〔2024〕24号）》文件显示，本项目实际到位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C3C564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35422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）*100.00%=</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。得分=资金到位率*分值=</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218.83</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民政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民政局资金管理办法》《呼图壁县民政局收支业务管理制度》《呼图壁县民政局政府采购业务管理制度》《呼图壁县民政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竣工决算报告、设计图等资料齐全并及时进行了归档。项目资金支出严格按照自治区、地区、市以及本单位资金管理办法执行，项目启动实施后，为了加快本项目的实施，成立了项目工作领导小组，由党组书记陈林任组长，负责项目的组织工作；桑婷婷任副组长，负责项目的实施工作；组员包括：赵涛和牛新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ECFD2A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6E2D9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“计划建设数量”指标：预期指标值为“=1个”，实际完成指标值为“=1个”，指标完成率为</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“建设合理性”指标：预期指标值为=100%”，实际完成指标值为“=100%”，指标完成率为100%。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E11619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39E585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“满足丧葬需求”指标：预期指标值为“良好”，实际完成指标值为“达到预期指标”，指标完成率为</w:t>
      </w:r>
      <w:r>
        <w:rPr>
          <w:rStyle w:val="18"/>
          <w:rFonts w:hint="eastAsia" w:ascii="楷体" w:hAnsi="楷体" w:eastAsia="楷体"/>
          <w:b w:val="0"/>
          <w:bCs w:val="0"/>
          <w:spacing w:val="-4"/>
          <w:sz w:val="32"/>
          <w:szCs w:val="32"/>
          <w:lang w:eastAsia="zh-CN"/>
        </w:rPr>
        <w:t>100.00%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9AC25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18790CD">
      <w:pPr>
        <w:spacing w:line="540" w:lineRule="exact"/>
        <w:ind w:firstLine="567"/>
        <w:rPr>
          <w:rStyle w:val="18"/>
          <w:rFonts w:hint="eastAsia" w:ascii="楷体" w:hAnsi="楷体" w:eastAsia="楷体"/>
          <w:b w:val="0"/>
          <w:bCs w:val="0"/>
          <w:spacing w:val="-4"/>
          <w:sz w:val="32"/>
          <w:szCs w:val="32"/>
        </w:rPr>
      </w:pPr>
    </w:p>
    <w:p w14:paraId="2DED44EB">
      <w:pPr>
        <w:spacing w:line="540" w:lineRule="exact"/>
        <w:ind w:firstLine="567"/>
        <w:rPr>
          <w:rStyle w:val="18"/>
          <w:rFonts w:ascii="楷体" w:hAnsi="楷体" w:eastAsia="楷体"/>
          <w:spacing w:val="-4"/>
          <w:sz w:val="32"/>
          <w:szCs w:val="32"/>
        </w:rPr>
      </w:pPr>
    </w:p>
    <w:p w14:paraId="52B1C12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FA5AD0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层面：鸿福生态陵园建设项目注重构建多方协同的高效管理体系。项目初期成立专项领导小组，同时联合社区代表及殡葬服务单位形成“政企社”联动模式，充分吸纳社会意见，平衡生态目标与民生需求。这一组织架构有效提升了跨领域协作效率，为项目科学落地奠定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上：该项目以全流程精细化管控为核心，构建“规划-实施-验收”闭环机制。通过制定标准化工作流程与动态跟踪机制，确保各环节责任到人、进度可控。同时，建立第三方质量监督与公众参与反馈渠道，强化过程透明度与结果公信力，确保项目既符合生态陵园建设规范，又能满足群众多样化殡葬服务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项目严格执行专户专账、专款专用原则，建立分级审批与动态监控体系。通过科学编制预算框架，明确资金流向与使用优先级，重点保障生态修复、技术应用及公共服务设施建设等核心板块。实施分阶段资金拨付与绩效评估挂钩机制，确保资金使用效率与项目目标高度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问题一：社区参与度不足，公众对生态陵园认知存在偏差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前期宣传与教育覆盖面有限，未能充分触达不同年龄层和群体，导致部分居民对节地生态葬法的意义和操作流程缺乏了解；同时，公众反馈渠道单一，社区意见收集机制不完善，未能及时回应民众对殡葬习俗变革的疑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问题二：后期运营维护机制不健全，可持续性面临挑战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原因分析：项目侧重于建设期管理，对陵园建成后的长期维护责任主体、资金保障及技术支撑缺乏明确规划，可能导致设施老化、生态景观退化或服务功能弱化。</w:t>
      </w:r>
    </w:p>
    <w:p w14:paraId="6E5F046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F2BCC2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立常态化宣传体系，通过社区讲座、实地参观、新媒体科普等形式普及绿色殡葬理念；增设多元反馈平台（如线上问卷、社区议事会），定期公开项目进展并吸纳民意，尤其关注老年群体需求，增强公众认同感与参与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全生命周期运营方案，明确政府、殡葬单位及第三方机构的权责分工；探索“公益+市场”复合模式，通过公益性基金与社会化服务结合保障运维资金；组建专业养护团队，定期开展设施检修与生态监测，确保陵园功能持续稳定。</w:t>
      </w:r>
    </w:p>
    <w:p w14:paraId="264F86C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B7D9D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06BB312">
      <w:pPr>
        <w:spacing w:line="540" w:lineRule="exact"/>
        <w:ind w:firstLine="567"/>
        <w:rPr>
          <w:rStyle w:val="18"/>
          <w:rFonts w:ascii="仿宋" w:hAnsi="仿宋" w:eastAsia="仿宋"/>
          <w:b w:val="0"/>
          <w:spacing w:val="-4"/>
          <w:sz w:val="32"/>
          <w:szCs w:val="32"/>
        </w:rPr>
      </w:pPr>
    </w:p>
    <w:p w14:paraId="58DB4C78">
      <w:pPr>
        <w:spacing w:line="540" w:lineRule="exact"/>
        <w:ind w:firstLine="567"/>
        <w:rPr>
          <w:rStyle w:val="18"/>
          <w:rFonts w:ascii="仿宋" w:hAnsi="仿宋" w:eastAsia="仿宋"/>
          <w:b w:val="0"/>
          <w:spacing w:val="-4"/>
          <w:sz w:val="32"/>
          <w:szCs w:val="32"/>
        </w:rPr>
      </w:pPr>
    </w:p>
    <w:p w14:paraId="5D6F53E4">
      <w:pPr>
        <w:spacing w:line="540" w:lineRule="exact"/>
        <w:ind w:firstLine="567"/>
        <w:rPr>
          <w:rStyle w:val="18"/>
          <w:rFonts w:ascii="仿宋" w:hAnsi="仿宋" w:eastAsia="仿宋"/>
          <w:b w:val="0"/>
          <w:spacing w:val="-4"/>
          <w:sz w:val="32"/>
          <w:szCs w:val="32"/>
        </w:rPr>
      </w:pPr>
    </w:p>
    <w:p w14:paraId="52D2FBCA">
      <w:pPr>
        <w:spacing w:line="540" w:lineRule="exact"/>
        <w:ind w:firstLine="567"/>
        <w:rPr>
          <w:rStyle w:val="18"/>
          <w:rFonts w:ascii="仿宋" w:hAnsi="仿宋" w:eastAsia="仿宋"/>
          <w:b w:val="0"/>
          <w:spacing w:val="-4"/>
          <w:sz w:val="32"/>
          <w:szCs w:val="32"/>
        </w:rPr>
      </w:pPr>
    </w:p>
    <w:p w14:paraId="68317D1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4C59B51">
        <w:pPr>
          <w:pStyle w:val="12"/>
          <w:jc w:val="center"/>
        </w:pPr>
        <w:r>
          <w:fldChar w:fldCharType="begin"/>
        </w:r>
        <w:r>
          <w:instrText xml:space="preserve">PAGE   \* MERGEFORMAT</w:instrText>
        </w:r>
        <w:r>
          <w:fldChar w:fldCharType="separate"/>
        </w:r>
        <w:r>
          <w:rPr>
            <w:lang w:val="zh-CN"/>
          </w:rPr>
          <w:t>2</w:t>
        </w:r>
        <w:r>
          <w:fldChar w:fldCharType="end"/>
        </w:r>
      </w:p>
    </w:sdtContent>
  </w:sdt>
  <w:p w14:paraId="659ECFF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C731C37"/>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9672</Words>
  <Characters>10226</Characters>
  <Lines>4</Lines>
  <Paragraphs>1</Paragraphs>
  <TotalTime>11</TotalTime>
  <ScaleCrop>false</ScaleCrop>
  <LinksUpToDate>false</LinksUpToDate>
  <CharactersWithSpaces>10241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2025-08-08T09:18:20Z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