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9C40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60C04C4">
      <w:pPr>
        <w:spacing w:line="540" w:lineRule="exact"/>
        <w:jc w:val="center"/>
        <w:rPr>
          <w:rFonts w:ascii="华文中宋" w:hAnsi="华文中宋" w:eastAsia="华文中宋" w:cs="宋体"/>
          <w:b/>
          <w:kern w:val="0"/>
          <w:sz w:val="52"/>
          <w:szCs w:val="52"/>
        </w:rPr>
      </w:pPr>
    </w:p>
    <w:p w14:paraId="317F467D">
      <w:pPr>
        <w:spacing w:line="540" w:lineRule="exact"/>
        <w:jc w:val="center"/>
        <w:rPr>
          <w:rFonts w:ascii="华文中宋" w:hAnsi="华文中宋" w:eastAsia="华文中宋" w:cs="宋体"/>
          <w:b/>
          <w:kern w:val="0"/>
          <w:sz w:val="52"/>
          <w:szCs w:val="52"/>
        </w:rPr>
      </w:pPr>
    </w:p>
    <w:p w14:paraId="35EEB670">
      <w:pPr>
        <w:spacing w:line="540" w:lineRule="exact"/>
        <w:jc w:val="center"/>
        <w:rPr>
          <w:rFonts w:ascii="华文中宋" w:hAnsi="华文中宋" w:eastAsia="华文中宋" w:cs="宋体"/>
          <w:b/>
          <w:kern w:val="0"/>
          <w:sz w:val="52"/>
          <w:szCs w:val="52"/>
        </w:rPr>
      </w:pPr>
    </w:p>
    <w:p w14:paraId="4CFBAC93">
      <w:pPr>
        <w:spacing w:line="540" w:lineRule="exact"/>
        <w:jc w:val="center"/>
        <w:rPr>
          <w:rFonts w:ascii="华文中宋" w:hAnsi="华文中宋" w:eastAsia="华文中宋" w:cs="宋体"/>
          <w:b/>
          <w:kern w:val="0"/>
          <w:sz w:val="52"/>
          <w:szCs w:val="52"/>
        </w:rPr>
      </w:pPr>
    </w:p>
    <w:p w14:paraId="0C7133AA">
      <w:pPr>
        <w:spacing w:line="540" w:lineRule="exact"/>
        <w:jc w:val="center"/>
        <w:rPr>
          <w:rFonts w:ascii="华文中宋" w:hAnsi="华文中宋" w:eastAsia="华文中宋" w:cs="宋体"/>
          <w:b/>
          <w:kern w:val="0"/>
          <w:sz w:val="52"/>
          <w:szCs w:val="52"/>
        </w:rPr>
      </w:pPr>
    </w:p>
    <w:p w14:paraId="26D6A8C1">
      <w:pPr>
        <w:spacing w:line="540" w:lineRule="exact"/>
        <w:jc w:val="center"/>
        <w:rPr>
          <w:rFonts w:ascii="华文中宋" w:hAnsi="华文中宋" w:eastAsia="华文中宋" w:cs="宋体"/>
          <w:b/>
          <w:kern w:val="0"/>
          <w:sz w:val="52"/>
          <w:szCs w:val="52"/>
        </w:rPr>
      </w:pPr>
    </w:p>
    <w:p w14:paraId="70DFA19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1249937">
      <w:pPr>
        <w:spacing w:line="540" w:lineRule="exact"/>
        <w:jc w:val="center"/>
        <w:rPr>
          <w:rFonts w:ascii="华文中宋" w:hAnsi="华文中宋" w:eastAsia="华文中宋" w:cs="宋体"/>
          <w:b/>
          <w:kern w:val="0"/>
          <w:sz w:val="52"/>
          <w:szCs w:val="52"/>
        </w:rPr>
      </w:pPr>
    </w:p>
    <w:p w14:paraId="1B1463F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05D48E4">
      <w:pPr>
        <w:spacing w:line="540" w:lineRule="exact"/>
        <w:jc w:val="center"/>
        <w:rPr>
          <w:rFonts w:hAnsi="宋体" w:eastAsia="仿宋_GB2312" w:cs="宋体"/>
          <w:kern w:val="0"/>
          <w:sz w:val="30"/>
          <w:szCs w:val="30"/>
        </w:rPr>
      </w:pPr>
    </w:p>
    <w:p w14:paraId="511D7590">
      <w:pPr>
        <w:spacing w:line="540" w:lineRule="exact"/>
        <w:jc w:val="center"/>
        <w:rPr>
          <w:rFonts w:hAnsi="宋体" w:eastAsia="仿宋_GB2312" w:cs="宋体"/>
          <w:kern w:val="0"/>
          <w:sz w:val="30"/>
          <w:szCs w:val="30"/>
        </w:rPr>
      </w:pPr>
    </w:p>
    <w:p w14:paraId="151A4294">
      <w:pPr>
        <w:spacing w:line="540" w:lineRule="exact"/>
        <w:jc w:val="center"/>
        <w:rPr>
          <w:rFonts w:hAnsi="宋体" w:eastAsia="仿宋_GB2312" w:cs="宋体"/>
          <w:kern w:val="0"/>
          <w:sz w:val="30"/>
          <w:szCs w:val="30"/>
        </w:rPr>
      </w:pPr>
    </w:p>
    <w:p w14:paraId="0D093354">
      <w:pPr>
        <w:spacing w:line="540" w:lineRule="exact"/>
        <w:jc w:val="center"/>
        <w:rPr>
          <w:rFonts w:hAnsi="宋体" w:eastAsia="仿宋_GB2312" w:cs="宋体"/>
          <w:kern w:val="0"/>
          <w:sz w:val="30"/>
          <w:szCs w:val="30"/>
        </w:rPr>
      </w:pPr>
    </w:p>
    <w:p w14:paraId="24DB2055">
      <w:pPr>
        <w:spacing w:line="540" w:lineRule="exact"/>
        <w:jc w:val="center"/>
        <w:rPr>
          <w:rFonts w:hAnsi="宋体" w:eastAsia="仿宋_GB2312" w:cs="宋体"/>
          <w:kern w:val="0"/>
          <w:sz w:val="30"/>
          <w:szCs w:val="30"/>
        </w:rPr>
      </w:pPr>
    </w:p>
    <w:p w14:paraId="643C3F9D">
      <w:pPr>
        <w:spacing w:line="540" w:lineRule="exact"/>
        <w:jc w:val="center"/>
        <w:rPr>
          <w:rFonts w:hAnsi="宋体" w:eastAsia="仿宋_GB2312" w:cs="宋体"/>
          <w:kern w:val="0"/>
          <w:sz w:val="30"/>
          <w:szCs w:val="30"/>
        </w:rPr>
      </w:pPr>
    </w:p>
    <w:p w14:paraId="58389C42">
      <w:pPr>
        <w:spacing w:line="540" w:lineRule="exact"/>
        <w:rPr>
          <w:rFonts w:hAnsi="宋体" w:eastAsia="仿宋_GB2312" w:cs="宋体"/>
          <w:kern w:val="0"/>
          <w:sz w:val="30"/>
          <w:szCs w:val="30"/>
        </w:rPr>
      </w:pPr>
    </w:p>
    <w:p w14:paraId="6C53D4A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34B146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2024年困难群众救助资金</w:t>
      </w:r>
    </w:p>
    <w:p w14:paraId="0E41E0E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呼图壁县民政局</w:t>
      </w:r>
    </w:p>
    <w:p w14:paraId="539D20B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呼图壁县民政局</w:t>
      </w:r>
    </w:p>
    <w:p w14:paraId="3B85CD5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梁霞</w:t>
      </w:r>
    </w:p>
    <w:p w14:paraId="62EBE41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3D1E7787">
      <w:pPr>
        <w:spacing w:line="700" w:lineRule="exact"/>
        <w:ind w:firstLine="708" w:firstLineChars="236"/>
        <w:jc w:val="left"/>
        <w:rPr>
          <w:rFonts w:hAnsi="宋体" w:eastAsia="仿宋_GB2312" w:cs="宋体"/>
          <w:kern w:val="0"/>
          <w:sz w:val="30"/>
          <w:szCs w:val="30"/>
        </w:rPr>
      </w:pPr>
    </w:p>
    <w:p w14:paraId="2D5017FE">
      <w:pPr>
        <w:spacing w:line="540" w:lineRule="exact"/>
        <w:rPr>
          <w:rStyle w:val="18"/>
          <w:rFonts w:ascii="黑体" w:hAnsi="黑体" w:eastAsia="黑体"/>
          <w:b w:val="0"/>
          <w:spacing w:val="-4"/>
          <w:sz w:val="32"/>
          <w:szCs w:val="32"/>
        </w:rPr>
      </w:pPr>
    </w:p>
    <w:p w14:paraId="7AD723C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5E0031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562D0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自《社会救助暂行办法》（国务院令第 649 号）颁布实施以来，我国逐步构建起较为完善的困难群众救助政策体系。该办法明确了低保、特困人员救助供养、临时救助、流浪乞讨人员救助以及孤儿基本生活保障等多维度救助内容，为困难群众救助工作提供了坚实的法律依据和制度框架。后续，《国务院办公厅关于加强孤儿保障工作的意见》（国办发〔2010〕54 号）、《国务院办公厅关于加强和改进流浪未成年人救助保护工作的意见》（国办发〔2011〕39 号）、民政部等部门《关于进一步加强事实无人抚养儿童保障工作的意见》（民发〔2019〕62 号）等一系列政策文件相继出台，不断细化和补充救助政策，使救助体系更加精准、全面，覆盖各类困难群体，为 2024 年困难群众救助补助资金项目的实施奠定了政策基础。一是用于低保、特困人员救助供养、临时救助、流浪乞讨人员救助(含农村留守儿童、因境儿童、流浪乞讨儿童的应急处置、救助帮扶、监护支持、精神关爱等未成年人社会保护支出)、孤儿(含艾滋病病毒感染儿童、生活困难家庭中的和纳入特困人员救助供养范围的事实无人抚养儿童)基本生活支出；二是将符合条件的低收入家庭重残人员、重病患者参照“单人户”纳入低保，并对符合条件的生活困难未参保失业人员给予临时救助所需的支出，兼顾特困人员救助供养、流浪乞讨人员救助、孤儿基本生活保障等困难群众基本生活保障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实施项目解决的问题: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（一）基本生活保障问题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城乡低保方面：部分困难家庭收入微薄，难以满足日常生活需求，如食品、住房、水电等基本开销。2024 年困难群众救助补助资金项目将规范实施城乡低保政策，合理确定保障标准，确保低保对象基本生活得到有效保障。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困人员救助供养方面：特困人员包括无劳动能力、无生活来源且无法定赡养、抚养、扶养义务人，或者其法定赡养、抚养、扶养义务人无赡养、抚养、扶养能力的老年人、残疾人以及未成年人。他们在生活照料、医疗护理等方面面临极大困难。项目资金将统筹城乡特困人员救助供养工作，合理确定保障标准，为特困人员提供基本生活所需的物资和资金，还会安排相应资金用于特困人员的生活照料服务，解决他们生活无人照料的难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实现的目标: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（一）保障层面目标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应保尽保、应救尽救：确保符合条件的困难群众全部纳入相应救助保障范围，做到一个不漏。在城乡低保方面，通过精准核查家庭经济状况，将所有收入低于当地低保标准的家庭纳入低保保障；在临时救助中，对于遭遇突发困难的群众及时给予救助，使困难群众的基本生活权益得到切实维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（二）服务层面目标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服务精准度：针对不同类型困难群众的个性化需求，提供更加精准化的服务。对于特困人员，根据其身体状况、生活自理能力等，提供个性化的照料服务方案；对于农村留守儿童和困境儿童，结合其心理特点、学习情况等，开展有针对性的关爱保护和帮扶服务，满足他们在成长过程中的多样化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（1）项目名称：2024年困难群众救助补助资金项目（以下简称“该项目”或“项目”）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主要用于保障困难群众基本生活权益、促进社会公平稳定而设立的重要民生项目，资金来源涵盖中央财政与地方财政，多方协同保障资金充足。项目资金的使用有着明确规范，其主要内容包含以下多个关键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　城乡低保保障：该项目致力于精准识别符合条件的城乡困难家庭，将收入低于当地低保标准的家庭全部纳入保障范围。在资金发放上，依据当地生活成本、物价水平以及家庭实际困难程度，为低保家庭提供定期且稳定的资金补助，确保其能满足食品采购、住房租赁或维护、水电燃气等基本生活开销，维持基本生活水平，帮助低保家庭缓解经济压力，摆脱生存困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　特困人员救助供养：对于无劳动能力、无生活来源且无法定赡养、抚养、扶养义务人，或者其法定赡养、抚养、扶养义务人无赡养、抚养、扶养能力的老年人、残疾人以及未成年人等特困人员，项目资金发挥着至关重要的作用。一方面，提供基本生活所需的物资与资金，涵盖衣食住行等基础方面；另一方面，针对生活不能自理的特困人员，安排专项资金购买生活照料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　临时救助：生活中困难群众可能因突发疾病、意外事故、自然灾害等紧急情况，导致基本生活在短期内陷入严重困境。2024 年困难群众救助补助资金项目的临时救助部分，便是为这类情况提供及时有效的应急性、过渡性救助。当某家庭主要劳动力突发重大疾病，短时间内面临高昂医疗费用，家庭经济难以为继时，临时救助资金能够迅速启动申请审核流程，快速拨付资金，帮助家庭支付部分医疗费用，使患者得到及时救治，防止家庭因疾病陷入更深层次贫困；若遭遇突发自然灾害，如洪水、地震等导致家庭房屋受损、生活物资被毁，临时救助可为受灾家庭提供紧急生活物资援助和临时生活费用补助，助其渡过难关，逐步恢复正常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　流浪乞讨人员救助：为生活无着的流浪乞讨人员，项目资金全力提供多方位救助服务。在临时食宿方面，救助站利用资金为流浪乞讨人员提供干净安全的临时居住场所，供应充足的食物和衣物，保障其基本生存需求；对于生病的流浪人员，及时送往医院进行救治，承担医疗费用，确保其身体健康得到保障；积极通过多种渠道，帮助流浪乞讨人员寻找家人，并安排护送返乡事宜，助力他们回归家庭和正常生活，让流浪乞讨人员感受到社会的关怀与温暖，重新融入社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　孤儿基本生活保障：对于失去父母抚养和关爱的孤儿以及艾滋病病毒感染儿童、事实无人抚养儿童，合理确定保障标准，通过按月发放基本生活费的方式，保障他们的日常生活开销，确保其生活无忧；同时，在教育、医疗等方面给予全方位保障，让孤儿能够与其他孩子一样享有接受教育、医疗保健的权利，健康快乐成长，融入社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实施主体：呼图壁县民政局。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实施情况：在2024年的每个月的月底对辖区内符合条件的居民进行入户调查，核实其真实的家庭经济情况与上报材料的真实性，并根据核查结果制作发放台账，于次月按照发放台账安排补助资金发放。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贯彻实施有关法律、法规、规章，执行民政工作的方针、政策；拟订全县民政事业发展规划并组织实施。二是拟订全县社会救助规划和标准，健全城乡社会救助体系；负责城乡居民最低生活保障、医疗救助、临时救助、生活无着人员救助和城市低收入家庭收入认定工作；指导农村五保供养和农村敬老院建设管理工作。三是承担全县社会团体、民办非企业单位登记管理和监察责任。依法对全县社会团体和县内跨乡镇社会团体、县直各部门审查批准的民办非企业单位进行登记管理、年检和执法监察。四是拟订全县城乡基层群众自治建设和社区建设的政策；指导城乡社区建设和服务管理工作；提出加强和改进城乡基层政权建设的建议，推动基层民主政治建设；五是贯彻执行行政区划管理政策和行政区域界线、地名管理办法；承办乡镇以上行政区划的设立、撤销、调整、更名和界线变更及乡镇以上人民政府驻地迁移的审核报批工作；负责全县行政区域界线的勘定和管理，调处县内行政区域界线争议；负责全县地名管理工作。六是拟订全县社会福利事业发展规划和标准并组织实施；组织实施社会福利机构管理办法；组织拟订促进慈善事业发展规划和相关措施，组织、指导社会捐助工作；拟订社会福利企业认定标准和扶持政策并组织实施；负责老年人、孤儿和残疾人等特殊群体权益保障工作。七是贯彻落实国家婚姻管理、殡葬管理和儿童收养政策，负责推进婚俗和殡葬改革，指导婚姻、殡葬、收养、救助服务机构管理工作。八是会同有关部门拟订全县社会工作发展规划、政策和职业规范，推进社会工作人才队伍建设和相关志愿者队伍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机构情况：呼图壁县民政局是财务独立核算的正科级行政单位，是财政全额拨款的一级预算单位，共有编制 30个，2024年12月在职人数48人，其中:行政在职人员6人，事业在职人员19人，同工同酬4人。离退休人员19人。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本项目预算安排总额为1308.99万元，资金来源为上级专项资金，其中：财政资金1308.99万元，其他资金0万元，2024年实际收到预算资金1308.99万元，预算资金到位率为100.0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w:t>
      </w:r>
      <w:bookmarkStart w:id="0" w:name="_GoBack"/>
      <w:bookmarkEnd w:id="0"/>
      <w:r>
        <w:rPr>
          <w:rStyle w:val="18"/>
          <w:rFonts w:hint="eastAsia" w:ascii="楷体" w:hAnsi="楷体" w:eastAsia="楷体"/>
          <w:b w:val="0"/>
          <w:bCs w:val="0"/>
          <w:spacing w:val="-4"/>
          <w:sz w:val="32"/>
          <w:szCs w:val="32"/>
        </w:rPr>
        <w:t>1-12月发放城乡低保资金850万元；特困供养救助资金278.99万元；临时救助资金160万元；孤儿救助资金20万元；流浪乞讨人员救助资金0万元。本项目实际支付资金1308.99万元，项目资金1308.99万元已全部支付到困难群体手中。</w:t>
      </w:r>
    </w:p>
    <w:p w14:paraId="3A86C09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12903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精准落实社会救助政策，切实保障困难群众基本生活权益，重点为全县1553名低保对象提供稳定生活补助，确保其基本生活需求得到持续兜底；为221名特困人员提供全方位救助服务，强化特困群体供养保障水平；同时对遭遇突发性、临时性困难的2050人次给予应急性临时救助，有效化解群众因灾、因病、因意外导致的阶段性生活危机，进一步织密织牢民生保障安全网，推动社会救助从保基本向促发展、防返贫延伸，促进社会公平正义与和谐稳定，持续提升困难群众的获得感、幸福感和安全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“低保对象救助覆盖人数”指标，预期指标值为“&gt;=1553人”；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“特困人员救助覆盖人数”指标，预期指标值为“&gt;=221人”；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“临时救助人员人次”指标，预期指标值为“&gt;=2050人”；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“困难补助完成合格”指标，预期指标值为“&gt;=100%”；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“困难群众救助补助资金按时发放率”指标，预期指标值为“&gt;=95%”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“低保费”指标，预期指标值为“&lt;=850万元”；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“其他救助费用”指标，预期指标值为“&lt;=458.99万元”；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“困难群众生活水平提升情况”指标，预期指标值为“有所提升”；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“困难群体满意度”指标，预期指标值为“&gt;=90%”。</w:t>
      </w:r>
    </w:p>
    <w:p w14:paraId="069FD95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1D7C74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7B008B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此次我单位根据《财政支出绩效评价管理暂行办法》（财预〔2020〕10号）文件要求实施评价工作，本次评价对象为2024年困难群众救助补助资金项目，评价核心为项目资金、项目产出、项目效益。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(5)入户调查表、发放台账。</w:t>
      </w:r>
    </w:p>
    <w:p w14:paraId="54AE4D9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1F693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指标评价法、过程跟踪评价法、成本效益分析法、满意度调查法对项目进行评价，旨在通过综合分析影响绩效目标实现、实施效果的内外部因素，从而评价本项目绩效。三级指标分析环节：定量指标评价法、过程跟踪评价法、成本效益分析法、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定量指标评价法：通过设定可量化的数值指标（如精神卫生疾病防治率、宣教活动覆盖率、资金支出率等），直接衡量项目执行效果。例如，通过对比实际完成人数与目标人数的比例，评估服务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（2）过程跟踪评价法：通过动态监控项目实施流程的规范性，如资金拨付程序、耗材采购合规性、服务记录的完整性等，确保各环节符合政策要求。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（3）成本效益分析法：结合项目投入成本（如中央补助资金、地方配套资金）与产出效益（如传染病监测时效性提升、患者肇事肇祸风险降低等），评估资金使用的经济性和社会效益。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（4）满意度调查法：通过问卷调查或访谈，收集服务对象（如患者、家属）和公众对心理健康知识普及、医疗服务质量等的满意度数据，衡量社会接受度和服务可及性。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7ECB55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63C5F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桑婷婷（呼图壁县民政局党组副书记，局长）（评价小组组长）：主要负责项目策划和监督，全面负责项目绩效评价办稿的最终质量，对评估人员出具的最终报告质量进行复核，确保评估结果的客观性；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梁霞（呼图壁县民政局党组成员，副局长）（评价小组副组长）：主要负责资料的收集，取证、数据统计分析；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许建（呼图壁县民政局单位干部）任评价组成员，绩效评价工作职责为做好项目支出绩效评价工作的沟通协调工作，对项目实施情况进行实地调查，编写项目支出绩效评价报告。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低保户、特困人员、临时救助对象、孤儿。我们根据绩效评价目标和绩效指标体系，设计满意度调查问卷进行问卷调查，其中低保户受益对象共选取样本25人，共发放问卷25份，最终收回25份；特困人员受益对象共选取样本16人，共发放问卷16份，最终收回16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FB85A3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B6AAE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该项目的实施显著提升了困难群众生活保障水平和社会救助效能。通过低保兜底，全县1553名低保对象人均月补助标准提高至政策上限，基本生活需求得到稳定保障，家庭贫困发生率同比下降12%；为221名特困人员发放了补助金，切实减轻了特困群体生存压力。临时救助惠及2050人次，帮助87%的受助家庭在3个月内摆脱临时困境，避免因灾因病返贫致贫。进一步织密民生保障网，促进了基层社会稳定与公平正义，为巩固脱贫攻坚成果、衔接乡村振兴提供了坚实支撑。但在实施过程中也存在一些不足：对救助对象的动态管理缺乏有效的跟踪机制，部分乡镇未能及时掌握救助对象家庭经济状况的变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393AAE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A86E4B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45D26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本项目立项符合《社会救助暂行办法》（国务院令第 649 号），该办法明确规定了政府在社会救助工作中的职责和任务，要求建立健全社会救助体系，保障困难群众的基本生活等政策要求。符合国家法律法规、国民经济发展规划和相关政策；本项目立项符合（昌州民字[2021]76号）《关于印发《昌吉回族自治州最低生活保障审核确认办法》的通知中：“第三十一条 最低生活保障金原则上实行社会化发放，通过银行、信用社等代理金融机构，按月支付到最低生活保障家庭的账户。各县(市)民政部门应当及时将最低生活保障救助对象花名册及当期发放的低保资金数额清单报财政部门，在向财政部门报送清单时，应直接从社会救助信息系统导出数据，不得采取乡镇(街道办事处)上报汇总清单等方式，确保社会救助信息系统中录入对象信息与银行网银发放花名册及发放金额一致。”符合行业发展规划和政策要求；本项目立项符合《呼图壁县民政局单位配置内设机构和人员编制规定》中职责范围中的“负责拟订全县社会救助规划和标准，健全城乡社会救助体系；负责城乡居民最低生活保障、临时救助、生活无着人员救助和城市低收入家庭收入认定工作；指导农村五保供养和农村敬老院建设管理工作”，属于我单位履职所需；根据《2024年困难群众救助补助资金直接支付申请报告》，本项目资金性质为“公共财政预算”功能分类为“城市最低生活保障金支出、农村最低生活保障金支出、城市特困人员救助供养支出、临时救助支出农村特困人员救助供养支出”经济分类为“社会福利和救助、救济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社[2023]70号《关于提前下达2024年中央财政困难群众救助补助资金预算的通知》和昌州财社[2024]38号《关于下达2024年中央财政困难群众救助补助资金预算的通知》的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1308.99（项目预算）万元用于完成困难群众救助内容，通过项目的实施，提高困难群众生活水平质量，让困难群众的生活得到基本保障。”；本项目实际工作内容为：截至2024年12月31日，该项目实际完成农村、城市低保金（1942人）、临时救助金（2050人）、特困人员供养金和护理补贴（303人）的发放，通过该项目的实施，有效缓解了困难群众突发性、紧迫性、临时性基本生活困难，提升了救助的标准，确保困难群众基本生活水平稳步提升，促进了全面推行社会救助“一卡通”实现救助事项“掌上办”，让数据多跑路，群众少跑腿；绩效目标与实际工作内容一致，两者具有相关性;本项目预算申请资金1308.99万元，预算确定资金量与实际工作任务相匹配。本项目按照绩效目标完成了数量指标、质量指标、时效指标、成本指标，增强社会公平感：困难群众救助补助资金项目的有效实施，有助于缩小贫富差距，体现社会公平正义。让困难群众在社会发展中有更多的获得感和幸福感，彰显社会主义制度保障人民群众根本利益、促进社会公平的优越性，营造更加公平和谐的社会氛围。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2024年困难群众救助补助资金项目支出绩效目标表》，得出如下结论：本项目已将年度绩效目标进行细化为绩效指标体系，共设置一级指标5个，二级指标11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以2023年12月的低保、特困、临时救助、孤儿、流浪乞讨人员数量及发放标准核算得出，城乡低保1946人，城乡低保最低生活保障补贴标准：712元/人/月，实行差额救助；城市、农村集中供养特困人员115人，城市、农村集中供养特困人员补贴标准：1085元/人/月。城市分散供养特困人员9人，城市分散供养特困人员补贴标准：1035元/人/月。农村分散供养特困人员97人，农村分散供养特困人员补贴标准：1000元/人/月；散居孤儿和事实无人抚养儿童14人散居孤儿和事实无人抚养儿童基本生活补贴标准：1150元/人/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为全县困难群众低保、特困、临时救助、孤儿、流浪乞讨人员发放基本生活救助金，项目实际内容为截至2024年12月31日，该项目实际完成农村、城市低保金（1942人）、临时救助金（2050人）、特困人员供养金和护理补贴（303人）的发放，预算申请与《2024年困难群众救助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1308.99万元，我单位在预算申请中严格按照分项成本进行核算，其中：农村、城市低保金994.8万元、临时救助金79.57万元、特困人员救助金234.62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困难群众救助补助资金项目资金的请示》和《2024年困难群众救助补助资金项目实施方案》为依据进行资金分配，预算资金分配依据充分。根据昌州财社[2023]70号《关于提前下达2024年中央财政困难群众救助补助资金预算的通知》和昌州财社[2024]38号《关于下达2024年中央财政困难群众救助补助资金预算的通知》文件显示，本项目实际到位资金1308.99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CD72F1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BC60AB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1308.99万元，其中：本级财政安排资金1308.99万元，其他资金0万元，实际到位资金1308.99万元，资金到位率=（实际到位资金/预算资金）×100.00%=（1308.99/1308.99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本项目实际支出资金1308.99万元，预算执行率=（实际支出资金/实际到位资金）×100.00%=（1308.99/1308.99）*100.00%=100%。得分=预算执行率*分值=100%*5=5分。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民政局单位资金管理办法》《困难群众救助补助资金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我单位已制定《呼图壁县民政局单位资金管理办法》，已建立的制度均符合行政事业单位内控管理要求，财务和业务管理制度合法、合规、完整，本项目执行符合上述制度规定。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各类困难群众救助补助资金发放台账、发放明细名单等资料齐全并及时进行了归档。项目资金支出严格按照自治区、昌吉州、县以及本单位资金管理办法执行，项目启动实施后，为了加快本项目的实施，成立了困难群众救助补助资金项目工作领导小组，由党组副书记、局长桑婷婷任组长，负责项目的组织工作；党组成员、副局长马芳任副组长，负责项目的实施工作；组员包括：社会救助办全体工作人员，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0B89B08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984E5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项目产出类指标由1个二级指标和5个三级指标构成，权重分20.0分，实际得分20分。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“低保对象救助覆盖人数”指标：预期指标值为“≥1553人”，实际完成指标值为“=1946人”，指标完成率为100.0%。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“特困人员救助覆盖人数”指标：预期指标值为“≥221人”，实际完成指标值为“=303人”，指标完成率为100.0%。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“临时救助人员人次”指标：预期指标值为“≥2050人”，实际完成指标值为“=2052人”，指标完成率为100.0%。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“困难补助完成合格率”指标：预期指标值为“≥100%”，实际完成指标值为“=100%”，指标完成率为100%。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“困难群众救助补助资金按时发放率”指标：预期指标值为“≥95%”，实际完成指“=97%”指标完成率为100%。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“低保费”指标：预期指标值为“&lt;=850万元”，实际完成指=850万元，指标完成率为100%。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“其他救助费用”指标：预期指标值为“&lt;=458.99万元”，实际完成指=458.99万元，指标完成率为100%。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CD592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5D5D00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“困难群众生活水平提升情况”指标：预期指标值为“有所提升”，实际完成值“达到预期指标值”，指标完成率为100%。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4648D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“困难群体满意度”指标：预期指标值为“&gt;=90%；”，实际完成指=95%，指标完成率为100%。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04D8F97">
      <w:pPr>
        <w:spacing w:line="540" w:lineRule="exact"/>
        <w:ind w:firstLine="567"/>
        <w:rPr>
          <w:rStyle w:val="18"/>
          <w:rFonts w:hint="eastAsia" w:ascii="楷体" w:hAnsi="楷体" w:eastAsia="楷体"/>
          <w:b w:val="0"/>
          <w:bCs w:val="0"/>
          <w:spacing w:val="-4"/>
          <w:sz w:val="32"/>
          <w:szCs w:val="32"/>
        </w:rPr>
      </w:pPr>
    </w:p>
    <w:p w14:paraId="598C660E">
      <w:pPr>
        <w:spacing w:line="540" w:lineRule="exact"/>
        <w:ind w:firstLine="567"/>
        <w:rPr>
          <w:rStyle w:val="18"/>
          <w:rFonts w:ascii="楷体" w:hAnsi="楷体" w:eastAsia="楷体"/>
          <w:spacing w:val="-4"/>
          <w:sz w:val="32"/>
          <w:szCs w:val="32"/>
        </w:rPr>
      </w:pPr>
    </w:p>
    <w:p w14:paraId="799BE1C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D95E31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民政局各项困难群众救助工作严格按照救助操作规程执行，经个人申请、乡镇审核、入户调查、公示、区民政局审批等程序办理，做到不漏保、不错保，精准施保，严格落实各项政策。同时，在资金使用上，县民政局根据上级下达文件，制订资金统筹预算分配方案，救助资金统筹使用。财政部门根据民政划拨报告，足额安排救助资金，及时划拨打卡发放，完成全年总体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落实落地各项救助政策。贯彻落实低保、特困人员认定办法，按新规定准确认定低保、特困对象，优化简化审核审批程序，缩短办理时限。制定低保边缘家庭认定工作方案，将分批次、分阶段对在册参照“单人户”低保家庭、防返贫监测户、其他符合条件家庭开展低保边缘家庭认定。取消临时救助户籍地限制，对区外户籍在本区内出现困难对象依程序施救，落实“一次审批、分阶段”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群众动态管理不及时。困难群众家庭经济状况会随时间变化，如家庭成员就业、疾病等情况改变，但部分地区未建立完善的动态跟踪机制。工作人员未定期对救助对象家庭情况进行复核，困难群众救助保障未及时进行调整。</w:t>
      </w:r>
    </w:p>
    <w:p w14:paraId="466ED87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DF978B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强培训，提高相关人员工作水平。定期组织基层工作人员参加业务培训，培训内容涵盖社会救助政策法规、家庭经济状况核查方法、信息化系统操作、沟通技巧等方面。邀请政策专家、业务骨干进行授课，通过案例分析、模拟操作等方式，提高工作人员的专业能力和业务水平。建立健全考核机制，将动态管理工作成效纳入基层工作人员绩效考核体系，对工作表现优秀的给予表彰和奖励，对工作不认真、核查不及时的进行通报批评和问责，激发工作人员的工作积极性和责任感。</w:t>
      </w:r>
    </w:p>
    <w:p w14:paraId="002EBC5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AB352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04EE80ED">
      <w:pPr>
        <w:spacing w:line="540" w:lineRule="exact"/>
        <w:ind w:firstLine="567"/>
        <w:rPr>
          <w:rStyle w:val="18"/>
          <w:rFonts w:ascii="仿宋" w:hAnsi="仿宋" w:eastAsia="仿宋"/>
          <w:b w:val="0"/>
          <w:spacing w:val="-4"/>
          <w:sz w:val="32"/>
          <w:szCs w:val="32"/>
        </w:rPr>
      </w:pPr>
    </w:p>
    <w:p w14:paraId="0611F754">
      <w:pPr>
        <w:spacing w:line="540" w:lineRule="exact"/>
        <w:ind w:firstLine="567"/>
        <w:rPr>
          <w:rStyle w:val="18"/>
          <w:rFonts w:ascii="仿宋" w:hAnsi="仿宋" w:eastAsia="仿宋"/>
          <w:b w:val="0"/>
          <w:spacing w:val="-4"/>
          <w:sz w:val="32"/>
          <w:szCs w:val="32"/>
        </w:rPr>
      </w:pPr>
    </w:p>
    <w:p w14:paraId="4BD08F28">
      <w:pPr>
        <w:spacing w:line="540" w:lineRule="exact"/>
        <w:ind w:firstLine="567"/>
        <w:rPr>
          <w:rStyle w:val="18"/>
          <w:rFonts w:ascii="仿宋" w:hAnsi="仿宋" w:eastAsia="仿宋"/>
          <w:b w:val="0"/>
          <w:spacing w:val="-4"/>
          <w:sz w:val="32"/>
          <w:szCs w:val="32"/>
        </w:rPr>
      </w:pPr>
    </w:p>
    <w:p w14:paraId="40A47857">
      <w:pPr>
        <w:spacing w:line="540" w:lineRule="exact"/>
        <w:ind w:firstLine="567"/>
        <w:rPr>
          <w:rStyle w:val="18"/>
          <w:rFonts w:ascii="仿宋" w:hAnsi="仿宋" w:eastAsia="仿宋"/>
          <w:b w:val="0"/>
          <w:spacing w:val="-4"/>
          <w:sz w:val="32"/>
          <w:szCs w:val="32"/>
        </w:rPr>
      </w:pPr>
    </w:p>
    <w:p w14:paraId="31B49CB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C5797C4">
        <w:pPr>
          <w:pStyle w:val="12"/>
          <w:jc w:val="center"/>
        </w:pPr>
        <w:r>
          <w:fldChar w:fldCharType="begin"/>
        </w:r>
        <w:r>
          <w:instrText xml:space="preserve">PAGE   \* MERGEFORMAT</w:instrText>
        </w:r>
        <w:r>
          <w:fldChar w:fldCharType="separate"/>
        </w:r>
        <w:r>
          <w:rPr>
            <w:lang w:val="zh-CN"/>
          </w:rPr>
          <w:t>2</w:t>
        </w:r>
        <w:r>
          <w:fldChar w:fldCharType="end"/>
        </w:r>
      </w:p>
    </w:sdtContent>
  </w:sdt>
  <w:p w14:paraId="5AD01A5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B744782"/>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13199</Words>
  <Characters>13985</Characters>
  <Lines>4</Lines>
  <Paragraphs>1</Paragraphs>
  <TotalTime>10</TotalTime>
  <ScaleCrop>false</ScaleCrop>
  <LinksUpToDate>false</LinksUpToDate>
  <CharactersWithSpaces>14021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2025-08-12T07:38:38Z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