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8AB0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8FD4792">
      <w:pPr>
        <w:spacing w:line="540" w:lineRule="exact"/>
        <w:jc w:val="center"/>
        <w:rPr>
          <w:rFonts w:ascii="华文中宋" w:hAnsi="华文中宋" w:eastAsia="华文中宋" w:cs="宋体"/>
          <w:b/>
          <w:kern w:val="0"/>
          <w:sz w:val="52"/>
          <w:szCs w:val="52"/>
        </w:rPr>
      </w:pPr>
    </w:p>
    <w:p w14:paraId="081359D7">
      <w:pPr>
        <w:spacing w:line="540" w:lineRule="exact"/>
        <w:jc w:val="center"/>
        <w:rPr>
          <w:rFonts w:ascii="华文中宋" w:hAnsi="华文中宋" w:eastAsia="华文中宋" w:cs="宋体"/>
          <w:b/>
          <w:kern w:val="0"/>
          <w:sz w:val="52"/>
          <w:szCs w:val="52"/>
        </w:rPr>
      </w:pPr>
    </w:p>
    <w:p w14:paraId="2D41C605">
      <w:pPr>
        <w:spacing w:line="540" w:lineRule="exact"/>
        <w:jc w:val="center"/>
        <w:rPr>
          <w:rFonts w:ascii="华文中宋" w:hAnsi="华文中宋" w:eastAsia="华文中宋" w:cs="宋体"/>
          <w:b/>
          <w:kern w:val="0"/>
          <w:sz w:val="52"/>
          <w:szCs w:val="52"/>
        </w:rPr>
      </w:pPr>
    </w:p>
    <w:p w14:paraId="0807C6B0">
      <w:pPr>
        <w:spacing w:line="540" w:lineRule="exact"/>
        <w:jc w:val="center"/>
        <w:rPr>
          <w:rFonts w:ascii="华文中宋" w:hAnsi="华文中宋" w:eastAsia="华文中宋" w:cs="宋体"/>
          <w:b/>
          <w:kern w:val="0"/>
          <w:sz w:val="52"/>
          <w:szCs w:val="52"/>
        </w:rPr>
      </w:pPr>
    </w:p>
    <w:p w14:paraId="10916937">
      <w:pPr>
        <w:spacing w:line="540" w:lineRule="exact"/>
        <w:jc w:val="center"/>
        <w:rPr>
          <w:rFonts w:ascii="华文中宋" w:hAnsi="华文中宋" w:eastAsia="华文中宋" w:cs="宋体"/>
          <w:b/>
          <w:kern w:val="0"/>
          <w:sz w:val="52"/>
          <w:szCs w:val="52"/>
        </w:rPr>
      </w:pPr>
    </w:p>
    <w:p w14:paraId="1627DB50">
      <w:pPr>
        <w:spacing w:line="540" w:lineRule="exact"/>
        <w:jc w:val="center"/>
        <w:rPr>
          <w:rFonts w:ascii="华文中宋" w:hAnsi="华文中宋" w:eastAsia="华文中宋" w:cs="宋体"/>
          <w:b/>
          <w:kern w:val="0"/>
          <w:sz w:val="52"/>
          <w:szCs w:val="52"/>
        </w:rPr>
      </w:pPr>
    </w:p>
    <w:p w14:paraId="3017188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0B51FCD">
      <w:pPr>
        <w:spacing w:line="540" w:lineRule="exact"/>
        <w:jc w:val="center"/>
        <w:rPr>
          <w:rFonts w:ascii="华文中宋" w:hAnsi="华文中宋" w:eastAsia="华文中宋" w:cs="宋体"/>
          <w:b/>
          <w:kern w:val="0"/>
          <w:sz w:val="52"/>
          <w:szCs w:val="52"/>
        </w:rPr>
      </w:pPr>
    </w:p>
    <w:p w14:paraId="3AE69F8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B866A64">
      <w:pPr>
        <w:spacing w:line="540" w:lineRule="exact"/>
        <w:jc w:val="center"/>
        <w:rPr>
          <w:rFonts w:hAnsi="宋体" w:eastAsia="仿宋_GB2312" w:cs="宋体"/>
          <w:kern w:val="0"/>
          <w:sz w:val="30"/>
          <w:szCs w:val="30"/>
        </w:rPr>
      </w:pPr>
    </w:p>
    <w:p w14:paraId="1B4BC8B8">
      <w:pPr>
        <w:spacing w:line="540" w:lineRule="exact"/>
        <w:jc w:val="center"/>
        <w:rPr>
          <w:rFonts w:hAnsi="宋体" w:eastAsia="仿宋_GB2312" w:cs="宋体"/>
          <w:kern w:val="0"/>
          <w:sz w:val="30"/>
          <w:szCs w:val="30"/>
        </w:rPr>
      </w:pPr>
    </w:p>
    <w:p w14:paraId="6F24021B">
      <w:pPr>
        <w:spacing w:line="540" w:lineRule="exact"/>
        <w:jc w:val="center"/>
        <w:rPr>
          <w:rFonts w:hAnsi="宋体" w:eastAsia="仿宋_GB2312" w:cs="宋体"/>
          <w:kern w:val="0"/>
          <w:sz w:val="30"/>
          <w:szCs w:val="30"/>
        </w:rPr>
      </w:pPr>
    </w:p>
    <w:p w14:paraId="31F649BD">
      <w:pPr>
        <w:spacing w:line="540" w:lineRule="exact"/>
        <w:jc w:val="center"/>
        <w:rPr>
          <w:rFonts w:hAnsi="宋体" w:eastAsia="仿宋_GB2312" w:cs="宋体"/>
          <w:kern w:val="0"/>
          <w:sz w:val="30"/>
          <w:szCs w:val="30"/>
        </w:rPr>
      </w:pPr>
    </w:p>
    <w:p w14:paraId="2C90770B">
      <w:pPr>
        <w:spacing w:line="540" w:lineRule="exact"/>
        <w:jc w:val="center"/>
        <w:rPr>
          <w:rFonts w:hAnsi="宋体" w:eastAsia="仿宋_GB2312" w:cs="宋体"/>
          <w:kern w:val="0"/>
          <w:sz w:val="30"/>
          <w:szCs w:val="30"/>
        </w:rPr>
      </w:pPr>
    </w:p>
    <w:p w14:paraId="6F7180AF">
      <w:pPr>
        <w:spacing w:line="540" w:lineRule="exact"/>
        <w:jc w:val="center"/>
        <w:rPr>
          <w:rFonts w:hAnsi="宋体" w:eastAsia="仿宋_GB2312" w:cs="宋体"/>
          <w:kern w:val="0"/>
          <w:sz w:val="30"/>
          <w:szCs w:val="30"/>
        </w:rPr>
      </w:pPr>
    </w:p>
    <w:p w14:paraId="59C8DF8C">
      <w:pPr>
        <w:spacing w:line="540" w:lineRule="exact"/>
        <w:rPr>
          <w:rFonts w:hAnsi="宋体" w:eastAsia="仿宋_GB2312" w:cs="宋体"/>
          <w:kern w:val="0"/>
          <w:sz w:val="30"/>
          <w:szCs w:val="30"/>
        </w:rPr>
      </w:pPr>
    </w:p>
    <w:p w14:paraId="4A39BD9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28AC412">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涉藏州县建设专项2024年第一批中央基建投资资金-呼图壁县阿苇滩渠首除险加固项目</w:t>
      </w:r>
    </w:p>
    <w:p w14:paraId="0843D208">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呼图壁县水利局</w:t>
      </w:r>
    </w:p>
    <w:p w14:paraId="6FDF96A6">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呼图壁县水利局</w:t>
      </w:r>
    </w:p>
    <w:p w14:paraId="009B3C9C">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库尔班</w:t>
      </w:r>
    </w:p>
    <w:p w14:paraId="52F22AFB">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2025年03月12日</w:t>
      </w:r>
    </w:p>
    <w:p w14:paraId="4009AF89">
      <w:pPr>
        <w:spacing w:line="700" w:lineRule="exact"/>
        <w:ind w:firstLine="708" w:firstLineChars="236"/>
        <w:jc w:val="left"/>
        <w:rPr>
          <w:rFonts w:hAnsi="宋体" w:eastAsia="仿宋_GB2312" w:cs="宋体"/>
          <w:kern w:val="0"/>
          <w:sz w:val="30"/>
          <w:szCs w:val="30"/>
        </w:rPr>
      </w:pPr>
    </w:p>
    <w:p w14:paraId="086DB1AD">
      <w:pPr>
        <w:spacing w:line="540" w:lineRule="exact"/>
        <w:rPr>
          <w:rStyle w:val="18"/>
          <w:rFonts w:ascii="黑体" w:hAnsi="黑体" w:eastAsia="黑体"/>
          <w:b w:val="0"/>
          <w:spacing w:val="-4"/>
          <w:sz w:val="32"/>
          <w:szCs w:val="32"/>
        </w:rPr>
      </w:pPr>
    </w:p>
    <w:p w14:paraId="55FA2F6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6D15DFA">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A8C039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阿苇滩渠首位于呼图壁河出山口处，石梯子乡境内，距呼图壁县城西南方向约24km，在青年渠首上游约12km处，为拦河式渠首，1964年建成并投入使用，工程至今已运行59年。在运行过程中，经过多次的维修与更新改造，目前渠首为“一”字型布置，枢纽主要建筑物包括泄洪冲砂闸、溢流堰、“曲条面”引水枢纽和上下游导流堤。工程修建年代久远，原设计标准低，配套不完善，引输水能力严重不足，不利于灌溉调度管理，影响灌区经济可持续发展。2022年4月，经对呼图壁县阿苇滩渠首水闸进行安全评价，根据《水闸安全评价导则》水闸类别评定标准，阿苇滩渠首运用指标无法达到设计标准，工程存在严重安全问题，综合评价后，鉴定阿苇滩渠首水闸为四类闸，急需进行除险加固。为缓解阿苇滩灌区用水矛盾，提高供水保证率，2023年县委、</w:t>
      </w:r>
      <w:r>
        <w:rPr>
          <w:rStyle w:val="18"/>
          <w:rFonts w:hint="eastAsia" w:ascii="楷体" w:hAnsi="楷体" w:eastAsia="楷体"/>
          <w:b w:val="0"/>
          <w:bCs w:val="0"/>
          <w:spacing w:val="-4"/>
          <w:sz w:val="32"/>
          <w:szCs w:val="32"/>
          <w:lang w:val="en-US" w:eastAsia="zh-CN"/>
        </w:rPr>
        <w:t>县</w:t>
      </w:r>
      <w:r>
        <w:rPr>
          <w:rStyle w:val="18"/>
          <w:rFonts w:hint="eastAsia" w:ascii="楷体" w:hAnsi="楷体" w:eastAsia="楷体"/>
          <w:b w:val="0"/>
          <w:bCs w:val="0"/>
          <w:spacing w:val="-4"/>
          <w:sz w:val="32"/>
          <w:szCs w:val="32"/>
        </w:rPr>
        <w:t>政府积极申请资金对渠首进行除险加固，恢复渠首供水功能。2023年11月30日，昌吉州发改委下达《关于对呼图壁县阿苇滩渠首除险加固工程可行性研究报告的批复》（昌州发改农发〔2023〕17号）。2024年6月11日，昌吉州发改委下达《昌吉州发改委关于对呼图壁县阿苇滩渠首除险加固工程初步设计的批复》（昌州发改项目〔2024〕58号）。项目建设完成后可解决阿苇滩渠首安全隐患问题，提高渠首安全过洪能力，引水流量由3m3/s提升到6m3/s，提升石梯子灌区水资源调控能力和保证率，可向二十里店镇调配，极大地改善流域内农牧业生产基础条件，提高农牧民经济收入，加快农牧民的脱贫致富步伐，提高生活质量水平和质量，改善民生，为进一步助力县域高质量发展提供水利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（1）项目名称：呼图壁县阿苇滩渠首除险加固项目（以下简称“该项目”或“项目”）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该项目用途为农业灌溉，灌溉范围为渠首下游石梯子灌区、二十里店灌区，主要建设内容为通过拆除原渠首，新建上下游导流堤、溢流堰及泄洪闸、冲砂闸、引水闸、上下游翼墙、管理站房、对上下游河道进行整治、配套金属结构及相应电气设备，信息化建设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实施主体：呼图壁县水利管理站。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实施时间：本项目实施周期为2024年8月-2025年10月。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2023年11月30日，昌吉州发改委下达《关于对呼图壁县阿苇滩渠首除险加固工程可行性研究报告的批复》（昌州发改农发〔2023〕17号）。2024年6月11日，昌吉州发改委下达《昌吉州发改委关于对呼图壁县阿苇滩渠首除险加固工程初步设计的批复》（昌州发改项目〔2024〕58号）。7月18日完成了施工招标，7月23日完成了监理招标、8月2日签订施工合同、8月10日工程开工，11月20日停工，现已完成引水闸、冲砂闸、泄洪闸闸前铺盖段、闸后泄槽段及启闭机平台、溢流堰泄槽段、交通桥，引水渠，上游左右侧导流堤填筑，围堰、导流明渠等工程施工。已支付中央预算内资金3816.41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疆昌吉州呼图壁县水利局是主管地下水开采与管理，水政检查，农田水利灌溉管理与运行，水利工程建设与管理、水土保持、水资源的合理开发利用、高效节水新技术的实施与推广、水政、监察水利工程质量监督等主要职责及承担</w:t>
      </w:r>
      <w:bookmarkStart w:id="0" w:name="_GoBack"/>
      <w:r>
        <w:rPr>
          <w:rStyle w:val="18"/>
          <w:rFonts w:hint="eastAsia" w:ascii="楷体" w:hAnsi="楷体" w:eastAsia="楷体"/>
          <w:b w:val="0"/>
          <w:bCs w:val="0"/>
          <w:spacing w:val="-4"/>
          <w:sz w:val="32"/>
          <w:szCs w:val="32"/>
        </w:rPr>
        <w:t>县委</w:t>
      </w:r>
      <w:bookmarkEnd w:id="0"/>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lang w:val="en-US" w:eastAsia="zh-CN"/>
        </w:rPr>
        <w:t>县</w:t>
      </w:r>
      <w:r>
        <w:rPr>
          <w:rStyle w:val="18"/>
          <w:rFonts w:hint="eastAsia" w:ascii="楷体" w:hAnsi="楷体" w:eastAsia="楷体"/>
          <w:b w:val="0"/>
          <w:bCs w:val="0"/>
          <w:spacing w:val="-4"/>
          <w:sz w:val="32"/>
          <w:szCs w:val="32"/>
        </w:rPr>
        <w:t>政府交办的其他事项的行政事业单位。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呼图壁县水利局单位无下属预算单位，下设 7 个处室，分别是：水政监察大队、水利工程质量监督站、建管股、农水股、行政办公室、财务室、党建办等。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呼图壁县水利局编制数 22，实有人数 38 人，其中：在职22 人，增加 0 人；退休 16 人，增加 0 人；离休 0 人，减少 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5月29日，呼图壁县财政局下达《关于下达新疆、西藏、四省涉藏州县建设专项2024年第一批中央基建投资预算资金指标到位的通知》(呼财字〔2024〕74号)，下达中央资金3816.41万元。2024年实际收到预算资金3816.41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截至2024年12月31日，本项目实际支付资金3816.41万元，预算执行率100%。本项目资金用于支付工程款3521.31万元，支付前期费295.10万元。</w:t>
      </w:r>
    </w:p>
    <w:p w14:paraId="0A5CFBE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E89FA3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阿苇滩渠首除险加固工程通过拆除原渠首，新建上下游导流堤、溢流堰及泄洪闸、冲砂闸、引水闸、上下游翼墙、管理站房、对上下游河道进行整治、配套金属结构及相应电气设备，信息化建设等，能够有效消除病险水闸安全隐患，提高防洪能力，提高灌区供水保障率及水资源利用，促进流域经济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“大中型病险水闸除险加固数量”指标，预期指标值为“=1个”；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“灌溉土地亩数”指标，预期指标值为“&gt;=5万亩”；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“钢筋数量”指标，预期指标值为“&gt;=200吨”；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“工程质量合格率”指标，预期指标值为“&gt;=100%”；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“项目完工及时率”指标，预期指标值为“&gt;=80%”；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“工程前期费用”指标，预期指标值为“&lt;=295.10万元”；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“建安费”指标，预期指标值为“&lt;=3521.31万元”；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“提高渠首安全过洪能力”指标，预期指标值为“良好”；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“当地居民满意度”指标，预期指标值为“大于等于95%”。</w:t>
      </w:r>
    </w:p>
    <w:p w14:paraId="573A345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85A73B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AF0BBE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涉藏州县建设专项2024年第一批中央基建投资资金-呼图壁县阿苇滩渠首除险加固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(5)《阿苇滩渠首除险加固工程可行性研究报告》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(6)《阿苇滩渠首除险加固工程初步设计报告》</w:t>
      </w:r>
    </w:p>
    <w:p w14:paraId="0CF13CD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F9D6BF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分析法、目标评估法、问卷调查法对项目进行评价，旨在通过综合分析影响绩效目标实现、实施效果的内外部因素，从而评价本项目绩效。三级指标分析环节：成本效益分析法，比较分析法、目标评估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成本效益分析法：通过量化项目的资金投入与产出效益，评估资金使用效率，衡量单位成本是否产生预期培训效果或社会价值。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比较分析法：将培训前后的代表履职能力数据（如议案质量、调研成果数量）进行对比，分析能力提升幅度与项目目标的契合度。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目标评估法：以预设的绩效目标（如参训率、满意度、议案达标率）为基准，逐项核查实际完成情况，判断项目目标实现程度。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问卷调查法：通过设计满意度、知识掌握度等量表，收集参训代表对课程内容、教学方式的主观反馈，评估培训体验与知识转化效果。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67D275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8963F7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刘杰（评价小组组长）：主要负责项目策划和监督，全面负责项目绩效评价办稿的最终质量，对评估人员出具的最终报告质量进行复核，确保评估结果的客观性；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库尔班（评价小组组员）：主要负责资料的收集，取证、数据统计分析；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尕超（评价小组组员）：主要负责主要负责项目报告的制定，指标的研判，数据分析及报告撰写。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石梯子乡与二十里店镇的居民。我们根据绩效评价目标和绩效指标体系，设计满意度调查问卷进行问卷调查，其中石梯子乡与二十里店镇的居民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41E175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797A23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部分达成年初设立的绩效目标，在实施过程中取得了良好的成效，具体表现在：通过项目的实施，完成了引水闸、冲砂闸、泄洪闸闸室、闸前铺盖段、闸后泄槽段及启闭机平台、溢流堰泄槽段、引水渠完成570米，上游左右侧导流堤填筑，围堰、导流明渠等，管理站房、物资储备间基础工程建设。消能塘抛石回填高度2米已完成，提高了阿苇滩渠首水平，提升了石梯子灌区灌溉能力。但在实施过程中也存在一些不足：施工现场管理水平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此次绩效评价通过绩效评价小组论证的评价指标体系及评分标准，采用因素分析法和比较法对本项目绩效进行客观评价，本项目共设置三级指标数量20个，实现三级指标数量20个，总体完成率为100.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w:t>
      </w:r>
    </w:p>
    <w:p w14:paraId="21474ED6">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646C45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B001C50">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昌吉回族自治州人民政府颁发的《关于印发《昌吉回族自治州“十四五”水利发展(水安全保障)规划》的通知》（昌州政发〔2022〕5号）中：“建设阿苇滩渠首（水闸）除险加固工程”，符合国家法律法规、国民经济发展规划和相关政策；本项目立项符合《“十四五”水安全保障规划》规划报告中：“加快实施病险水库、水闸、堤防除险加固”内容，符合行业发展规划和政策要求；本项目立项符合《呼图壁县水利局单位配置内设机构和人员编制规定》中职责范围中的“水利工程建设与管理、水土保持、水资源的合理开发利用”，属于我单位履职所需；根据《财政资金直接支付申请书》，本项目资金性质为“公共财政预算”功能分类为“水利工程建设”经济分类为“委托业务费”属于一般公共预算资金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根据昌吉州发改委下达《关于对呼图壁县阿苇滩渠首除险加固工程可行性研究报告的批复》（昌州发改农发〔2023〕17号）文件要求，我单位上报《呼图壁县阿苇滩渠首除险加固工程初步设计报告》的请示，经昌吉州发改委审核下发《昌吉州发改委关于对呼图壁县阿苇滩渠首除险加固工程初步设计的批复》（昌州发改项目〔2024〕58号）批复文件，本项目正式设立。经查看，该项目立项过程产生的相关文件，符合相关要求。本项目为基础建设类项目，属于经常性项目，不涉及事前绩效评估和风险评估，已委托新疆昌吉方汇水电设计有限公司单位编制《呼图壁县阿苇滩渠首除险加固工程项目可行性研究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呼图壁县阿苇滩渠首除险加固工程通过拆除原有建筑物，新建上下游导流堤、溢流堰及泄洪闸、冲砂闸、引水闸、上下游翼墙、管理站房、对上下游河道进行整治、配套金属结构及相应电气设备，信息化建设等，能够有效消除病险水闸安全隐息，提高防洪能力，提高灌区供水保证率及水资源利用率，促进流域经济社会发展。”本项目实际工作内容为：新建上下游导流堤、溢流堰及泄洪闸、冲砂闸、引水闸、上下游翼墙、管理站房、对上下游河道进行整治、配套金属结构及相应电气设备，信息化建设等。绩效目标与实际工作内容一致，两者具有相关性;本项目预算申请中央预算内资金3816.41万元，预算确定资金量与实际工作任务相匹配。本项目按照绩效目标完成了数量指标、质量指标、时效指标、成本指标，有效保障了阿苇滩渠首安全隐患问题，提升阿苇滩灌区水资源调控能力，提高渠首安全过洪能力、引水冲砂能力和灌区引水灌溉保证率，灌区灌溉保证率从75%提高到90%，灌区保灌面积从5万亩提高到12.21万亩，极大地改善流域内农牧业生产基础条件，提高农牧民经济收入，加快农牧民的脱贫致富步伐，提高生活质量水平和质量，改善民生，为进一步助力县域高质量发展提供水利支撑。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9个，定量指标8个，定性指标1个，指标量化率为88.89%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本项目预算编制通过可行性研究报告得出，即预算编制较科学且经过论证；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拆除原渠首，新建上下游导流堤、溢流堰及泄洪闸、冲砂闸、引水闸、上下游翼墙、管理站房、对上下游河道进行整治、配套金属结构及相应电气设备，信息化建设等，项目实际内容为已完成引水闸、冲砂闸、泄洪闸闸室、闸前铺盖段、闸后泄槽段及启闭机平台、溢流堰泄槽段、引水渠完成570米，上游左右侧导流堤填筑，围堰、导流明渠等，管理站房、物资储备间基础工程已完成。消能塘抛石回填高度2米已完成。预算申请与《关于对呼图壁县阿苇滩渠首除险加固工程可行性研究报告的批复》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3816.41万元，我单位在预算申请中严格按照分项成本进行核算，其中：工程前期费用295.1万元，建安费3521.31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拨付呼图壁县阿苇滩渠首除险加固项目资金的请示》和《关于对呼图壁县阿苇滩渠首除险加固工程可行性研究报告的批复》为依据进行资金分配，预算资金分配依据充分。根据《关于下达新疆、西藏、四省涉藏州县建设专项2024年第一批中央基建投资预算资金指标到位的通知》(呼财字〔2024〕74号)文件显示，本项目实际到位资金3816.41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047A9596">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4FC085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本项目预算资金为3816.41万元，其中：中央资金3816.41万元，实际到位资金3816.41万元，资金到位率=（实际到位资金/预算资金）×100.00%=（3816.41/3816.41）*100.00%=100%。得分=资金到位率*分值=100%*4=4分。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本项目实际支出资金3816.</w:t>
      </w:r>
      <w:r>
        <w:rPr>
          <w:rStyle w:val="18"/>
          <w:rFonts w:hint="eastAsia" w:ascii="楷体" w:hAnsi="楷体" w:eastAsia="楷体"/>
          <w:b w:val="0"/>
          <w:bCs w:val="0"/>
          <w:spacing w:val="-4"/>
          <w:sz w:val="32"/>
          <w:szCs w:val="32"/>
          <w:lang w:val="en-US" w:eastAsia="zh-CN"/>
        </w:rPr>
        <w:t>41</w:t>
      </w:r>
      <w:r>
        <w:rPr>
          <w:rStyle w:val="18"/>
          <w:rFonts w:hint="eastAsia" w:ascii="楷体" w:hAnsi="楷体" w:eastAsia="楷体"/>
          <w:b w:val="0"/>
          <w:bCs w:val="0"/>
          <w:spacing w:val="-4"/>
          <w:sz w:val="32"/>
          <w:szCs w:val="32"/>
        </w:rPr>
        <w:t>万元，预算执行率=（实际支出资金/实际到位资金）×100.00%=（3816.</w:t>
      </w:r>
      <w:r>
        <w:rPr>
          <w:rStyle w:val="18"/>
          <w:rFonts w:hint="eastAsia" w:ascii="楷体" w:hAnsi="楷体" w:eastAsia="楷体"/>
          <w:b w:val="0"/>
          <w:bCs w:val="0"/>
          <w:spacing w:val="-4"/>
          <w:sz w:val="32"/>
          <w:szCs w:val="32"/>
          <w:lang w:val="en-US" w:eastAsia="zh-CN"/>
        </w:rPr>
        <w:t>41</w:t>
      </w:r>
      <w:r>
        <w:rPr>
          <w:rStyle w:val="18"/>
          <w:rFonts w:hint="eastAsia" w:ascii="楷体" w:hAnsi="楷体" w:eastAsia="楷体"/>
          <w:b w:val="0"/>
          <w:bCs w:val="0"/>
          <w:spacing w:val="-4"/>
          <w:sz w:val="32"/>
          <w:szCs w:val="32"/>
        </w:rPr>
        <w:t>/3816.41）*100.00%=100.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0%。得分=预算执行率*分值=100.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水利局专项资金报账管理暂行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水利局本级资金管理办法》《呼图壁县水利局本级收支业务管理制度》《呼图壁县水利局本级政府采购业务管理制度》《呼图壁县水利局本级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质量和安全终身责任承诺书、呼图壁县阿苇滩渠首除险加固工程可行性研究报告等资料齐全并及时进行了归档。项目资金支出严格按照自治区、地州、市县以及本单位资金管理办法执行，项目启动实施后，为了加快本项目的实施，成立了呼图壁县阿苇滩渠首除险加固工程项目法人机构，由项目法人负责人刘杰任组长，负责项目的组织工作；库尔班任副组长，负责项目的实施工作；组员包括：王海浩、闫丽、刘彦龙、马兰、赵菁、南喜梅、韩静、尕超和杨培安，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728B9E1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E74BD3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项目产出类指标由3个二级指标和5个三级指标构成，权重分20.0分，实际得分20.0分。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“大中型渠首除险加固数量”指标：预期指标值为“=1个”，实际完成指标值为“=1个”，指标完成率为100.0%。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“灌溉土地亩数”指标：预期指标值为“&gt;=5万亩”，实际完成指标值为“=5万亩”，指标完成率为100.0%。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“钢筋数量”指标：预期指标值为“&gt;=200吨”，实际完成指标值为“=200吨”，指标完成率为100.0%。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“工程质量合格率”指标：预期指标值为“=100%”，实际完成指标值为“=100%”，指标完成率为100.0%。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“项目完工及时率”指标：预期指标值为“&gt;=80%”，实际完成指标值为“=80%”，指标完成率为100.0%。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“工程前期费用”指标：预期指标值为“&lt;=295.10万元”，实际完成指标值为“=295.10万元”，指标完成率为100.0%。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“建安费”指标：预期指标值为“&lt;=3521.31万元”，实际完成指标值为“=3521.31万元”，指标完成率为100.0%。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ADCEB5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54104C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“提高渠首安全过洪能力”指标：预期指标值为“良好”，实际完成指标值为“达到预期指标值”，指标完成率为100.0%。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D79EDE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“当地居民满意度”指标：预期指标值为“&gt;=95%”，实际完成指标值为“=100%”，指标完成率为100.0%。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38573BA4">
      <w:pPr>
        <w:spacing w:line="540" w:lineRule="exact"/>
        <w:ind w:firstLine="567"/>
        <w:rPr>
          <w:rStyle w:val="18"/>
          <w:rFonts w:hint="eastAsia" w:ascii="楷体" w:hAnsi="楷体" w:eastAsia="楷体"/>
          <w:b w:val="0"/>
          <w:bCs w:val="0"/>
          <w:spacing w:val="-4"/>
          <w:sz w:val="32"/>
          <w:szCs w:val="32"/>
        </w:rPr>
      </w:pPr>
    </w:p>
    <w:p w14:paraId="40BC78FC">
      <w:pPr>
        <w:spacing w:line="540" w:lineRule="exact"/>
        <w:ind w:firstLine="567"/>
        <w:rPr>
          <w:rStyle w:val="18"/>
          <w:rFonts w:ascii="楷体" w:hAnsi="楷体" w:eastAsia="楷体"/>
          <w:spacing w:val="-4"/>
          <w:sz w:val="32"/>
          <w:szCs w:val="32"/>
        </w:rPr>
      </w:pPr>
    </w:p>
    <w:p w14:paraId="1079531D">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E4755C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过程中，呼图壁县水利局建立了高效协同的工作机制，形成“政府主导、部门联动、专业支撑”的组织架构。通过成立专项领导小组，统筹协调水利、财政、环保等部门职责，明确分工与责任边界，确保各环节无缝衔接。同时，注重发挥技术团队的核心作用，整合设计、施工、监理等专业力量，强化技术论证与现场指导，为工程实施提供科学保障。此外，积极吸纳基层管护人员和受益群众参与监督，形成“上下联动、多方共管”的组织模式，既提升了工程推进效率，也增强了群众对项目的认可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以规范化和精细化为导向，严格遵循水利工程建设标准，全面落实质量、安全、进度“三控”机制。在前期规划中，科学制定施工方案，细化任务节点，统筹考虑防洪、灌溉、生态等多重需求，确保工程功能与区域发展需求匹配。实施过程中，通过定期召开工程例会、建立问题台账、动态优化施工流程等方式，及时化解技术难点和协调矛盾。质量控制上，严格执行“三检制”（自检、互检、专检）和隐蔽工程验收制度，引入第三方检测机构强化监督，保障工程质量达标。安全管理方面，强化风险预判与应急预案，落实安全培训与现场巡查，实现工程建设“零事故”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坚持“专款专用、全程监管、绩效优先”原则，构建了规范化、透明化的资金使用体系。通过科学编制预算、细化资金分配方案，确保资金投向与工程需求精准匹配。严格履行审批程序，落实资金支付“三级审核”制度，防范廉政风险。在资金监管上，联合审计、财政等部门开展全过程跟踪审计，定期公开资金使用情况，主动接受社会监督，确保资金合规高效使用。同时，注重资金绩效管理，结合工程进度分阶段评估资金效益，及时调整优化支出结构，最大限度发挥财政资金撬动作用，为项目高质量完成提供坚实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1.前期勘察设计深度不足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原因分析：项目前期受限于时间紧迫或技术力量薄弱，对地质条件、水文特征等关键因素勘察不够全面，导致施工过程中出现设计变更，影响工程进度和成本控制。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2.质量安全隐患未完全杜绝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原因分析：部分施工环节存在技术交底不彻底、安全监管覆盖面不足等问题，导致局部施工质量不达标或安全隐患未及时排查。</w:t>
      </w:r>
    </w:p>
    <w:p w14:paraId="294D345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6CDB5B4D">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强化前期技术投入：延长勘察设计周期，引入专业第三方机构参与地质勘探与方案论证，确保数据精准性和设计合理性；建立动态调整机制：在施工阶段预留技术优化空间，针对现场发现的问题及时组织专家会审，减少返工风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强化全过程监管：推行“双随机”检查机制（随机抽检项目、随机指派专家），扩大第三方质量检测的覆盖范围。细化安全责任体系：建立全员安全责任制，分岗位制定安全操作规范，定期开展安全演练和警示教育。</w:t>
      </w:r>
    </w:p>
    <w:p w14:paraId="113FECE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1EE931F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17A25432">
      <w:pPr>
        <w:spacing w:line="540" w:lineRule="exact"/>
        <w:ind w:firstLine="567"/>
        <w:rPr>
          <w:rStyle w:val="18"/>
          <w:rFonts w:ascii="仿宋" w:hAnsi="仿宋" w:eastAsia="仿宋"/>
          <w:b w:val="0"/>
          <w:spacing w:val="-4"/>
          <w:sz w:val="32"/>
          <w:szCs w:val="32"/>
        </w:rPr>
      </w:pPr>
    </w:p>
    <w:p w14:paraId="3CEF6B1A">
      <w:pPr>
        <w:spacing w:line="540" w:lineRule="exact"/>
        <w:ind w:firstLine="567"/>
        <w:rPr>
          <w:rStyle w:val="18"/>
          <w:rFonts w:ascii="仿宋" w:hAnsi="仿宋" w:eastAsia="仿宋"/>
          <w:b w:val="0"/>
          <w:spacing w:val="-4"/>
          <w:sz w:val="32"/>
          <w:szCs w:val="32"/>
        </w:rPr>
      </w:pPr>
    </w:p>
    <w:p w14:paraId="5EA86AF5">
      <w:pPr>
        <w:spacing w:line="540" w:lineRule="exact"/>
        <w:ind w:firstLine="567"/>
        <w:rPr>
          <w:rStyle w:val="18"/>
          <w:rFonts w:ascii="仿宋" w:hAnsi="仿宋" w:eastAsia="仿宋"/>
          <w:b w:val="0"/>
          <w:spacing w:val="-4"/>
          <w:sz w:val="32"/>
          <w:szCs w:val="32"/>
        </w:rPr>
      </w:pPr>
    </w:p>
    <w:p w14:paraId="23AB9B9F">
      <w:pPr>
        <w:spacing w:line="540" w:lineRule="exact"/>
        <w:ind w:firstLine="567"/>
        <w:rPr>
          <w:rStyle w:val="18"/>
          <w:rFonts w:ascii="仿宋" w:hAnsi="仿宋" w:eastAsia="仿宋"/>
          <w:b w:val="0"/>
          <w:spacing w:val="-4"/>
          <w:sz w:val="32"/>
          <w:szCs w:val="32"/>
        </w:rPr>
      </w:pPr>
    </w:p>
    <w:p w14:paraId="691251FA">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16F24B0">
        <w:pPr>
          <w:pStyle w:val="12"/>
          <w:jc w:val="center"/>
        </w:pPr>
        <w:r>
          <w:fldChar w:fldCharType="begin"/>
        </w:r>
        <w:r>
          <w:instrText xml:space="preserve">PAGE   \* MERGEFORMAT</w:instrText>
        </w:r>
        <w:r>
          <w:fldChar w:fldCharType="separate"/>
        </w:r>
        <w:r>
          <w:rPr>
            <w:lang w:val="zh-CN"/>
          </w:rPr>
          <w:t>2</w:t>
        </w:r>
        <w:r>
          <w:fldChar w:fldCharType="end"/>
        </w:r>
      </w:p>
    </w:sdtContent>
  </w:sdt>
  <w:p w14:paraId="16156D36">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58F5335"/>
    <w:rsid w:val="0856517C"/>
    <w:rsid w:val="0BFB189F"/>
    <w:rsid w:val="0F58071E"/>
    <w:rsid w:val="11BD75F7"/>
    <w:rsid w:val="13BE561A"/>
    <w:rsid w:val="15392994"/>
    <w:rsid w:val="18FE139B"/>
    <w:rsid w:val="28315DD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11292</Words>
  <Characters>12037</Characters>
  <Lines>4</Lines>
  <Paragraphs>1</Paragraphs>
  <TotalTime>9</TotalTime>
  <ScaleCrop>false</ScaleCrop>
  <LinksUpToDate>false</LinksUpToDate>
  <CharactersWithSpaces>12068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2025-09-22T05:45:21Z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