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24B1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02E5E2E">
      <w:pPr>
        <w:spacing w:line="540" w:lineRule="exact"/>
        <w:jc w:val="center"/>
        <w:rPr>
          <w:rFonts w:ascii="华文中宋" w:hAnsi="华文中宋" w:eastAsia="华文中宋" w:cs="宋体"/>
          <w:b/>
          <w:kern w:val="0"/>
          <w:sz w:val="52"/>
          <w:szCs w:val="52"/>
        </w:rPr>
      </w:pPr>
    </w:p>
    <w:p w14:paraId="33B7C7FD">
      <w:pPr>
        <w:spacing w:line="540" w:lineRule="exact"/>
        <w:jc w:val="center"/>
        <w:rPr>
          <w:rFonts w:ascii="华文中宋" w:hAnsi="华文中宋" w:eastAsia="华文中宋" w:cs="宋体"/>
          <w:b/>
          <w:kern w:val="0"/>
          <w:sz w:val="52"/>
          <w:szCs w:val="52"/>
        </w:rPr>
      </w:pPr>
    </w:p>
    <w:p w14:paraId="095843DD">
      <w:pPr>
        <w:spacing w:line="540" w:lineRule="exact"/>
        <w:jc w:val="center"/>
        <w:rPr>
          <w:rFonts w:ascii="华文中宋" w:hAnsi="华文中宋" w:eastAsia="华文中宋" w:cs="宋体"/>
          <w:b/>
          <w:kern w:val="0"/>
          <w:sz w:val="52"/>
          <w:szCs w:val="52"/>
        </w:rPr>
      </w:pPr>
    </w:p>
    <w:p w14:paraId="1C7EEA4D">
      <w:pPr>
        <w:spacing w:line="540" w:lineRule="exact"/>
        <w:jc w:val="center"/>
        <w:rPr>
          <w:rFonts w:ascii="华文中宋" w:hAnsi="华文中宋" w:eastAsia="华文中宋" w:cs="宋体"/>
          <w:b/>
          <w:kern w:val="0"/>
          <w:sz w:val="52"/>
          <w:szCs w:val="52"/>
        </w:rPr>
      </w:pPr>
    </w:p>
    <w:p w14:paraId="347919B8">
      <w:pPr>
        <w:spacing w:line="540" w:lineRule="exact"/>
        <w:jc w:val="center"/>
        <w:rPr>
          <w:rFonts w:ascii="华文中宋" w:hAnsi="华文中宋" w:eastAsia="华文中宋" w:cs="宋体"/>
          <w:b/>
          <w:kern w:val="0"/>
          <w:sz w:val="52"/>
          <w:szCs w:val="52"/>
        </w:rPr>
      </w:pPr>
    </w:p>
    <w:p w14:paraId="0E7A3537">
      <w:pPr>
        <w:spacing w:line="540" w:lineRule="exact"/>
        <w:jc w:val="center"/>
        <w:rPr>
          <w:rFonts w:ascii="华文中宋" w:hAnsi="华文中宋" w:eastAsia="华文中宋" w:cs="宋体"/>
          <w:b/>
          <w:kern w:val="0"/>
          <w:sz w:val="52"/>
          <w:szCs w:val="52"/>
        </w:rPr>
      </w:pPr>
    </w:p>
    <w:p w14:paraId="15C8E35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6D24008">
      <w:pPr>
        <w:spacing w:line="540" w:lineRule="exact"/>
        <w:jc w:val="center"/>
        <w:rPr>
          <w:rFonts w:ascii="华文中宋" w:hAnsi="华文中宋" w:eastAsia="华文中宋" w:cs="宋体"/>
          <w:b/>
          <w:kern w:val="0"/>
          <w:sz w:val="52"/>
          <w:szCs w:val="52"/>
        </w:rPr>
      </w:pPr>
    </w:p>
    <w:p w14:paraId="226CD81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D6F24A2">
      <w:pPr>
        <w:spacing w:line="540" w:lineRule="exact"/>
        <w:jc w:val="center"/>
        <w:rPr>
          <w:rFonts w:hAnsi="宋体" w:eastAsia="仿宋_GB2312" w:cs="宋体"/>
          <w:kern w:val="0"/>
          <w:sz w:val="30"/>
          <w:szCs w:val="30"/>
        </w:rPr>
      </w:pPr>
    </w:p>
    <w:p w14:paraId="5720BC33">
      <w:pPr>
        <w:spacing w:line="540" w:lineRule="exact"/>
        <w:jc w:val="center"/>
        <w:rPr>
          <w:rFonts w:hAnsi="宋体" w:eastAsia="仿宋_GB2312" w:cs="宋体"/>
          <w:kern w:val="0"/>
          <w:sz w:val="30"/>
          <w:szCs w:val="30"/>
        </w:rPr>
      </w:pPr>
    </w:p>
    <w:p w14:paraId="3D9C872E">
      <w:pPr>
        <w:spacing w:line="540" w:lineRule="exact"/>
        <w:jc w:val="center"/>
        <w:rPr>
          <w:rFonts w:hAnsi="宋体" w:eastAsia="仿宋_GB2312" w:cs="宋体"/>
          <w:kern w:val="0"/>
          <w:sz w:val="30"/>
          <w:szCs w:val="30"/>
        </w:rPr>
      </w:pPr>
    </w:p>
    <w:p w14:paraId="2143A3CD">
      <w:pPr>
        <w:spacing w:line="540" w:lineRule="exact"/>
        <w:jc w:val="center"/>
        <w:rPr>
          <w:rFonts w:hAnsi="宋体" w:eastAsia="仿宋_GB2312" w:cs="宋体"/>
          <w:kern w:val="0"/>
          <w:sz w:val="30"/>
          <w:szCs w:val="30"/>
        </w:rPr>
      </w:pPr>
    </w:p>
    <w:p w14:paraId="02ED1F1F">
      <w:pPr>
        <w:spacing w:line="540" w:lineRule="exact"/>
        <w:jc w:val="center"/>
        <w:rPr>
          <w:rFonts w:hAnsi="宋体" w:eastAsia="仿宋_GB2312" w:cs="宋体"/>
          <w:kern w:val="0"/>
          <w:sz w:val="30"/>
          <w:szCs w:val="30"/>
        </w:rPr>
      </w:pPr>
    </w:p>
    <w:p w14:paraId="1CC0F8E2">
      <w:pPr>
        <w:spacing w:line="540" w:lineRule="exact"/>
        <w:jc w:val="center"/>
        <w:rPr>
          <w:rFonts w:hAnsi="宋体" w:eastAsia="仿宋_GB2312" w:cs="宋体"/>
          <w:kern w:val="0"/>
          <w:sz w:val="30"/>
          <w:szCs w:val="30"/>
        </w:rPr>
      </w:pPr>
    </w:p>
    <w:p w14:paraId="71AC30C3">
      <w:pPr>
        <w:spacing w:line="540" w:lineRule="exact"/>
        <w:rPr>
          <w:rFonts w:hAnsi="宋体" w:eastAsia="仿宋_GB2312" w:cs="宋体"/>
          <w:kern w:val="0"/>
          <w:sz w:val="30"/>
          <w:szCs w:val="30"/>
        </w:rPr>
      </w:pPr>
    </w:p>
    <w:p w14:paraId="01BBA38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5FD9E7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石梯子灌区续建配套与节水改造工程</w:t>
      </w:r>
    </w:p>
    <w:p w14:paraId="3592773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呼图壁县水利管理站</w:t>
      </w:r>
    </w:p>
    <w:p w14:paraId="3607F11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呼图壁县水利管理站</w:t>
      </w:r>
    </w:p>
    <w:p w14:paraId="4E6A16E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库尔班</w:t>
      </w:r>
    </w:p>
    <w:p w14:paraId="131F63B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14:paraId="0AF3903B">
      <w:pPr>
        <w:spacing w:line="700" w:lineRule="exact"/>
        <w:ind w:firstLine="708" w:firstLineChars="236"/>
        <w:jc w:val="left"/>
        <w:rPr>
          <w:rFonts w:hAnsi="宋体" w:eastAsia="仿宋_GB2312" w:cs="宋体"/>
          <w:kern w:val="0"/>
          <w:sz w:val="30"/>
          <w:szCs w:val="30"/>
        </w:rPr>
      </w:pPr>
    </w:p>
    <w:p w14:paraId="51324099">
      <w:pPr>
        <w:spacing w:line="540" w:lineRule="exact"/>
        <w:rPr>
          <w:rStyle w:val="18"/>
          <w:rFonts w:ascii="黑体" w:hAnsi="黑体" w:eastAsia="黑体"/>
          <w:b w:val="0"/>
          <w:spacing w:val="-4"/>
          <w:sz w:val="32"/>
          <w:szCs w:val="32"/>
        </w:rPr>
      </w:pPr>
    </w:p>
    <w:p w14:paraId="7B65377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2D6D1B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0D095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石梯子灌区位于呼图壁县石梯子乡境内，距呼图壁县城西南方向约24km。石梯子灌区主要引水干、支渠有阿苇滩干渠、日协支渠、东沟村支渠、阿苇滩一三七队支渠、白杨河新村支渠和白杨河西一支渠等。截止2021年末，干、支二级渠道总长64.2km，防渗长度59.54km，防渗率92.73%。其中干渠总长6.94km，防渗长度6.94km，防渗率100%；支渠总长57.26km，防渗长度52.6km，防渗率91.85%。经过多年运行，部分渠段已有不同程度的损毁，衬砌完好率75.28%。石梯子灌区原骨干渠系设计标准低，基础设施老化，缺乏量水设施和自动化控制，灌溉效率严重不足，不利于灌溉调度管理，影响灌区经济可持续发展。为缓解石梯子灌区用水矛盾，提高供水保证率，2024年县委、</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积极申请资金对灌区进行节水改造，恢复灌区供水功能。2024年8月14日，昌吉州发展和改革委员会下发《关于新疆昌吉州呼图壁县石梯子灌区续建配套与节水改造工程可行性研究报告的批复》（昌州发改项目〔2024〕5号）。2024年8月14日，昌吉州发展和改革委员会下发《昌吉州发改委关于新疆昌吉州呼图壁县石梯子灌区续建配套与节水改造工程初步设计的批复》（昌州发改项目〔2024〕98号）。项目建设完成后，可恢复骨干渠系的引输水能力，每年项目区增加地表水引水量800-1000万m3，给下游纯井灌区和井河混灌区提供有效的供水保障，实现石梯子灌区与二十里店灌区水系连通，有效遏制地下水超采和水位下降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（1）项目名称：石梯子灌区续建配套与节水改造工程（以下简称“该项目”或“项目”）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用途为农业灌溉，灌溉范围为渠首下游石梯子灌区、宁州户灌区部分区域，主要建设内容为改扩建防渗渠道4条，共19.52km，其中：阿苇滩干渠6.42km，东沟霍斯托别支渠6.5km，东沟村支渠2.74km，白杨河西一支渠3.864km，并配套渠系建筑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实施主体：呼图壁县水利管理站。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实施时间：本项目实施周期为2024年9月-2024年12月。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8月14日，昌吉州发展和改革委员会下发《关于新疆昌吉州呼图壁县石梯子灌区续建配套与节水改造工程可行性研究报告的批复》（昌州发改项目〔2024〕5号）。2024年8月14日，昌吉州发展和改革委员会下发《昌吉州发改委关于新疆昌吉州呼图壁县石梯子灌区续建配套与节水改造工程初步设计的批复》（昌州发改项目〔2024〕98号），2024年9月11日完成招投标工作，9月20日开工建设。11月20日停工，现已完成改建干、支渠4条，总长19.524km，改建沿线渠系建筑物60座。已支付中央预算资金2500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昌吉州呼图壁县水利局是主管地下水开采与管理，水政检查，农田水利灌溉管理与运行，水利工程建设与管理、水土保持、水资源的合理开发利用、高效节水新技术的实施与推广、水政、监察水利工程质量监督等主要职责及承担</w:t>
      </w:r>
      <w:bookmarkStart w:id="0" w:name="_GoBack"/>
      <w:bookmarkEnd w:id="0"/>
      <w:r>
        <w:rPr>
          <w:rStyle w:val="18"/>
          <w:rFonts w:hint="eastAsia" w:ascii="楷体" w:hAnsi="楷体" w:eastAsia="楷体"/>
          <w:b w:val="0"/>
          <w:bCs w:val="0"/>
          <w:spacing w:val="-4"/>
          <w:sz w:val="32"/>
          <w:szCs w:val="32"/>
        </w:rPr>
        <w:t>县委</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政府交办的其他事项的行政事业单位。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呼图壁县水利局单位无下属预算单位，下设7个处室，分别是：水政监察大队、水利工程质量监督站、建管股、农水股、行政办公室、财务室、党建办等。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呼图壁县水利局编制数22，实有人数38人，其中：在职22人，增加0人；退休16人，增加0人；离休0人，减少0人。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5月29日，呼图壁县财政局下达《关于下达新疆、西藏、四省涉藏州县建设专项2024年第一批中央基建投资预算资金指标到位的通知》(呼财字〔2024〕74号)，下达中央资金2500万元。2024年实际收到预算资金2500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截至2024年12月31日，本项目实际支付资金2500万元，预算执行率100%。本项目资金用于支付采购费1750万元，支付劳务费750万元。</w:t>
      </w:r>
    </w:p>
    <w:p w14:paraId="23EC7D2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52CEC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灌区续建配套与节水改造工程通过改扩建防渗渠道4条，共19.52km，其中：阿苇滩干渠6.42km，东沟霍斯托别支渠6.5km，东沟村支渠2.74km，白杨河西一支渠3.864km，并配套渠系建筑物。能够提升石梯子灌区水资源调控能力，能够有效缓解石梯子灌区用水矛盾，提高灌区供水保证率及水资源利用率，促进流域经济社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“2024年灌区防渗改造长度（km）”指标，预期指标值为“&gt;=10km”；</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“施工单位资质合格率（%）”指标，预期指标值为“&gt;=100%”；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“工程质量验收合格率（%）”指标，预期指标值为“&gt;=100%”；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“项目完工及时率（%）”指标，预期指标值为“&gt;=95%”；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“人员工资”指标，预期指标值为“&lt;=750万元”；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“采购费用”指标，预期指标值为“&lt;=1750万元”；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“促进农村经济发展”指标，预期指标值为“有效提高”；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“项目区农民满意度（%）”指标，预期指标值为“&gt;=90%”。</w:t>
      </w:r>
    </w:p>
    <w:p w14:paraId="46CE409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480E06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3EEC4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此次我单位根据《财政支出绩效评价管理暂行办法》（财预〔2020〕10号）文件要求实施评价工作，本次评价对象为呼图壁县石梯子灌区续建配套与节水改造工程项目，评价核心为项目资金、项目产出、项目效益。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(5)《呼图壁县石梯子灌区续建配套与节水改造工程可行性研究报告》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(6)《呼图壁县石梯子灌区续建配套与节水改造工程初步设计报告》</w:t>
      </w:r>
    </w:p>
    <w:p w14:paraId="49EFDE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A1C012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57805D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3E6B9E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库尔班（评价小组组员）：主要负责资料的收集，取证、数据统计分析；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白世钰（评价小组组员）：主要负责主要负责项目报告的制定，指标的研判，数据分析及报告撰写。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石梯子乡、宁州户村的居民。我们根据绩效评价目标和绩效指标体系，设计满意度调查问卷进行问卷调查，其中石梯子乡与二十里店镇的居民共选取样本30人，共发放问卷30份，最终收回30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5C6F44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A3927C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部分达成年初设立的绩效目标，在实施过程中取得了良好的成效，具体表现在：通过项目的实施，完成了改扩建防渗渠道4条，共19.52km，其中：阿苇滩干渠6.42km，东沟霍斯托别支渠6.5km，东沟村支渠2.74km，白杨河西一支渠3.864km，并配套渠系建筑物。提高了石梯子灌区灌溉能力。但在实施过程中也存在一些不足：施工现场管理水平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691DDE4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22E5DF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544716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昌吉回族自治州人民政府颁发的《关于印发《昌吉回族自治州“十四五”水利发展(水安全保障)规划》的通知》（昌州政发〔2022〕5号）中：“建设呼图壁县石梯子灌区续建配套与节水改造工程”，符合国家法律法规、国民经济发展规划和相关政策；本项目立项符合《“十四五”水安全保障规划》规划报告中：“强化节水和水资源合理配置，保障供水安全”内容，符合行业发展规划和政策要求；本项目立项符合《呼图壁县水利局单位配置内设机构和人员编制规定》中职责范围中的“水利工程建设与管理、水土保持、水资源的合理开发利用”，属于我单位履职所需；根据《财政资金直接支付申请书》，本项目资金性质为“公共财政预算”功能分类为“水利工程建设”经济分类为“委托业务费”属于一般公共预算资金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昌吉州发改委下达我单位上报《关于新疆昌吉州呼图壁县石梯子灌区续建配套与节水改造工程可行性研究报告的批复》（昌州发改项目〔2024〕98号）文件要求，我单位上报《呼图壁县石梯子灌区续建配套与节水改造工程初步设计报告》的请示，经昌吉州发改委审核下发《关于对呼图壁县石梯子灌区续建配套与节水改造工程初步设计的批复》（昌州发改农发〔2024〕5号）批复文件，本项目正式设立。经查看，该项目立项过程产生的相关文件，符合相关要求。本项目为基础建设类项目，属于经常性项目，不涉及事前绩效评估和风险评估，已委托新疆昌吉方汇水电设计有限公司单位编制《呼图壁县石梯子灌区续建配套与节水改造工程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呼图壁县石梯子灌区续建配套与节水改造工程通过改建干、支渠4条，总长19.524km，改建沿线渠系建筑物60座等，能够有效消除病险水闸安全隐息，提高防洪能力，提高灌区供水保证率及水资源利用率，促进流域经济社会发展。”本项目实际工作内容为：改建干、支渠4条，总长19.524km，改建沿线渠系建筑物60座。本项目预算申请中央预算资金2500万元，预算确定资金量与实际工作任务相匹配。本项目按照绩效目标完成了数量指标、质量指标、时效指标、成本指标，提升石梯子灌区水资源调控能力，能够有效缓解石梯子灌区用水矛盾，提高灌区供水保证率及水资源利用率，促进流域经济社会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9个，定量指标8个，定性指标1个，指标量化率为88.89%，量化率达65.00%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改扩建防渗渠道4条，共19.52km，其中：阿苇滩干渠6.42km，东沟霍斯托别支渠6.5km，东沟村支渠2.74km，白杨河西一支渠3.864km，并配套渠系建筑物等，项目实际内容为已完成改建干、支渠4条，总长19.524km，改建沿线渠系建筑物60座等。预算申请与《关于对石梯子灌区续建配套与节水改造工程可行性研究报告的批复》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2500万元，我单位在预算申请中严格按照分项成本进行核算，其中：采购费1750万元，劳务费750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拨付石梯子灌区续建配套与节水改造工程资金的请示》和《关于对石梯子灌区续建配套与节水改造工程可行性研究报告的批复》为依据进行资金分配，预算资金分配依据充分。根据《关于下达新疆、西藏、四省涉藏州县建设专项2024年第一批中央基建投资预算资金指标到位的通知》(呼财字〔2024〕74号)文件显示，本项目实际到位资金2500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6BDFB0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49B7C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本项目预算资金为2500万元，其中：中央预算内资金2500万元，实际到位资金2500万元，资金到位率=（实际到位资金/预算资金）×100.00%=（2500/2500）*100.00%=100%。得分=资金到位率*分值=100%*4=4分。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本项目实际支出资金2500万元，预算执行率=（实际支出资金/实际到位资金）×100.00%=（2500/2500）*100.00%=100.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0%。得分=预算执行率*分值=100.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水利局专项资金报账管理暂行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石梯子灌区续建配套与节水改造工程资金管理办法》《呼图壁县石梯子灌区续建配套与节水改造工程收支业务管理制度》《呼图壁县石梯子灌区续建配套与节水改造工程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质量和安全终身责任承诺书、呼图壁县石梯子灌区续建配套与节水改造工程可行性研究报告等资料齐全并及时进行了归档。项目资金支出严格按照自治区、地州、市县以及本单位资金管理办法执行，项目启动实施后，为了加快本项目的实施，成立了呼图壁县石梯子灌区续建配套与节水改造工程项目法人机构，由项目法人负责人刘杰任组长，负责项目的组织工作；库尔班任副组长，负责项目的实施工作；组员包括：王海浩、闫丽、刘彦龙、马兰、赵菁、南喜梅、韩静和白世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A7A25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F914CB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“2024年灌区防渗改造长度”指标：预期指标值为“&gt;=10km”，实际完成指标值为“=10km”，指标完成率为100%。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“施工单位资质合格率”指标：预期指标值为“&gt;=100%”，实际完成指标值为“=100%”，指标完成率为100%。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“工程质量验收合格率”指标：预期指标值为“&gt;=100%”，实际完成指标值为“=100%”，指标完成率为100%。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“项目完工及时率”指标：预期指标值为“&gt;=95%”，实际完成指标值为“&gt;=95%”，指标完成率为100%。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“人员工资”指标：预期指标值为“&lt;=750万元”，实际完成指标值为“=750万元”，指标完成率为100%。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“采购费用”指标：预期指标值为“&lt;=1750万元”，实际完成指标值为“=1750万元”，指标完成率为100%.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DC72C6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3297A1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“促进农村经济发展”指标：预期指标值为“有效提高”，实际完成指标值为“达到预期指标”，指标完成率为100.0%。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08DFF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“项目区农民满意度”指标：预期指标值为“&gt;=90%”，实际完成指标值为“=90%”，指标完成率为100.0%。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6BD40206">
      <w:pPr>
        <w:spacing w:line="540" w:lineRule="exact"/>
        <w:ind w:firstLine="567"/>
        <w:rPr>
          <w:rStyle w:val="18"/>
          <w:rFonts w:hint="eastAsia" w:ascii="楷体" w:hAnsi="楷体" w:eastAsia="楷体"/>
          <w:b w:val="0"/>
          <w:bCs w:val="0"/>
          <w:spacing w:val="-4"/>
          <w:sz w:val="32"/>
          <w:szCs w:val="32"/>
        </w:rPr>
      </w:pPr>
    </w:p>
    <w:p w14:paraId="5CDC7425">
      <w:pPr>
        <w:spacing w:line="540" w:lineRule="exact"/>
        <w:ind w:firstLine="567"/>
        <w:rPr>
          <w:rStyle w:val="18"/>
          <w:rFonts w:ascii="楷体" w:hAnsi="楷体" w:eastAsia="楷体"/>
          <w:spacing w:val="-4"/>
          <w:sz w:val="32"/>
          <w:szCs w:val="32"/>
        </w:rPr>
      </w:pPr>
    </w:p>
    <w:p w14:paraId="4F7FDBA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457381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过程中，呼图壁县水利局建立了高效协同的工作机制，形成“政府主导、部门联动、专业支撑”的组织架构。通过成立专项领导小组，统筹协调水利、财政、环保等部门职责，明确分工与责任边界，确保各环节无缝衔接。同时，注重发挥技术团队的核心作用，整合设计、施工、监理等专业力量，强化技术论证与现场指导，为工程实施提供科学保障。此外，积极吸纳基层管护人员和受益群众参与监督，形成“上下联动、多方共管”的组织模式，既提升了工程推进效率，也增强了群众对项目的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以规范化和精细化为导向，严格遵循水利工程建设标准，全面落实质量、安全、进度“三控”机制。在前期规划中，科学制定施工方案，细化任务节点，统筹考虑防洪、灌溉、生态等多重需求，确保工程功能与区域发展需求匹配。实施过程中，通过定期召开工程例会、建立问题台账、动态优化施工流程等方式，及时化解技术难点和协调矛盾。质量控制上，严格执行“三检制”（自检、互检、专检）和隐蔽工程验收制度，引入第三方检测机构强化监督，保障工程质量达标。安全管理方面，强化风险预判与应急预案，落实安全培训与现场巡查，实现工程建设“零事故”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坚持“专款专用、全程监管、绩效优先”原则，构建了规范化、透明化的资金使用体系。通过科学编制预算、细化资金分配方案，确保资金投向与工程需求精准匹配。严格履行审批程序，落实资金支付“三级审核”制度，防范廉政风险。在资金监管上，联合审计、财政等部门开展全过程跟踪审计，定期公开资金使用情况，主动接受社会监督，确保资金合规高效使用。同时，注重资金绩效管理，结合工程进度分阶段评估资金效益，及时调整优化支出结构，最大限度发挥财政资金撬动作用，为项目高质量完成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1.前期勘察设计深度不足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原因分析：项目前期受限于时间紧迫或技术力量薄弱，对地质条件、水文特征等关键因素勘察不够全面，导致施工过程中出现设计变更，影响工程进度和成本控制。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2.质量安全隐患未完全杜绝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原因分析：部分施工环节存在技术交底不彻底、安全监管覆盖面不足等问题，导致局部施工质量不达标或安全隐患未及时排查。</w:t>
      </w:r>
    </w:p>
    <w:p w14:paraId="19D35D7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F985A6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强化前期技术投入：延长勘察设计周期，引入专业第三方机构参与地质勘探与方案论证，确保数据精准性和设计合理性；建立动态调整机制：在施工阶段预留技术优化空间，针对现场发现的问题及时组织专家会审，减少返工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全过程监管：推行“双随机”检查机制（随机抽检项目、随机指派专家），扩大第三方质量检测的覆盖范围。细化安全责任体系：建立全员安全责任制，分岗位制定安全操作规范，定期开展安全演练和警示教育。</w:t>
      </w:r>
    </w:p>
    <w:p w14:paraId="2C1DF48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12B3A8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19E8BD3B">
      <w:pPr>
        <w:spacing w:line="540" w:lineRule="exact"/>
        <w:ind w:firstLine="567"/>
        <w:rPr>
          <w:rStyle w:val="18"/>
          <w:rFonts w:ascii="仿宋" w:hAnsi="仿宋" w:eastAsia="仿宋"/>
          <w:b w:val="0"/>
          <w:spacing w:val="-4"/>
          <w:sz w:val="32"/>
          <w:szCs w:val="32"/>
        </w:rPr>
      </w:pPr>
    </w:p>
    <w:p w14:paraId="32F06ABA">
      <w:pPr>
        <w:spacing w:line="540" w:lineRule="exact"/>
        <w:ind w:firstLine="567"/>
        <w:rPr>
          <w:rStyle w:val="18"/>
          <w:rFonts w:ascii="仿宋" w:hAnsi="仿宋" w:eastAsia="仿宋"/>
          <w:b w:val="0"/>
          <w:spacing w:val="-4"/>
          <w:sz w:val="32"/>
          <w:szCs w:val="32"/>
        </w:rPr>
      </w:pPr>
    </w:p>
    <w:p w14:paraId="6DDC68B6">
      <w:pPr>
        <w:spacing w:line="540" w:lineRule="exact"/>
        <w:ind w:firstLine="567"/>
        <w:rPr>
          <w:rStyle w:val="18"/>
          <w:rFonts w:ascii="仿宋" w:hAnsi="仿宋" w:eastAsia="仿宋"/>
          <w:b w:val="0"/>
          <w:spacing w:val="-4"/>
          <w:sz w:val="32"/>
          <w:szCs w:val="32"/>
        </w:rPr>
      </w:pPr>
    </w:p>
    <w:p w14:paraId="03DE3837">
      <w:pPr>
        <w:spacing w:line="540" w:lineRule="exact"/>
        <w:ind w:firstLine="567"/>
        <w:rPr>
          <w:rStyle w:val="18"/>
          <w:rFonts w:ascii="仿宋" w:hAnsi="仿宋" w:eastAsia="仿宋"/>
          <w:b w:val="0"/>
          <w:spacing w:val="-4"/>
          <w:sz w:val="32"/>
          <w:szCs w:val="32"/>
        </w:rPr>
      </w:pPr>
    </w:p>
    <w:p w14:paraId="77783B0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D77A24">
        <w:pPr>
          <w:pStyle w:val="12"/>
          <w:jc w:val="center"/>
        </w:pPr>
        <w:r>
          <w:fldChar w:fldCharType="begin"/>
        </w:r>
        <w:r>
          <w:instrText xml:space="preserve">PAGE   \* MERGEFORMAT</w:instrText>
        </w:r>
        <w:r>
          <w:fldChar w:fldCharType="separate"/>
        </w:r>
        <w:r>
          <w:rPr>
            <w:lang w:val="zh-CN"/>
          </w:rPr>
          <w:t>2</w:t>
        </w:r>
        <w:r>
          <w:fldChar w:fldCharType="end"/>
        </w:r>
      </w:p>
    </w:sdtContent>
  </w:sdt>
  <w:p w14:paraId="3B2A65D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5954F1"/>
    <w:rsid w:val="18FE139B"/>
    <w:rsid w:val="3029612C"/>
    <w:rsid w:val="32A221C5"/>
    <w:rsid w:val="33F20F2A"/>
    <w:rsid w:val="34C44675"/>
    <w:rsid w:val="3B5B5607"/>
    <w:rsid w:val="3CE21B3C"/>
    <w:rsid w:val="46AD611F"/>
    <w:rsid w:val="4D2606A1"/>
    <w:rsid w:val="51830480"/>
    <w:rsid w:val="53A616BE"/>
    <w:rsid w:val="54662BFB"/>
    <w:rsid w:val="62051CA5"/>
    <w:rsid w:val="687623E3"/>
    <w:rsid w:val="6C3A69EF"/>
    <w:rsid w:val="774A774B"/>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10723</Words>
  <Characters>11564</Characters>
  <Lines>4</Lines>
  <Paragraphs>1</Paragraphs>
  <TotalTime>10</TotalTime>
  <ScaleCrop>false</ScaleCrop>
  <LinksUpToDate>false</LinksUpToDate>
  <CharactersWithSpaces>11578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2025-09-22T07:10:51Z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